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FEDD2" w14:textId="77777777" w:rsidR="00B879CD" w:rsidRPr="00B879CD" w:rsidRDefault="00B879CD" w:rsidP="00B879CD">
      <w:r w:rsidRPr="00B879CD">
        <w:rPr>
          <w:b/>
          <w:bCs/>
        </w:rPr>
        <w:t>Rising demand of battery-powered vehicles for sustainable environment of Bangladesh: A review of challenges and opportunities in Bangladesh</w:t>
      </w:r>
    </w:p>
    <w:p w14:paraId="7FE39396" w14:textId="77777777" w:rsidR="00B879CD" w:rsidRPr="00B879CD" w:rsidRDefault="00B879CD" w:rsidP="00B879CD"/>
    <w:p w14:paraId="58A1DCE6" w14:textId="77777777" w:rsidR="00B879CD" w:rsidRPr="00B879CD" w:rsidRDefault="00B879CD" w:rsidP="00B879CD">
      <w:r w:rsidRPr="00B879CD">
        <w:rPr>
          <w:b/>
          <w:bCs/>
        </w:rPr>
        <w:t>1. Introduction</w:t>
      </w:r>
    </w:p>
    <w:p w14:paraId="54A443B0" w14:textId="77777777" w:rsidR="00B879CD" w:rsidRPr="00B879CD" w:rsidRDefault="00B879CD" w:rsidP="00B879CD"/>
    <w:p w14:paraId="3CC59280" w14:textId="77777777" w:rsidR="00B879CD" w:rsidRPr="00B879CD" w:rsidRDefault="00B879CD" w:rsidP="00B879CD">
      <w:r w:rsidRPr="00B879CD">
        <w:rPr>
          <w:i/>
          <w:iCs/>
        </w:rPr>
        <w:t>Background </w:t>
      </w:r>
    </w:p>
    <w:p w14:paraId="029210FF" w14:textId="77777777" w:rsidR="00B879CD" w:rsidRPr="00B879CD" w:rsidRDefault="00B879CD" w:rsidP="00B879CD">
      <w:r w:rsidRPr="00B879CD">
        <w:rPr>
          <w:i/>
          <w:iCs/>
        </w:rPr>
        <w:t>Relevance</w:t>
      </w:r>
    </w:p>
    <w:p w14:paraId="38A2A79B" w14:textId="77777777" w:rsidR="00B879CD" w:rsidRPr="00B879CD" w:rsidRDefault="00B879CD" w:rsidP="00B879CD">
      <w:r w:rsidRPr="00B879CD">
        <w:rPr>
          <w:i/>
          <w:iCs/>
        </w:rPr>
        <w:t>Context</w:t>
      </w:r>
    </w:p>
    <w:p w14:paraId="5304BC27" w14:textId="77777777" w:rsidR="00B879CD" w:rsidRPr="00B879CD" w:rsidRDefault="00B879CD" w:rsidP="00B879CD">
      <w:r w:rsidRPr="00B879CD">
        <w:rPr>
          <w:i/>
          <w:iCs/>
        </w:rPr>
        <w:t>Research gap</w:t>
      </w:r>
    </w:p>
    <w:p w14:paraId="77B302A6" w14:textId="77777777" w:rsidR="00B879CD" w:rsidRPr="00B879CD" w:rsidRDefault="00B879CD" w:rsidP="00B879CD">
      <w:r w:rsidRPr="00B879CD">
        <w:rPr>
          <w:i/>
          <w:iCs/>
        </w:rPr>
        <w:t>Objectives</w:t>
      </w:r>
    </w:p>
    <w:p w14:paraId="29799C62" w14:textId="073931F5" w:rsidR="00B879CD" w:rsidRPr="00B879CD" w:rsidRDefault="00E16C1D" w:rsidP="00B879CD">
      <w:r>
        <w:rPr>
          <w:rFonts w:ascii="Arial" w:hAnsi="Arial" w:cs="Arial"/>
          <w:i/>
          <w:iCs/>
          <w:noProof/>
          <w:color w:val="000000"/>
          <w:bdr w:val="none" w:sz="0" w:space="0" w:color="auto" w:frame="1"/>
        </w:rPr>
        <w:drawing>
          <wp:inline distT="0" distB="0" distL="0" distR="0" wp14:anchorId="7E4F0EC2" wp14:editId="62926F56">
            <wp:extent cx="5943600" cy="356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39711BAA" w14:textId="77777777" w:rsidR="00B879CD" w:rsidRPr="00B879CD" w:rsidRDefault="00B879CD" w:rsidP="00B879CD">
      <w:r w:rsidRPr="00B879CD">
        <w:rPr>
          <w:b/>
          <w:bCs/>
        </w:rPr>
        <w:t>2. Review Methodology</w:t>
      </w:r>
    </w:p>
    <w:p w14:paraId="433F2E36" w14:textId="77777777" w:rsidR="00B879CD" w:rsidRPr="00B879CD" w:rsidRDefault="00B879CD" w:rsidP="00B879CD"/>
    <w:p w14:paraId="69DCA535" w14:textId="77777777" w:rsidR="00B879CD" w:rsidRPr="00B879CD" w:rsidRDefault="00B879CD" w:rsidP="00B879CD">
      <w:r w:rsidRPr="00B879CD">
        <w:rPr>
          <w:i/>
          <w:iCs/>
        </w:rPr>
        <w:t>Literature sources</w:t>
      </w:r>
    </w:p>
    <w:p w14:paraId="50BAC90E" w14:textId="77777777" w:rsidR="00B879CD" w:rsidRPr="00B879CD" w:rsidRDefault="00B879CD" w:rsidP="00B879CD">
      <w:r w:rsidRPr="00B879CD">
        <w:rPr>
          <w:i/>
          <w:iCs/>
        </w:rPr>
        <w:t>Time span</w:t>
      </w:r>
    </w:p>
    <w:p w14:paraId="28C00005" w14:textId="77777777" w:rsidR="00B879CD" w:rsidRPr="00B879CD" w:rsidRDefault="00B879CD" w:rsidP="00B879CD">
      <w:r w:rsidRPr="00B879CD">
        <w:rPr>
          <w:i/>
          <w:iCs/>
        </w:rPr>
        <w:t>Selection criteria</w:t>
      </w:r>
    </w:p>
    <w:p w14:paraId="68CD82CD" w14:textId="77777777" w:rsidR="00B879CD" w:rsidRPr="00B879CD" w:rsidRDefault="00B879CD" w:rsidP="00B879CD">
      <w:r w:rsidRPr="00B879CD">
        <w:rPr>
          <w:i/>
          <w:iCs/>
        </w:rPr>
        <w:lastRenderedPageBreak/>
        <w:t>Screening</w:t>
      </w:r>
    </w:p>
    <w:p w14:paraId="2F1FDB26" w14:textId="77777777" w:rsidR="00B879CD" w:rsidRPr="00B879CD" w:rsidRDefault="00B879CD" w:rsidP="00B879CD">
      <w:r w:rsidRPr="00B879CD">
        <w:rPr>
          <w:i/>
          <w:iCs/>
        </w:rPr>
        <w:t>Contribution</w:t>
      </w:r>
    </w:p>
    <w:p w14:paraId="74271120" w14:textId="77777777" w:rsidR="00B879CD" w:rsidRPr="00B879CD" w:rsidRDefault="00B879CD" w:rsidP="00B879CD"/>
    <w:p w14:paraId="19C8EE0A" w14:textId="77777777" w:rsidR="00B879CD" w:rsidRPr="00B879CD" w:rsidRDefault="00B879CD" w:rsidP="00B879CD">
      <w:r w:rsidRPr="00B879CD">
        <w:rPr>
          <w:b/>
          <w:bCs/>
        </w:rPr>
        <w:t>3. Recent Research Trends and Saturation Analysis</w:t>
      </w:r>
    </w:p>
    <w:p w14:paraId="4C60C163" w14:textId="77777777" w:rsidR="00B879CD" w:rsidRPr="00B879CD" w:rsidRDefault="00B879CD" w:rsidP="00B879CD"/>
    <w:p w14:paraId="36E7BEF1" w14:textId="77777777" w:rsidR="00B879CD" w:rsidRPr="00B879CD" w:rsidRDefault="00B879CD" w:rsidP="00B879CD">
      <w:r w:rsidRPr="00B879CD">
        <w:rPr>
          <w:i/>
          <w:iCs/>
        </w:rPr>
        <w:t>Number of Publications</w:t>
      </w:r>
    </w:p>
    <w:p w14:paraId="7395046E" w14:textId="2F52B7C0" w:rsidR="00B879CD" w:rsidRDefault="00E16C1D" w:rsidP="00B879CD">
      <w:r>
        <w:rPr>
          <w:rFonts w:ascii="Arial" w:hAnsi="Arial" w:cs="Arial"/>
          <w:i/>
          <w:iCs/>
          <w:noProof/>
          <w:color w:val="000000"/>
          <w:bdr w:val="none" w:sz="0" w:space="0" w:color="auto" w:frame="1"/>
        </w:rPr>
        <w:drawing>
          <wp:inline distT="0" distB="0" distL="0" distR="0" wp14:anchorId="5686B983" wp14:editId="57B2EF09">
            <wp:extent cx="5943600" cy="4074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2CE893FB" w14:textId="77777777" w:rsidR="00E16C1D" w:rsidRPr="00B879CD" w:rsidRDefault="00E16C1D" w:rsidP="00B879CD"/>
    <w:p w14:paraId="36D7EAD8" w14:textId="77777777" w:rsidR="00B879CD" w:rsidRPr="00B879CD" w:rsidRDefault="00B879CD" w:rsidP="00B879CD">
      <w:r w:rsidRPr="00B879CD">
        <w:rPr>
          <w:i/>
          <w:iCs/>
        </w:rPr>
        <w:t>Overview of publication growth on EV</w:t>
      </w:r>
    </w:p>
    <w:p w14:paraId="1459361D" w14:textId="77777777" w:rsidR="00B879CD" w:rsidRPr="00B879CD" w:rsidRDefault="00B879CD" w:rsidP="00B879CD">
      <w:r w:rsidRPr="00B879CD">
        <w:rPr>
          <w:i/>
          <w:iCs/>
        </w:rPr>
        <w:t>Analyze trends </w:t>
      </w:r>
    </w:p>
    <w:p w14:paraId="3D7DC19D" w14:textId="110BCFBA" w:rsidR="00B879CD" w:rsidRPr="00B879CD" w:rsidRDefault="00E16C1D" w:rsidP="00B879CD">
      <w:r>
        <w:rPr>
          <w:rFonts w:ascii="Arial" w:hAnsi="Arial" w:cs="Arial"/>
          <w:i/>
          <w:iCs/>
          <w:noProof/>
          <w:color w:val="000000"/>
          <w:bdr w:val="none" w:sz="0" w:space="0" w:color="auto" w:frame="1"/>
        </w:rPr>
        <w:lastRenderedPageBreak/>
        <w:drawing>
          <wp:inline distT="0" distB="0" distL="0" distR="0" wp14:anchorId="0466EF0B" wp14:editId="4B961510">
            <wp:extent cx="5943600" cy="2463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p>
    <w:p w14:paraId="1C797E07" w14:textId="77777777" w:rsidR="00B879CD" w:rsidRPr="00B879CD" w:rsidRDefault="00B879CD" w:rsidP="00B879CD">
      <w:r w:rsidRPr="00B879CD">
        <w:rPr>
          <w:i/>
          <w:iCs/>
        </w:rPr>
        <w:t>Research Summary</w:t>
      </w:r>
    </w:p>
    <w:p w14:paraId="7BE48BC9" w14:textId="77777777" w:rsidR="00B879CD" w:rsidRPr="00B879CD" w:rsidRDefault="00B879CD" w:rsidP="00B879CD"/>
    <w:p w14:paraId="09D39589" w14:textId="77777777" w:rsidR="00B879CD" w:rsidRPr="00B879CD" w:rsidRDefault="00B879CD" w:rsidP="00B879CD">
      <w:r w:rsidRPr="00B879CD">
        <w:rPr>
          <w:b/>
          <w:bCs/>
        </w:rPr>
        <w:t>4. Current Scenario of Battery-Powered Vehicles</w:t>
      </w:r>
    </w:p>
    <w:p w14:paraId="151C5175" w14:textId="77777777" w:rsidR="00B879CD" w:rsidRPr="00B879CD" w:rsidRDefault="00B879CD" w:rsidP="00B879CD"/>
    <w:p w14:paraId="7A6DC12E" w14:textId="77777777" w:rsidR="00B879CD" w:rsidRPr="00B879CD" w:rsidRDefault="00B879CD" w:rsidP="00B879CD">
      <w:r w:rsidRPr="00B879CD">
        <w:rPr>
          <w:i/>
          <w:iCs/>
        </w:rPr>
        <w:t>Growth trends and regional overview</w:t>
      </w:r>
    </w:p>
    <w:p w14:paraId="5F98ED15" w14:textId="28E66840" w:rsidR="00B879CD" w:rsidRPr="00B879CD" w:rsidRDefault="00E16C1D" w:rsidP="00B879CD">
      <w:r>
        <w:rPr>
          <w:rFonts w:ascii="Arial" w:hAnsi="Arial" w:cs="Arial"/>
          <w:i/>
          <w:iCs/>
          <w:noProof/>
          <w:color w:val="000000"/>
          <w:bdr w:val="none" w:sz="0" w:space="0" w:color="auto" w:frame="1"/>
        </w:rPr>
        <w:drawing>
          <wp:inline distT="0" distB="0" distL="0" distR="0" wp14:anchorId="30E96DD6" wp14:editId="4BDF2B89">
            <wp:extent cx="5943600" cy="27228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22880"/>
                    </a:xfrm>
                    <a:prstGeom prst="rect">
                      <a:avLst/>
                    </a:prstGeom>
                    <a:noFill/>
                    <a:ln>
                      <a:noFill/>
                    </a:ln>
                  </pic:spPr>
                </pic:pic>
              </a:graphicData>
            </a:graphic>
          </wp:inline>
        </w:drawing>
      </w:r>
    </w:p>
    <w:p w14:paraId="08CC23B6" w14:textId="77777777" w:rsidR="00B879CD" w:rsidRDefault="00B879CD" w:rsidP="00B879CD">
      <w:pPr>
        <w:rPr>
          <w:i/>
          <w:iCs/>
        </w:rPr>
      </w:pPr>
      <w:r w:rsidRPr="00B879CD">
        <w:rPr>
          <w:i/>
          <w:iCs/>
        </w:rPr>
        <w:t>Types of vehicles</w:t>
      </w:r>
    </w:p>
    <w:p w14:paraId="66A3A89D" w14:textId="17CC4CF5" w:rsidR="00E16C1D" w:rsidRPr="00B879CD" w:rsidRDefault="00E16C1D" w:rsidP="00B879CD">
      <w:r>
        <w:rPr>
          <w:rFonts w:ascii="Arial" w:hAnsi="Arial" w:cs="Arial"/>
          <w:i/>
          <w:iCs/>
          <w:noProof/>
          <w:color w:val="000000"/>
          <w:bdr w:val="none" w:sz="0" w:space="0" w:color="auto" w:frame="1"/>
        </w:rPr>
        <w:lastRenderedPageBreak/>
        <w:drawing>
          <wp:inline distT="0" distB="0" distL="0" distR="0" wp14:anchorId="16DCF1B8" wp14:editId="45D65DF4">
            <wp:extent cx="5943600" cy="3719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9195"/>
                    </a:xfrm>
                    <a:prstGeom prst="rect">
                      <a:avLst/>
                    </a:prstGeom>
                    <a:noFill/>
                    <a:ln>
                      <a:noFill/>
                    </a:ln>
                  </pic:spPr>
                </pic:pic>
              </a:graphicData>
            </a:graphic>
          </wp:inline>
        </w:drawing>
      </w:r>
    </w:p>
    <w:p w14:paraId="1A82B1DF" w14:textId="77777777" w:rsidR="00B879CD" w:rsidRDefault="00B879CD" w:rsidP="00B879CD">
      <w:pPr>
        <w:rPr>
          <w:i/>
          <w:iCs/>
        </w:rPr>
      </w:pPr>
      <w:r w:rsidRPr="00B879CD">
        <w:rPr>
          <w:i/>
          <w:iCs/>
        </w:rPr>
        <w:t>Socio-economic roles</w:t>
      </w:r>
    </w:p>
    <w:p w14:paraId="47901A99" w14:textId="67B7E543" w:rsidR="00E16C1D" w:rsidRPr="00B879CD" w:rsidRDefault="00E16C1D" w:rsidP="00B879CD">
      <w:r>
        <w:rPr>
          <w:rFonts w:ascii="Arial" w:hAnsi="Arial" w:cs="Arial"/>
          <w:i/>
          <w:iCs/>
          <w:noProof/>
          <w:color w:val="000000"/>
          <w:bdr w:val="none" w:sz="0" w:space="0" w:color="auto" w:frame="1"/>
        </w:rPr>
        <w:lastRenderedPageBreak/>
        <w:drawing>
          <wp:inline distT="0" distB="0" distL="0" distR="0" wp14:anchorId="621FA161" wp14:editId="57E34B8E">
            <wp:extent cx="5943600" cy="40741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22EE66B2" w14:textId="77777777" w:rsidR="00B879CD" w:rsidRPr="00B879CD" w:rsidRDefault="00B879CD" w:rsidP="00B879CD">
      <w:r w:rsidRPr="00B879CD">
        <w:rPr>
          <w:i/>
          <w:iCs/>
        </w:rPr>
        <w:t>Environmental benefits</w:t>
      </w:r>
    </w:p>
    <w:p w14:paraId="2EE6745C" w14:textId="77777777" w:rsidR="00B879CD" w:rsidRPr="00B879CD" w:rsidRDefault="00B879CD" w:rsidP="00B879CD">
      <w:r w:rsidRPr="00B879CD">
        <w:rPr>
          <w:i/>
          <w:iCs/>
        </w:rPr>
        <w:t>Current statistics and key stakeholders</w:t>
      </w:r>
    </w:p>
    <w:p w14:paraId="5A0AC204" w14:textId="1945B884" w:rsidR="00B879CD" w:rsidRPr="00B879CD" w:rsidRDefault="00E16C1D" w:rsidP="00B879CD">
      <w:r>
        <w:rPr>
          <w:rFonts w:ascii="Arial" w:hAnsi="Arial" w:cs="Arial"/>
          <w:noProof/>
          <w:color w:val="000000"/>
          <w:sz w:val="28"/>
          <w:szCs w:val="28"/>
          <w:bdr w:val="none" w:sz="0" w:space="0" w:color="auto" w:frame="1"/>
        </w:rPr>
        <w:drawing>
          <wp:inline distT="0" distB="0" distL="0" distR="0" wp14:anchorId="2B8E36D0" wp14:editId="200455B2">
            <wp:extent cx="5943600" cy="297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69C1F010" w14:textId="77777777" w:rsidR="00B879CD" w:rsidRDefault="00B879CD" w:rsidP="00B879CD"/>
    <w:p w14:paraId="1C3C8876" w14:textId="39740924" w:rsidR="00E16C1D" w:rsidRPr="00B879CD" w:rsidRDefault="00E16C1D" w:rsidP="00B879CD">
      <w:pPr>
        <w:rPr>
          <w:b/>
          <w:bCs/>
          <w:sz w:val="26"/>
          <w:szCs w:val="26"/>
        </w:rPr>
      </w:pPr>
      <w:r w:rsidRPr="00E16C1D">
        <w:rPr>
          <w:b/>
          <w:bCs/>
          <w:sz w:val="26"/>
          <w:szCs w:val="26"/>
        </w:rPr>
        <w:lastRenderedPageBreak/>
        <w:t>Vehicle Mishap</w:t>
      </w:r>
    </w:p>
    <w:p w14:paraId="1611E25A" w14:textId="7EB355B7" w:rsidR="00E16C1D" w:rsidRDefault="00E16C1D" w:rsidP="00B879CD">
      <w:r>
        <w:rPr>
          <w:rFonts w:ascii="Arial" w:hAnsi="Arial" w:cs="Arial"/>
          <w:noProof/>
          <w:color w:val="000000"/>
          <w:sz w:val="28"/>
          <w:szCs w:val="28"/>
          <w:bdr w:val="none" w:sz="0" w:space="0" w:color="auto" w:frame="1"/>
        </w:rPr>
        <w:drawing>
          <wp:inline distT="0" distB="0" distL="0" distR="0" wp14:anchorId="510B783B" wp14:editId="23267FDF">
            <wp:extent cx="5943600" cy="3455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55670"/>
                    </a:xfrm>
                    <a:prstGeom prst="rect">
                      <a:avLst/>
                    </a:prstGeom>
                    <a:noFill/>
                    <a:ln>
                      <a:noFill/>
                    </a:ln>
                  </pic:spPr>
                </pic:pic>
              </a:graphicData>
            </a:graphic>
          </wp:inline>
        </w:drawing>
      </w:r>
    </w:p>
    <w:p w14:paraId="50238322" w14:textId="2C1D2A02" w:rsidR="00B879CD" w:rsidRPr="00B879CD" w:rsidRDefault="00B879CD" w:rsidP="007E0F0D">
      <w:pPr>
        <w:jc w:val="center"/>
      </w:pPr>
      <w:r w:rsidRPr="00B879CD">
        <w:rPr>
          <w:sz w:val="20"/>
          <w:szCs w:val="20"/>
        </w:rPr>
        <w:t>Fig: Proportion of accident by vehicle in Bangladesh 2024-25.</w:t>
      </w:r>
    </w:p>
    <w:p w14:paraId="7D6A89B6" w14:textId="77777777" w:rsidR="00B879CD" w:rsidRDefault="00B879CD" w:rsidP="00B879CD"/>
    <w:p w14:paraId="741482E4" w14:textId="6E29486D" w:rsidR="00C15024" w:rsidRPr="00C15024" w:rsidRDefault="00C15024" w:rsidP="00C15024">
      <w:pPr>
        <w:jc w:val="both"/>
      </w:pPr>
      <w:r w:rsidRPr="00C15024">
        <w:t>The figure “Proportion of Accidents by Vehicle in Bangladesh (2024–25)” highlights how different vehicles contributed to road accidents, based on the Passenger Welfare Association of Bangladesh (PWAB, January 2025) report. In 2024, 8,543 people lost their lives in road accidents. Motorcycles topped the list with 36.62% of total accidents, showing the risks from their rapid increase and unsafe driving. In contrast, CNG auto-rickshaws (5.57%) and cars/microbuses (6.21%) had the lowest accident rates.</w:t>
      </w:r>
      <w:r w:rsidRPr="007E0F0D">
        <w:t xml:space="preserve"> </w:t>
      </w:r>
      <w:r w:rsidRPr="00C15024">
        <w:t>A key point is the rise of battery-powered rickshaws and easy bikes (16.56%), which now cause a large share of accidents despite being low-speed vehicles. This indicates growing safety and regulation challenges linked to Bangladesh’s fast EV adoption. The expansion of battery-powered vehicles (BPVs) — though eco-friendly and cost-effective — brings concerns about driver training, load management, and road safety.</w:t>
      </w:r>
      <w:r w:rsidR="007E0F0D" w:rsidRPr="007E0F0D">
        <w:t xml:space="preserve"> </w:t>
      </w:r>
      <w:r w:rsidRPr="00C15024">
        <w:t>In summary, the chart reflects both the positive trend toward electric mobility and the urgent need for structured policy and safety integration to ensure sustainable EV growth in Bangladesh.</w:t>
      </w:r>
    </w:p>
    <w:p w14:paraId="6E1F897F" w14:textId="77777777" w:rsidR="00C15024" w:rsidRDefault="00C15024" w:rsidP="00B879CD"/>
    <w:p w14:paraId="5FD27BA1" w14:textId="6020974C" w:rsidR="00471EF6" w:rsidRPr="00471EF6" w:rsidRDefault="00471EF6" w:rsidP="00B879CD">
      <w:pPr>
        <w:rPr>
          <w:b/>
          <w:bCs/>
        </w:rPr>
      </w:pPr>
      <w:r w:rsidRPr="00471EF6">
        <w:rPr>
          <w:b/>
          <w:bCs/>
        </w:rPr>
        <w:t>Source/Ref:</w:t>
      </w:r>
    </w:p>
    <w:p w14:paraId="41EE58B4" w14:textId="6FCDC455" w:rsidR="00471EF6" w:rsidRDefault="00471EF6" w:rsidP="00B879CD">
      <w:pPr>
        <w:rPr>
          <w:rStyle w:val="Hyperlink"/>
        </w:rPr>
      </w:pPr>
      <w:hyperlink r:id="rId14" w:history="1">
        <w:r w:rsidRPr="00854BFD">
          <w:rPr>
            <w:rStyle w:val="Hyperlink"/>
          </w:rPr>
          <w:t>New Age | 8,543 people killed in road accidents in Bangladesh in 2024: report</w:t>
        </w:r>
      </w:hyperlink>
    </w:p>
    <w:p w14:paraId="342A9F68" w14:textId="77777777" w:rsidR="00471EF6" w:rsidRPr="00B879CD" w:rsidRDefault="00471EF6" w:rsidP="00B879CD"/>
    <w:p w14:paraId="7B320D90" w14:textId="280BCC23" w:rsidR="00B879CD" w:rsidRPr="00B879CD" w:rsidRDefault="00E16C1D" w:rsidP="00B879CD">
      <w:r>
        <w:rPr>
          <w:rFonts w:ascii="Arial" w:hAnsi="Arial" w:cs="Arial"/>
          <w:noProof/>
          <w:color w:val="000000"/>
          <w:sz w:val="28"/>
          <w:szCs w:val="28"/>
          <w:bdr w:val="none" w:sz="0" w:space="0" w:color="auto" w:frame="1"/>
        </w:rPr>
        <w:drawing>
          <wp:inline distT="0" distB="0" distL="0" distR="0" wp14:anchorId="38FDB359" wp14:editId="7E83F99C">
            <wp:extent cx="4742815" cy="312547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2815" cy="3125470"/>
                    </a:xfrm>
                    <a:prstGeom prst="rect">
                      <a:avLst/>
                    </a:prstGeom>
                    <a:noFill/>
                    <a:ln>
                      <a:noFill/>
                    </a:ln>
                  </pic:spPr>
                </pic:pic>
              </a:graphicData>
            </a:graphic>
          </wp:inline>
        </w:drawing>
      </w:r>
    </w:p>
    <w:p w14:paraId="47195D17" w14:textId="4298FC8A" w:rsidR="00F265BE" w:rsidRPr="00F265BE" w:rsidRDefault="00F265BE" w:rsidP="00F265BE">
      <w:pPr>
        <w:jc w:val="center"/>
        <w:rPr>
          <w:sz w:val="20"/>
          <w:szCs w:val="20"/>
        </w:rPr>
      </w:pPr>
      <w:r w:rsidRPr="00F265BE">
        <w:rPr>
          <w:sz w:val="20"/>
          <w:szCs w:val="20"/>
        </w:rPr>
        <w:t>Fig: Number of deaths per vehicle category.</w:t>
      </w:r>
    </w:p>
    <w:p w14:paraId="2D8ECBEB" w14:textId="77777777" w:rsidR="00F265BE" w:rsidRDefault="00F265BE" w:rsidP="00F265BE">
      <w:pPr>
        <w:jc w:val="center"/>
      </w:pPr>
    </w:p>
    <w:p w14:paraId="64657AB6" w14:textId="0992281C" w:rsidR="00F265BE" w:rsidRPr="00F265BE" w:rsidRDefault="00F265BE" w:rsidP="00F265BE">
      <w:pPr>
        <w:jc w:val="both"/>
      </w:pPr>
      <w:r w:rsidRPr="00F265BE">
        <w:t>The chart, based on the Road Safety Foundation Report (January 2025), shows a clear picture of how different vehicles contributed to road deaths in Bangladesh. In 2024, there were 7,294 deaths and 12,019 injuries from 6,927 road accidents. The highest fatalities came from motorcycles (35.76%), highlighting their growing use and vulnerability due to poor safety measures and speeding. Three-wheelers, including battery-powered rickshaws and easy bikes, ranked second with 19.08% of deaths, showing that even low-speed vehicles can be deadly in mixed traffic conditions. Heavy vehicles like trucks and pickups (6.84%) and buses (5.05%) followed, often linked to reckless driving and road congestion. On the lower end, bicycles and manual rickshaws (2.68%) showed fewer deaths but remain common among low-income commuters. Overall, the chart underlines a serious road safety crisis, especially with the rise of electric and battery-powered vehicles (BPVs) in urban and semi-urban areas. As Bangladesh shifts toward EV adoption, ensuring driver training, safe road infrastructure, and regulation is vital to reduce fatalities and promote sustainable mobility.</w:t>
      </w:r>
    </w:p>
    <w:p w14:paraId="3693412B" w14:textId="77777777" w:rsidR="007E0F0D" w:rsidRDefault="007E0F0D" w:rsidP="00B879CD"/>
    <w:p w14:paraId="628C7624" w14:textId="720C9B3E" w:rsidR="00471EF6" w:rsidRPr="00471EF6" w:rsidRDefault="00471EF6" w:rsidP="00B879CD">
      <w:pPr>
        <w:rPr>
          <w:b/>
          <w:bCs/>
        </w:rPr>
      </w:pPr>
      <w:r w:rsidRPr="00471EF6">
        <w:rPr>
          <w:b/>
          <w:bCs/>
        </w:rPr>
        <w:t>Source/Ref:</w:t>
      </w:r>
    </w:p>
    <w:p w14:paraId="21C2D5EE" w14:textId="77777777" w:rsidR="00471EF6" w:rsidRDefault="00471EF6" w:rsidP="00471EF6">
      <w:r>
        <w:t>Road Safety Foundation (January 2025)</w:t>
      </w:r>
    </w:p>
    <w:p w14:paraId="4A95DA83" w14:textId="77777777" w:rsidR="00471EF6" w:rsidRDefault="00471EF6" w:rsidP="00471EF6">
      <w:r>
        <w:t>Bangladesh witnessed 7,294 deaths and 12,019 injuries from 6,927 road accidents in 2024.</w:t>
      </w:r>
    </w:p>
    <w:p w14:paraId="3D452C57" w14:textId="71EC9F44" w:rsidR="00471EF6" w:rsidRDefault="00471EF6" w:rsidP="00471EF6">
      <w:pPr>
        <w:rPr>
          <w:rStyle w:val="Hyperlink"/>
        </w:rPr>
      </w:pPr>
      <w:r>
        <w:lastRenderedPageBreak/>
        <w:t>SRC:</w:t>
      </w:r>
      <w:r w:rsidRPr="00854BFD">
        <w:t xml:space="preserve"> </w:t>
      </w:r>
      <w:hyperlink r:id="rId16" w:history="1">
        <w:r w:rsidRPr="00854BFD">
          <w:rPr>
            <w:rStyle w:val="Hyperlink"/>
          </w:rPr>
          <w:t xml:space="preserve">Bangladesh witnessed 7,294 road accident deaths in 2024: Report | Prothom </w:t>
        </w:r>
        <w:proofErr w:type="spellStart"/>
        <w:r w:rsidRPr="00854BFD">
          <w:rPr>
            <w:rStyle w:val="Hyperlink"/>
          </w:rPr>
          <w:t>Alo</w:t>
        </w:r>
        <w:proofErr w:type="spellEnd"/>
      </w:hyperlink>
    </w:p>
    <w:p w14:paraId="25C8C0FC" w14:textId="77777777" w:rsidR="00471EF6" w:rsidRDefault="00471EF6" w:rsidP="00471EF6"/>
    <w:p w14:paraId="4A3F56A8" w14:textId="568139CD" w:rsidR="00B879CD" w:rsidRPr="00B879CD" w:rsidRDefault="00B879CD" w:rsidP="00B879CD">
      <w:r w:rsidRPr="00B879CD">
        <w:br/>
      </w:r>
      <w:r w:rsidR="00E16C1D">
        <w:rPr>
          <w:rFonts w:ascii="Arial" w:hAnsi="Arial" w:cs="Arial"/>
          <w:noProof/>
          <w:color w:val="000000"/>
          <w:sz w:val="28"/>
          <w:szCs w:val="28"/>
          <w:bdr w:val="none" w:sz="0" w:space="0" w:color="auto" w:frame="1"/>
        </w:rPr>
        <w:drawing>
          <wp:inline distT="0" distB="0" distL="0" distR="0" wp14:anchorId="075518E1" wp14:editId="02C06110">
            <wp:extent cx="5943600" cy="3391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91535"/>
                    </a:xfrm>
                    <a:prstGeom prst="rect">
                      <a:avLst/>
                    </a:prstGeom>
                    <a:noFill/>
                    <a:ln>
                      <a:noFill/>
                    </a:ln>
                  </pic:spPr>
                </pic:pic>
              </a:graphicData>
            </a:graphic>
          </wp:inline>
        </w:drawing>
      </w:r>
    </w:p>
    <w:p w14:paraId="7AEC42EB" w14:textId="365E17D2" w:rsidR="00B879CD" w:rsidRDefault="00E16C1D" w:rsidP="00B879CD">
      <w:r>
        <w:rPr>
          <w:rFonts w:ascii="Arial" w:hAnsi="Arial" w:cs="Arial"/>
          <w:noProof/>
          <w:color w:val="000000"/>
          <w:sz w:val="28"/>
          <w:szCs w:val="28"/>
          <w:bdr w:val="none" w:sz="0" w:space="0" w:color="auto" w:frame="1"/>
        </w:rPr>
        <w:drawing>
          <wp:inline distT="0" distB="0" distL="0" distR="0" wp14:anchorId="0029A288" wp14:editId="35A1050F">
            <wp:extent cx="5943600" cy="35756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75685"/>
                    </a:xfrm>
                    <a:prstGeom prst="rect">
                      <a:avLst/>
                    </a:prstGeom>
                    <a:noFill/>
                    <a:ln>
                      <a:noFill/>
                    </a:ln>
                  </pic:spPr>
                </pic:pic>
              </a:graphicData>
            </a:graphic>
          </wp:inline>
        </w:drawing>
      </w:r>
    </w:p>
    <w:p w14:paraId="2A958D44" w14:textId="5C63E12F" w:rsidR="00915EC4" w:rsidRPr="00915EC4" w:rsidRDefault="00915EC4" w:rsidP="00915EC4">
      <w:pPr>
        <w:jc w:val="both"/>
      </w:pPr>
      <w:r w:rsidRPr="00915EC4">
        <w:lastRenderedPageBreak/>
        <w:t>The chart “Battery-Powered Vehicle Involvement (2019–2024)” shows the gradual rise in road accidents involving battery-powered vehicles (BPVs) and electric three-wheelers (E3Ws) in Bangladesh. Over six years, the percentage increased from 13% in 2019 to 16.56% in 2024, marking a steady upward trend. This rise reflects the rapid growth in the number of easy bikes and battery-run rickshaws, especially in urban and semi-urban areas where these vehicles serve as low-cost public transport. However, the increase in accident rates highlights major safety and regulatory challenges — such as lack of licensing, improper driver training, and inadequate traffic management. While BPVs contribute positively to reduced emissions and affordable mobility, their growing involvement in accidents raises concerns about infrastructure readiness and enforcement of safety standards. The trend emphasizes the urgent need for policy intervention, route regulation, and technical standardization to ensure that the shift toward electric mobility remains sustainable and safe for Bangladesh’s transportation ecosystem.</w:t>
      </w:r>
    </w:p>
    <w:p w14:paraId="242CFD21" w14:textId="77777777" w:rsidR="00F265BE" w:rsidRDefault="00F265BE" w:rsidP="00B879CD"/>
    <w:p w14:paraId="509BAF66" w14:textId="30F0A424" w:rsidR="00471EF6" w:rsidRPr="00471EF6" w:rsidRDefault="00471EF6" w:rsidP="00B879CD">
      <w:pPr>
        <w:rPr>
          <w:b/>
          <w:bCs/>
        </w:rPr>
      </w:pPr>
      <w:r w:rsidRPr="00471EF6">
        <w:rPr>
          <w:b/>
          <w:bCs/>
        </w:rPr>
        <w:t>Source/Ref:</w:t>
      </w:r>
    </w:p>
    <w:p w14:paraId="23999F79" w14:textId="77777777" w:rsidR="00471EF6" w:rsidRDefault="00471EF6" w:rsidP="00471EF6"/>
    <w:p w14:paraId="57879C41" w14:textId="77777777" w:rsidR="00471EF6" w:rsidRDefault="00471EF6" w:rsidP="00471EF6">
      <w:r>
        <w:t>## Electric Vehicles/Battery-Powered Vehicles (EVs/BPVs/E3Ws) Data:</w:t>
      </w:r>
    </w:p>
    <w:p w14:paraId="08AD4774" w14:textId="77777777" w:rsidR="00471EF6" w:rsidRDefault="00471EF6" w:rsidP="00471EF6">
      <w:r>
        <w:t>### 2024 Data:</w:t>
      </w:r>
      <w:r w:rsidRPr="00854BFD">
        <w:t xml:space="preserve"> </w:t>
      </w:r>
      <w:hyperlink r:id="rId19" w:history="1">
        <w:r w:rsidRPr="00854BFD">
          <w:rPr>
            <w:rStyle w:val="Hyperlink"/>
          </w:rPr>
          <w:t>New Age | 8,543 people killed in road accidents in Bangladesh in 2024: report</w:t>
        </w:r>
      </w:hyperlink>
    </w:p>
    <w:p w14:paraId="7A9AE81B" w14:textId="77777777" w:rsidR="00471EF6" w:rsidRDefault="00471EF6" w:rsidP="00471EF6">
      <w:r>
        <w:t>- Battery-powered rickshaws and easy bikes were involved in 16.56% of crashes in 2024</w:t>
      </w:r>
    </w:p>
    <w:p w14:paraId="30A6EC25" w14:textId="77777777" w:rsidR="00471EF6" w:rsidRDefault="00471EF6" w:rsidP="00471EF6">
      <w:r>
        <w:t>### 2023 Data:</w:t>
      </w:r>
      <w:r w:rsidRPr="00854BFD">
        <w:t xml:space="preserve"> </w:t>
      </w:r>
      <w:hyperlink r:id="rId20" w:history="1">
        <w:r w:rsidRPr="00854BFD">
          <w:rPr>
            <w:rStyle w:val="Hyperlink"/>
          </w:rPr>
          <w:t>Road accidents claim 7,902 lives in 2023 | The Business Standard</w:t>
        </w:r>
      </w:hyperlink>
    </w:p>
    <w:p w14:paraId="0EBE22B5" w14:textId="77777777" w:rsidR="00471EF6" w:rsidRDefault="00471EF6" w:rsidP="00471EF6">
      <w:r>
        <w:t xml:space="preserve">- Battery-operated rickshaws and </w:t>
      </w:r>
      <w:proofErr w:type="spellStart"/>
      <w:r>
        <w:t>easybikes</w:t>
      </w:r>
      <w:proofErr w:type="spellEnd"/>
      <w:r>
        <w:t xml:space="preserve"> accounted for 14.47% of vehicles involved in accidents in 2023</w:t>
      </w:r>
    </w:p>
    <w:p w14:paraId="33A0B254" w14:textId="77777777" w:rsidR="00471EF6" w:rsidRDefault="00471EF6" w:rsidP="00471EF6">
      <w:r>
        <w:t>### Historical Context:</w:t>
      </w:r>
      <w:r w:rsidRPr="00854BFD">
        <w:t xml:space="preserve"> </w:t>
      </w:r>
      <w:hyperlink r:id="rId21" w:history="1">
        <w:r w:rsidRPr="00854BFD">
          <w:rPr>
            <w:rStyle w:val="Hyperlink"/>
          </w:rPr>
          <w:t>Affordable Electric Three-Wheeler in Bangladesh: Prospects, Challenges, and Sustainable Solutions</w:t>
        </w:r>
      </w:hyperlink>
    </w:p>
    <w:p w14:paraId="36E615DC" w14:textId="77777777" w:rsidR="00471EF6" w:rsidRDefault="00471EF6" w:rsidP="00471EF6">
      <w:r>
        <w:t>- In 2019, 8% of fatal accidents in Dhaka district were caused by E3Ws, which was 13% for the whole country</w:t>
      </w:r>
    </w:p>
    <w:p w14:paraId="33E16E7E" w14:textId="77777777" w:rsidR="00471EF6" w:rsidRDefault="00471EF6" w:rsidP="00471EF6">
      <w:r>
        <w:t>- Approximately 1 million electric three-wheelers were operating in Bangladesh, projected to grow to 2.5 million by 2025</w:t>
      </w:r>
    </w:p>
    <w:p w14:paraId="6A589BE2" w14:textId="77777777" w:rsidR="00471EF6" w:rsidRDefault="00471EF6" w:rsidP="00471EF6"/>
    <w:p w14:paraId="150CB572" w14:textId="77777777" w:rsidR="00471EF6" w:rsidRDefault="00471EF6" w:rsidP="00B879CD"/>
    <w:p w14:paraId="6CEB9A7A" w14:textId="77777777" w:rsidR="00471EF6" w:rsidRPr="00B879CD" w:rsidRDefault="00471EF6" w:rsidP="00B879CD"/>
    <w:p w14:paraId="54D0340C" w14:textId="77777777" w:rsidR="00B879CD" w:rsidRPr="00B879CD" w:rsidRDefault="00B879CD" w:rsidP="00B879CD">
      <w:r w:rsidRPr="00B879CD">
        <w:rPr>
          <w:b/>
          <w:bCs/>
        </w:rPr>
        <w:t>5. Opportunities of Battery-Powered Vehicles</w:t>
      </w:r>
    </w:p>
    <w:p w14:paraId="526981CE" w14:textId="77777777" w:rsidR="00B879CD" w:rsidRPr="00B879CD" w:rsidRDefault="00B879CD" w:rsidP="00B879CD"/>
    <w:p w14:paraId="34A5A6AF" w14:textId="77777777" w:rsidR="00B879CD" w:rsidRPr="00B879CD" w:rsidRDefault="00B879CD" w:rsidP="00B879CD">
      <w:r w:rsidRPr="00B879CD">
        <w:rPr>
          <w:i/>
          <w:iCs/>
        </w:rPr>
        <w:t>Environmental Benefits</w:t>
      </w:r>
    </w:p>
    <w:p w14:paraId="51F86229" w14:textId="77777777" w:rsidR="00B879CD" w:rsidRPr="00B879CD" w:rsidRDefault="00B879CD" w:rsidP="00B879CD">
      <w:r w:rsidRPr="00B879CD">
        <w:rPr>
          <w:i/>
          <w:iCs/>
        </w:rPr>
        <w:t>Economic Opportunities</w:t>
      </w:r>
    </w:p>
    <w:p w14:paraId="40DAAFE3" w14:textId="77777777" w:rsidR="00B879CD" w:rsidRPr="00B879CD" w:rsidRDefault="00B879CD" w:rsidP="00B879CD">
      <w:r w:rsidRPr="00B879CD">
        <w:rPr>
          <w:i/>
          <w:iCs/>
        </w:rPr>
        <w:t>Energy Sector Integration</w:t>
      </w:r>
    </w:p>
    <w:p w14:paraId="209A6E02" w14:textId="77777777" w:rsidR="00B879CD" w:rsidRPr="00B879CD" w:rsidRDefault="00B879CD" w:rsidP="00B879CD">
      <w:r w:rsidRPr="00B879CD">
        <w:rPr>
          <w:i/>
          <w:iCs/>
        </w:rPr>
        <w:t>Urban Transport Efficiency</w:t>
      </w:r>
    </w:p>
    <w:p w14:paraId="5F7B14B2" w14:textId="77777777" w:rsidR="00B879CD" w:rsidRPr="00B879CD" w:rsidRDefault="00B879CD" w:rsidP="00B879CD">
      <w:r w:rsidRPr="00B879CD">
        <w:rPr>
          <w:i/>
          <w:iCs/>
        </w:rPr>
        <w:t>Technological Innovation</w:t>
      </w:r>
    </w:p>
    <w:p w14:paraId="0FD5E5EE" w14:textId="77777777" w:rsidR="00B879CD" w:rsidRPr="00B879CD" w:rsidRDefault="00B879CD" w:rsidP="00B879CD"/>
    <w:p w14:paraId="1BE29934" w14:textId="77777777" w:rsidR="00B879CD" w:rsidRPr="00B879CD" w:rsidRDefault="00B879CD" w:rsidP="00B879CD">
      <w:r w:rsidRPr="00B879CD">
        <w:rPr>
          <w:b/>
          <w:bCs/>
        </w:rPr>
        <w:t>6. Challenges and Barriers</w:t>
      </w:r>
    </w:p>
    <w:p w14:paraId="5F1C2D24" w14:textId="77777777" w:rsidR="00B879CD" w:rsidRPr="00B879CD" w:rsidRDefault="00B879CD" w:rsidP="00B879CD"/>
    <w:p w14:paraId="56FCA255" w14:textId="77777777" w:rsidR="00B879CD" w:rsidRPr="00B879CD" w:rsidRDefault="00B879CD" w:rsidP="00B879CD">
      <w:r w:rsidRPr="00B879CD">
        <w:rPr>
          <w:i/>
          <w:iCs/>
        </w:rPr>
        <w:t>Energy &amp; Infrastructure</w:t>
      </w:r>
    </w:p>
    <w:p w14:paraId="34EC7211" w14:textId="77777777" w:rsidR="00B879CD" w:rsidRPr="00B879CD" w:rsidRDefault="00B879CD" w:rsidP="00B879CD">
      <w:r w:rsidRPr="00B879CD">
        <w:rPr>
          <w:i/>
          <w:iCs/>
        </w:rPr>
        <w:t>Regulatory</w:t>
      </w:r>
    </w:p>
    <w:p w14:paraId="6DE0D22F" w14:textId="77777777" w:rsidR="00B879CD" w:rsidRPr="00B879CD" w:rsidRDefault="00B879CD" w:rsidP="00B879CD">
      <w:r w:rsidRPr="00B879CD">
        <w:rPr>
          <w:i/>
          <w:iCs/>
        </w:rPr>
        <w:t>Battery &amp; Waste Management</w:t>
      </w:r>
    </w:p>
    <w:p w14:paraId="64EC575F" w14:textId="77777777" w:rsidR="00B879CD" w:rsidRPr="00B879CD" w:rsidRDefault="00B879CD" w:rsidP="00B879CD">
      <w:r w:rsidRPr="00B879CD">
        <w:rPr>
          <w:i/>
          <w:iCs/>
        </w:rPr>
        <w:t>Economic</w:t>
      </w:r>
    </w:p>
    <w:p w14:paraId="59E0D2EB" w14:textId="77777777" w:rsidR="00B879CD" w:rsidRPr="00B879CD" w:rsidRDefault="00B879CD" w:rsidP="00B879CD">
      <w:r w:rsidRPr="00B879CD">
        <w:rPr>
          <w:i/>
          <w:iCs/>
        </w:rPr>
        <w:t>Social &amp; Safety Concerns</w:t>
      </w:r>
    </w:p>
    <w:p w14:paraId="2108616E" w14:textId="77777777" w:rsidR="00B879CD" w:rsidRDefault="00B879CD" w:rsidP="00B879CD"/>
    <w:p w14:paraId="10BD8EB6" w14:textId="7BCE6D5B" w:rsidR="000A30F5" w:rsidRDefault="000A30F5" w:rsidP="00B879CD">
      <w:r>
        <w:rPr>
          <w:rFonts w:ascii="Arial" w:hAnsi="Arial" w:cs="Arial"/>
          <w:noProof/>
          <w:color w:val="000000"/>
          <w:sz w:val="28"/>
          <w:szCs w:val="28"/>
          <w:bdr w:val="none" w:sz="0" w:space="0" w:color="auto" w:frame="1"/>
        </w:rPr>
        <w:lastRenderedPageBreak/>
        <w:drawing>
          <wp:inline distT="0" distB="0" distL="0" distR="0" wp14:anchorId="394635AB" wp14:editId="52CCBE21">
            <wp:extent cx="5943600" cy="4410075"/>
            <wp:effectExtent l="0" t="0" r="0" b="9525"/>
            <wp:docPr id="138477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10075"/>
                    </a:xfrm>
                    <a:prstGeom prst="rect">
                      <a:avLst/>
                    </a:prstGeom>
                    <a:noFill/>
                    <a:ln>
                      <a:noFill/>
                    </a:ln>
                  </pic:spPr>
                </pic:pic>
              </a:graphicData>
            </a:graphic>
          </wp:inline>
        </w:drawing>
      </w:r>
    </w:p>
    <w:p w14:paraId="6F77B554" w14:textId="77777777" w:rsidR="000A30F5" w:rsidRDefault="000A30F5" w:rsidP="00B879CD"/>
    <w:p w14:paraId="5E5A9B77" w14:textId="77777777" w:rsidR="000A30F5" w:rsidRDefault="000A30F5" w:rsidP="000A30F5">
      <w:pPr>
        <w:jc w:val="center"/>
      </w:pPr>
      <w:r>
        <w:t>Fig:</w:t>
      </w:r>
      <w:r w:rsidRPr="00625F1B">
        <w:t xml:space="preserve"> EV Battery Specs &amp; Trends – BD 2025</w:t>
      </w:r>
      <w:r w:rsidRPr="000578EF">
        <w:br/>
      </w:r>
    </w:p>
    <w:p w14:paraId="550B0064" w14:textId="77777777" w:rsidR="000A30F5" w:rsidRDefault="000A30F5" w:rsidP="00761D0F">
      <w:pPr>
        <w:jc w:val="both"/>
        <w:rPr>
          <w:lang w:val="en"/>
        </w:rPr>
      </w:pPr>
      <w:r w:rsidRPr="008349D5">
        <w:t>Electric Vehicle Battery Configuration-figure represents a diverse scenario based on voltage, power, chemistry and costing. Lead-Acid batteries are prioritized and remains in the first-layered E-Rickshaw for their affordable price, where the price range starts from 12,000 BDT. Yet they provide limited energy(1.68kWh) and short lifespan (300-600 cycles). On the other hand, Li-based batteries specially LiFePO</w:t>
      </w:r>
      <w:r w:rsidRPr="008349D5">
        <w:rPr>
          <w:vertAlign w:val="subscript"/>
        </w:rPr>
        <w:t>4</w:t>
      </w:r>
      <w:r w:rsidRPr="008349D5">
        <w:t xml:space="preserve"> gained the attraction for high energy density, long life-cycle (~4000 cycle). Although the higher price can be reached at 2,00,000 BDT. 12V to 60V energy output ranging from 1.28kWh to 10.8kWh offered by </w:t>
      </w:r>
      <w:proofErr w:type="spellStart"/>
      <w:r w:rsidRPr="008349D5">
        <w:rPr>
          <w:lang w:val="en"/>
        </w:rPr>
        <w:t>HyperEnergyBD's</w:t>
      </w:r>
      <w:proofErr w:type="spellEnd"/>
      <w:r w:rsidRPr="008349D5">
        <w:rPr>
          <w:lang w:val="en"/>
        </w:rPr>
        <w:t xml:space="preserve"> 60V 180Ah pack. 48V 110Ah Li-battery stands as a balanced alternative, of Electric Three Wheelers(E3Ws)/</w:t>
      </w:r>
      <w:proofErr w:type="spellStart"/>
      <w:r w:rsidRPr="008349D5">
        <w:rPr>
          <w:lang w:val="en"/>
        </w:rPr>
        <w:t>Mishuk</w:t>
      </w:r>
      <w:proofErr w:type="spellEnd"/>
      <w:r w:rsidRPr="008349D5">
        <w:rPr>
          <w:lang w:val="en"/>
        </w:rPr>
        <w:t>, which combines sustainability and moderate price with 5.28 kWh of energy.</w:t>
      </w:r>
      <w:r>
        <w:rPr>
          <w:lang w:val="en"/>
        </w:rPr>
        <w:t xml:space="preserve"> Moreover </w:t>
      </w:r>
      <w:proofErr w:type="spellStart"/>
      <w:r>
        <w:rPr>
          <w:lang w:val="en"/>
        </w:rPr>
        <w:t>Savx</w:t>
      </w:r>
      <w:proofErr w:type="spellEnd"/>
      <w:r>
        <w:rPr>
          <w:lang w:val="en"/>
        </w:rPr>
        <w:t xml:space="preserve">, </w:t>
      </w:r>
      <w:proofErr w:type="spellStart"/>
      <w:r>
        <w:rPr>
          <w:lang w:val="en"/>
        </w:rPr>
        <w:t>Liwatt</w:t>
      </w:r>
      <w:proofErr w:type="spellEnd"/>
      <w:r>
        <w:rPr>
          <w:lang w:val="en"/>
        </w:rPr>
        <w:t xml:space="preserve"> and </w:t>
      </w:r>
      <w:proofErr w:type="spellStart"/>
      <w:r>
        <w:rPr>
          <w:lang w:val="en"/>
        </w:rPr>
        <w:t>Sako</w:t>
      </w:r>
      <w:proofErr w:type="spellEnd"/>
      <w:r w:rsidRPr="008349D5">
        <w:rPr>
          <w:lang w:val="en"/>
        </w:rPr>
        <w:t xml:space="preserve"> </w:t>
      </w:r>
      <w:r>
        <w:rPr>
          <w:lang w:val="en"/>
        </w:rPr>
        <w:t>brands are launching specialized LiFePO</w:t>
      </w:r>
      <w:r w:rsidRPr="00247D9F">
        <w:rPr>
          <w:vertAlign w:val="subscript"/>
          <w:lang w:val="en"/>
        </w:rPr>
        <w:t>4</w:t>
      </w:r>
      <w:r>
        <w:rPr>
          <w:lang w:val="en"/>
        </w:rPr>
        <w:t xml:space="preserve"> packs made for small Electric Vehicles and two-wheelers. It expanding the range of applications beyond typical rickshaws. </w:t>
      </w:r>
      <w:r w:rsidRPr="008349D5">
        <w:rPr>
          <w:lang w:val="en"/>
        </w:rPr>
        <w:t>Finally, the market reflects the gradual changes towards Li-technology driven by performance, longevity and growing EV demand.</w:t>
      </w:r>
    </w:p>
    <w:p w14:paraId="0B57147A" w14:textId="77777777" w:rsidR="008D5D3A" w:rsidRPr="008349D5" w:rsidRDefault="008D5D3A" w:rsidP="00761D0F">
      <w:pPr>
        <w:jc w:val="both"/>
      </w:pPr>
    </w:p>
    <w:p w14:paraId="00B8901B" w14:textId="43410DE8" w:rsidR="000A30F5" w:rsidRDefault="000A30F5" w:rsidP="00B879CD">
      <w:r>
        <w:rPr>
          <w:rFonts w:ascii="Arial" w:hAnsi="Arial" w:cs="Arial"/>
          <w:noProof/>
          <w:color w:val="000000"/>
          <w:sz w:val="28"/>
          <w:szCs w:val="28"/>
          <w:bdr w:val="none" w:sz="0" w:space="0" w:color="auto" w:frame="1"/>
        </w:rPr>
        <w:drawing>
          <wp:inline distT="0" distB="0" distL="0" distR="0" wp14:anchorId="31BF5DA4" wp14:editId="55A1191C">
            <wp:extent cx="5943600" cy="3876675"/>
            <wp:effectExtent l="0" t="0" r="0" b="9525"/>
            <wp:docPr id="1625422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76675"/>
                    </a:xfrm>
                    <a:prstGeom prst="rect">
                      <a:avLst/>
                    </a:prstGeom>
                    <a:noFill/>
                    <a:ln>
                      <a:noFill/>
                    </a:ln>
                  </pic:spPr>
                </pic:pic>
              </a:graphicData>
            </a:graphic>
          </wp:inline>
        </w:drawing>
      </w:r>
    </w:p>
    <w:p w14:paraId="497407B6" w14:textId="77777777" w:rsidR="000A30F5" w:rsidRDefault="000A30F5" w:rsidP="00B879CD"/>
    <w:p w14:paraId="2CE73483" w14:textId="77777777" w:rsidR="000A30F5" w:rsidRDefault="000A30F5" w:rsidP="000A30F5">
      <w:pPr>
        <w:jc w:val="center"/>
      </w:pPr>
      <w:r w:rsidRPr="006D438D">
        <w:t>Figure: EV Battery Models – Life-Cycle vs. Price Comparison</w:t>
      </w:r>
    </w:p>
    <w:p w14:paraId="3CD65C95" w14:textId="77777777" w:rsidR="000A30F5" w:rsidRPr="00D54FC4" w:rsidRDefault="000A30F5" w:rsidP="00761D0F">
      <w:pPr>
        <w:jc w:val="both"/>
      </w:pPr>
      <w:r w:rsidRPr="006D438D">
        <w:t>The figure titled "Different Battery Models with their Average Life-Cycles and Price" presents a</w:t>
      </w:r>
      <w:r>
        <w:t xml:space="preserve"> comparative analysis of electric vehicle battery alternates and also it highlights the key trade-offs between costs and longevity. On the top, 60V 180Ah LiFePO</w:t>
      </w:r>
      <w:r w:rsidRPr="006D438D">
        <w:rPr>
          <w:vertAlign w:val="subscript"/>
        </w:rPr>
        <w:t>4</w:t>
      </w:r>
      <w:r>
        <w:t xml:space="preserve"> battery of </w:t>
      </w:r>
      <w:proofErr w:type="spellStart"/>
      <w:r>
        <w:t>HeperEnergyBD</w:t>
      </w:r>
      <w:proofErr w:type="spellEnd"/>
      <w:r>
        <w:t xml:space="preserve"> has a lifespan of 4000 life cycles and the price of 2,00,000 BDT, which make it ideal for high-performance EVs. Same as, </w:t>
      </w:r>
      <w:proofErr w:type="spellStart"/>
      <w:r>
        <w:t>Savx</w:t>
      </w:r>
      <w:proofErr w:type="spellEnd"/>
      <w:r>
        <w:t xml:space="preserve">, </w:t>
      </w:r>
      <w:proofErr w:type="spellStart"/>
      <w:r>
        <w:t>Liwatt</w:t>
      </w:r>
      <w:proofErr w:type="spellEnd"/>
      <w:r>
        <w:t xml:space="preserve"> and </w:t>
      </w:r>
      <w:proofErr w:type="spellStart"/>
      <w:r>
        <w:t>GreenTiger</w:t>
      </w:r>
      <w:proofErr w:type="spellEnd"/>
      <w:r>
        <w:t xml:space="preserve"> offer LiFePO</w:t>
      </w:r>
      <w:r w:rsidRPr="00690D25">
        <w:rPr>
          <w:vertAlign w:val="subscript"/>
        </w:rPr>
        <w:t>4</w:t>
      </w:r>
      <w:r>
        <w:t xml:space="preserve"> variants with 4000-cycle durability and the price ranging from 85000 to 1,30,000 BDT. They balance longevity and affordability. In contrast, the </w:t>
      </w:r>
      <w:proofErr w:type="spellStart"/>
      <w:r>
        <w:t>Hamco</w:t>
      </w:r>
      <w:proofErr w:type="spellEnd"/>
      <w:r>
        <w:t xml:space="preserve"> EV-140 and Power Plus 140Ah lead-acid models are the most budget-friendly, which priced around 12,000 to 13,500 BDT but they offer only 500-600 cycles. They are suitable for short-term use. Generic 12V 200Ah lead acid set offers a moderate price at 23,000 BDT with 800 cycles. </w:t>
      </w:r>
      <w:r w:rsidRPr="00D54FC4">
        <w:t>Export-grade lithium options like Alibaba's 60V 150Ah pack offer 2500 cycles at 150,000 BDT, which reflects international standards.</w:t>
      </w:r>
      <w:r>
        <w:t xml:space="preserve"> </w:t>
      </w:r>
      <w:r w:rsidRPr="00D54FC4">
        <w:t>It is remarkable that, Saco Li-Max 25.6V 100Ah delivers 3000 cycles for just 56,000 BDT. This makes it an affordable lithium choice for small EVs.</w:t>
      </w:r>
      <w:r>
        <w:t xml:space="preserve"> In fact</w:t>
      </w:r>
      <w:r w:rsidRPr="00D54FC4">
        <w:t>,</w:t>
      </w:r>
      <w:r>
        <w:t xml:space="preserve"> the figure represents</w:t>
      </w:r>
      <w:r w:rsidRPr="00D54FC4">
        <w:t xml:space="preserve"> a clear trend</w:t>
      </w:r>
      <w:r>
        <w:t xml:space="preserve"> of</w:t>
      </w:r>
      <w:r w:rsidRPr="00D54FC4">
        <w:t>:</w:t>
      </w:r>
      <w:r>
        <w:t xml:space="preserve"> LiFePO</w:t>
      </w:r>
      <w:r w:rsidRPr="00D54FC4">
        <w:rPr>
          <w:vertAlign w:val="subscript"/>
        </w:rPr>
        <w:t>4</w:t>
      </w:r>
      <w:r>
        <w:t xml:space="preserve"> battery dominates in terms of durability, while lead-acid remains the low-cost option. Mid-range Li-battery models offer the best balance for the growing demands of Electric Vehicle demand.</w:t>
      </w:r>
    </w:p>
    <w:p w14:paraId="06AA958D" w14:textId="77777777" w:rsidR="000A30F5" w:rsidRDefault="000A30F5" w:rsidP="000A30F5"/>
    <w:p w14:paraId="602DDF56" w14:textId="77777777" w:rsidR="00B64952" w:rsidRDefault="008D5D3A" w:rsidP="00B64952">
      <w:pPr>
        <w:rPr>
          <w:b/>
          <w:bCs/>
        </w:rPr>
      </w:pPr>
      <w:r w:rsidRPr="00824D10">
        <w:rPr>
          <w:b/>
          <w:bCs/>
        </w:rPr>
        <w:t>Source/</w:t>
      </w:r>
      <w:proofErr w:type="gramStart"/>
      <w:r w:rsidRPr="00824D10">
        <w:rPr>
          <w:b/>
          <w:bCs/>
        </w:rPr>
        <w:t>Ref :</w:t>
      </w:r>
      <w:proofErr w:type="gramEnd"/>
    </w:p>
    <w:p w14:paraId="72D987B2" w14:textId="77777777" w:rsidR="00B64952" w:rsidRPr="00B879CD" w:rsidRDefault="00B64952" w:rsidP="00B64952">
      <w:pPr>
        <w:rPr>
          <w:b/>
          <w:bCs/>
        </w:rPr>
      </w:pPr>
      <w:r w:rsidRPr="00B879CD">
        <w:rPr>
          <w:b/>
          <w:bCs/>
        </w:rPr>
        <w:t xml:space="preserve"> </w:t>
      </w:r>
    </w:p>
    <w:tbl>
      <w:tblPr>
        <w:tblW w:w="9117" w:type="dxa"/>
        <w:tblLook w:val="04A0" w:firstRow="1" w:lastRow="0" w:firstColumn="1" w:lastColumn="0" w:noHBand="0" w:noVBand="1"/>
      </w:tblPr>
      <w:tblGrid>
        <w:gridCol w:w="9117"/>
      </w:tblGrid>
      <w:tr w:rsidR="00B64952" w:rsidRPr="00B64952" w14:paraId="579EB389" w14:textId="77777777" w:rsidTr="00B64952">
        <w:trPr>
          <w:trHeight w:val="300"/>
        </w:trPr>
        <w:tc>
          <w:tcPr>
            <w:tcW w:w="9117" w:type="dxa"/>
            <w:tcBorders>
              <w:top w:val="nil"/>
              <w:left w:val="nil"/>
              <w:bottom w:val="nil"/>
              <w:right w:val="nil"/>
            </w:tcBorders>
            <w:shd w:val="clear" w:color="auto" w:fill="auto"/>
            <w:noWrap/>
            <w:vAlign w:val="bottom"/>
            <w:hideMark/>
          </w:tcPr>
          <w:p w14:paraId="1E37A416"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4" w:history="1">
              <w:r w:rsidRPr="00B64952">
                <w:rPr>
                  <w:rFonts w:ascii="Calibri" w:eastAsia="Times New Roman" w:hAnsi="Calibri" w:cs="Calibri"/>
                  <w:color w:val="0000FF"/>
                  <w:kern w:val="0"/>
                  <w:sz w:val="22"/>
                  <w:szCs w:val="22"/>
                  <w:u w:val="single"/>
                  <w14:ligatures w14:val="none"/>
                </w:rPr>
                <w:t>https://kotharakhi.com/product-tag/navana-easy-bike-battery-price-in-bangladesh/;%20https:/navana-battery.com/electric-vehicle-ev-easy-bike-battery/https://kotharakhi.com/product/navana-ev-140ah-battery-price-in-bangladesh/</w:t>
              </w:r>
            </w:hyperlink>
          </w:p>
        </w:tc>
      </w:tr>
      <w:tr w:rsidR="00B64952" w:rsidRPr="00B64952" w14:paraId="7076F74B" w14:textId="77777777" w:rsidTr="00B64952">
        <w:trPr>
          <w:trHeight w:val="300"/>
        </w:trPr>
        <w:tc>
          <w:tcPr>
            <w:tcW w:w="9117" w:type="dxa"/>
            <w:tcBorders>
              <w:top w:val="nil"/>
              <w:left w:val="nil"/>
              <w:bottom w:val="nil"/>
              <w:right w:val="nil"/>
            </w:tcBorders>
            <w:shd w:val="clear" w:color="auto" w:fill="auto"/>
            <w:noWrap/>
            <w:vAlign w:val="bottom"/>
            <w:hideMark/>
          </w:tcPr>
          <w:p w14:paraId="7E5A7CE9"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5" w:history="1">
              <w:r w:rsidRPr="00B64952">
                <w:rPr>
                  <w:rFonts w:ascii="Calibri" w:eastAsia="Times New Roman" w:hAnsi="Calibri" w:cs="Calibri"/>
                  <w:color w:val="0000FF"/>
                  <w:kern w:val="0"/>
                  <w:sz w:val="22"/>
                  <w:szCs w:val="22"/>
                  <w:u w:val="single"/>
                  <w14:ligatures w14:val="none"/>
                </w:rPr>
                <w:t>https://www.bdstall.com/details/hamko-ev-140-140ah-easy-bike-battery-77355/</w:t>
              </w:r>
            </w:hyperlink>
          </w:p>
        </w:tc>
      </w:tr>
      <w:tr w:rsidR="00B64952" w:rsidRPr="00B64952" w14:paraId="760AED8A" w14:textId="77777777" w:rsidTr="00B64952">
        <w:trPr>
          <w:trHeight w:val="300"/>
        </w:trPr>
        <w:tc>
          <w:tcPr>
            <w:tcW w:w="9117" w:type="dxa"/>
            <w:tcBorders>
              <w:top w:val="nil"/>
              <w:left w:val="nil"/>
              <w:bottom w:val="nil"/>
              <w:right w:val="nil"/>
            </w:tcBorders>
            <w:shd w:val="clear" w:color="auto" w:fill="auto"/>
            <w:noWrap/>
            <w:vAlign w:val="bottom"/>
            <w:hideMark/>
          </w:tcPr>
          <w:p w14:paraId="1EF9F3CE"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6" w:history="1">
              <w:r w:rsidRPr="00B64952">
                <w:rPr>
                  <w:rFonts w:ascii="Calibri" w:eastAsia="Times New Roman" w:hAnsi="Calibri" w:cs="Calibri"/>
                  <w:color w:val="0000FF"/>
                  <w:kern w:val="0"/>
                  <w:sz w:val="22"/>
                  <w:szCs w:val="22"/>
                  <w:u w:val="single"/>
                  <w14:ligatures w14:val="none"/>
                </w:rPr>
                <w:t>https://www.alibaba.com/product-detail/Low-Price-5-8-Seater-Mishuk_1601440331513.html</w:t>
              </w:r>
            </w:hyperlink>
          </w:p>
        </w:tc>
      </w:tr>
      <w:tr w:rsidR="00B64952" w:rsidRPr="00B64952" w14:paraId="07BCEB2B" w14:textId="77777777" w:rsidTr="00B64952">
        <w:trPr>
          <w:trHeight w:val="300"/>
        </w:trPr>
        <w:tc>
          <w:tcPr>
            <w:tcW w:w="9117" w:type="dxa"/>
            <w:tcBorders>
              <w:top w:val="nil"/>
              <w:left w:val="nil"/>
              <w:bottom w:val="nil"/>
              <w:right w:val="nil"/>
            </w:tcBorders>
            <w:shd w:val="clear" w:color="auto" w:fill="auto"/>
            <w:noWrap/>
            <w:vAlign w:val="bottom"/>
            <w:hideMark/>
          </w:tcPr>
          <w:p w14:paraId="1C47C0D2"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7" w:history="1">
              <w:r w:rsidRPr="00B64952">
                <w:rPr>
                  <w:rFonts w:ascii="Calibri" w:eastAsia="Times New Roman" w:hAnsi="Calibri" w:cs="Calibri"/>
                  <w:color w:val="0000FF"/>
                  <w:kern w:val="0"/>
                  <w:sz w:val="22"/>
                  <w:szCs w:val="22"/>
                  <w:u w:val="single"/>
                  <w14:ligatures w14:val="none"/>
                </w:rPr>
                <w:t>https://www.alibaba.com/product-detail/5-8-Seater-Mishuk-Auto-Rickshaw_1601439908761.html</w:t>
              </w:r>
            </w:hyperlink>
          </w:p>
        </w:tc>
      </w:tr>
      <w:tr w:rsidR="00B64952" w:rsidRPr="00B64952" w14:paraId="2C420EA4" w14:textId="77777777" w:rsidTr="00B64952">
        <w:trPr>
          <w:trHeight w:val="300"/>
        </w:trPr>
        <w:tc>
          <w:tcPr>
            <w:tcW w:w="9117" w:type="dxa"/>
            <w:tcBorders>
              <w:top w:val="nil"/>
              <w:left w:val="nil"/>
              <w:bottom w:val="nil"/>
              <w:right w:val="nil"/>
            </w:tcBorders>
            <w:shd w:val="clear" w:color="auto" w:fill="auto"/>
            <w:noWrap/>
            <w:vAlign w:val="bottom"/>
            <w:hideMark/>
          </w:tcPr>
          <w:p w14:paraId="759690E8"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8" w:history="1">
              <w:r w:rsidRPr="00B64952">
                <w:rPr>
                  <w:rFonts w:ascii="Calibri" w:eastAsia="Times New Roman" w:hAnsi="Calibri" w:cs="Calibri"/>
                  <w:color w:val="0000FF"/>
                  <w:kern w:val="0"/>
                  <w:sz w:val="22"/>
                  <w:szCs w:val="22"/>
                  <w:u w:val="single"/>
                  <w14:ligatures w14:val="none"/>
                </w:rPr>
                <w:t>https://bme.com.bd/savx-48v-100ah-lithium-battery</w:t>
              </w:r>
            </w:hyperlink>
          </w:p>
        </w:tc>
      </w:tr>
      <w:tr w:rsidR="00B64952" w:rsidRPr="00B64952" w14:paraId="79E8CAA1" w14:textId="77777777" w:rsidTr="00B64952">
        <w:trPr>
          <w:trHeight w:val="300"/>
        </w:trPr>
        <w:tc>
          <w:tcPr>
            <w:tcW w:w="9117" w:type="dxa"/>
            <w:tcBorders>
              <w:top w:val="nil"/>
              <w:left w:val="nil"/>
              <w:bottom w:val="nil"/>
              <w:right w:val="nil"/>
            </w:tcBorders>
            <w:shd w:val="clear" w:color="auto" w:fill="auto"/>
            <w:noWrap/>
            <w:vAlign w:val="bottom"/>
            <w:hideMark/>
          </w:tcPr>
          <w:p w14:paraId="7D3874E1"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29" w:history="1">
              <w:r w:rsidRPr="00B64952">
                <w:rPr>
                  <w:rFonts w:ascii="Calibri" w:eastAsia="Times New Roman" w:hAnsi="Calibri" w:cs="Calibri"/>
                  <w:color w:val="0000FF"/>
                  <w:kern w:val="0"/>
                  <w:sz w:val="22"/>
                  <w:szCs w:val="22"/>
                  <w:u w:val="single"/>
                  <w14:ligatures w14:val="none"/>
                </w:rPr>
                <w:t>https://www.hyperenergybd.com/product/60v-180ah-lithium-phosphate-battery-for-easy-bike-auto/</w:t>
              </w:r>
            </w:hyperlink>
          </w:p>
        </w:tc>
      </w:tr>
      <w:tr w:rsidR="00B64952" w:rsidRPr="00B64952" w14:paraId="444F9D6E" w14:textId="77777777" w:rsidTr="00B64952">
        <w:trPr>
          <w:trHeight w:val="300"/>
        </w:trPr>
        <w:tc>
          <w:tcPr>
            <w:tcW w:w="9117" w:type="dxa"/>
            <w:tcBorders>
              <w:top w:val="nil"/>
              <w:left w:val="nil"/>
              <w:bottom w:val="nil"/>
              <w:right w:val="nil"/>
            </w:tcBorders>
            <w:shd w:val="clear" w:color="auto" w:fill="auto"/>
            <w:noWrap/>
            <w:vAlign w:val="bottom"/>
            <w:hideMark/>
          </w:tcPr>
          <w:p w14:paraId="72B27C18"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30" w:history="1">
              <w:r w:rsidRPr="00B64952">
                <w:rPr>
                  <w:rFonts w:ascii="Calibri" w:eastAsia="Times New Roman" w:hAnsi="Calibri" w:cs="Calibri"/>
                  <w:color w:val="0000FF"/>
                  <w:kern w:val="0"/>
                  <w:sz w:val="22"/>
                  <w:szCs w:val="22"/>
                  <w:u w:val="single"/>
                  <w14:ligatures w14:val="none"/>
                </w:rPr>
                <w:t>https://ipshatbazar.com/products/809228</w:t>
              </w:r>
            </w:hyperlink>
          </w:p>
        </w:tc>
      </w:tr>
      <w:tr w:rsidR="00B64952" w:rsidRPr="00B64952" w14:paraId="59B4C8F9" w14:textId="77777777" w:rsidTr="00B64952">
        <w:trPr>
          <w:trHeight w:val="300"/>
        </w:trPr>
        <w:tc>
          <w:tcPr>
            <w:tcW w:w="9117" w:type="dxa"/>
            <w:tcBorders>
              <w:top w:val="nil"/>
              <w:left w:val="nil"/>
              <w:bottom w:val="nil"/>
              <w:right w:val="nil"/>
            </w:tcBorders>
            <w:shd w:val="clear" w:color="auto" w:fill="auto"/>
            <w:noWrap/>
            <w:vAlign w:val="bottom"/>
            <w:hideMark/>
          </w:tcPr>
          <w:p w14:paraId="3D57506A"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31" w:history="1">
              <w:r w:rsidRPr="00B64952">
                <w:rPr>
                  <w:rFonts w:ascii="Calibri" w:eastAsia="Times New Roman" w:hAnsi="Calibri" w:cs="Calibri"/>
                  <w:color w:val="0000FF"/>
                  <w:kern w:val="0"/>
                  <w:sz w:val="22"/>
                  <w:szCs w:val="22"/>
                  <w:u w:val="single"/>
                  <w14:ligatures w14:val="none"/>
                </w:rPr>
                <w:t>https://solarsystembd.com/shop/battery/liwatt-lithium-ion-battery-48v-100-ah-telecom/</w:t>
              </w:r>
            </w:hyperlink>
          </w:p>
        </w:tc>
      </w:tr>
      <w:tr w:rsidR="00B64952" w:rsidRPr="00B64952" w14:paraId="10AD16AD" w14:textId="77777777" w:rsidTr="00B64952">
        <w:trPr>
          <w:trHeight w:val="300"/>
        </w:trPr>
        <w:tc>
          <w:tcPr>
            <w:tcW w:w="9117" w:type="dxa"/>
            <w:tcBorders>
              <w:top w:val="nil"/>
              <w:left w:val="nil"/>
              <w:bottom w:val="nil"/>
              <w:right w:val="nil"/>
            </w:tcBorders>
            <w:shd w:val="clear" w:color="auto" w:fill="auto"/>
            <w:noWrap/>
            <w:vAlign w:val="bottom"/>
            <w:hideMark/>
          </w:tcPr>
          <w:p w14:paraId="078EE9D4"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32" w:history="1">
              <w:r w:rsidRPr="00B64952">
                <w:rPr>
                  <w:rFonts w:ascii="Calibri" w:eastAsia="Times New Roman" w:hAnsi="Calibri" w:cs="Calibri"/>
                  <w:color w:val="0000FF"/>
                  <w:kern w:val="0"/>
                  <w:sz w:val="22"/>
                  <w:szCs w:val="22"/>
                  <w:u w:val="single"/>
                  <w14:ligatures w14:val="none"/>
                </w:rPr>
                <w:t>https://kotharakhi.com/product/power-plus-140-ah-easy-bike-battery-price-in-bangladesh/</w:t>
              </w:r>
            </w:hyperlink>
          </w:p>
        </w:tc>
      </w:tr>
      <w:tr w:rsidR="00B64952" w:rsidRPr="00B64952" w14:paraId="008116C2" w14:textId="77777777" w:rsidTr="00B64952">
        <w:trPr>
          <w:trHeight w:val="300"/>
        </w:trPr>
        <w:tc>
          <w:tcPr>
            <w:tcW w:w="9117" w:type="dxa"/>
            <w:tcBorders>
              <w:top w:val="nil"/>
              <w:left w:val="nil"/>
              <w:bottom w:val="nil"/>
              <w:right w:val="nil"/>
            </w:tcBorders>
            <w:shd w:val="clear" w:color="auto" w:fill="auto"/>
            <w:noWrap/>
            <w:vAlign w:val="bottom"/>
            <w:hideMark/>
          </w:tcPr>
          <w:p w14:paraId="5B4BA836"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33" w:history="1">
              <w:r w:rsidRPr="00B64952">
                <w:rPr>
                  <w:rFonts w:ascii="Calibri" w:eastAsia="Times New Roman" w:hAnsi="Calibri" w:cs="Calibri"/>
                  <w:color w:val="0000FF"/>
                  <w:kern w:val="0"/>
                  <w:sz w:val="22"/>
                  <w:szCs w:val="22"/>
                  <w:u w:val="single"/>
                  <w14:ligatures w14:val="none"/>
                </w:rPr>
                <w:t>https://bme.com.bd/savx-12v-100ah-lifep04-lithium-battery</w:t>
              </w:r>
            </w:hyperlink>
          </w:p>
        </w:tc>
      </w:tr>
      <w:tr w:rsidR="00B64952" w:rsidRPr="00B64952" w14:paraId="481A85FD" w14:textId="77777777" w:rsidTr="00B64952">
        <w:trPr>
          <w:trHeight w:val="300"/>
        </w:trPr>
        <w:tc>
          <w:tcPr>
            <w:tcW w:w="9117" w:type="dxa"/>
            <w:tcBorders>
              <w:top w:val="nil"/>
              <w:left w:val="nil"/>
              <w:bottom w:val="nil"/>
              <w:right w:val="nil"/>
            </w:tcBorders>
            <w:shd w:val="clear" w:color="auto" w:fill="auto"/>
            <w:noWrap/>
            <w:vAlign w:val="bottom"/>
            <w:hideMark/>
          </w:tcPr>
          <w:p w14:paraId="7352BC9B" w14:textId="77777777" w:rsidR="00B64952" w:rsidRPr="00B64952" w:rsidRDefault="00B64952" w:rsidP="00B64952">
            <w:pPr>
              <w:spacing w:after="0" w:line="240" w:lineRule="auto"/>
              <w:rPr>
                <w:rFonts w:ascii="Calibri" w:eastAsia="Times New Roman" w:hAnsi="Calibri" w:cs="Calibri"/>
                <w:color w:val="0000FF"/>
                <w:kern w:val="0"/>
                <w:sz w:val="22"/>
                <w:szCs w:val="22"/>
                <w:u w:val="single"/>
                <w14:ligatures w14:val="none"/>
              </w:rPr>
            </w:pPr>
            <w:hyperlink r:id="rId34" w:history="1">
              <w:r w:rsidRPr="00B64952">
                <w:rPr>
                  <w:rFonts w:ascii="Calibri" w:eastAsia="Times New Roman" w:hAnsi="Calibri" w:cs="Calibri"/>
                  <w:color w:val="0000FF"/>
                  <w:kern w:val="0"/>
                  <w:sz w:val="22"/>
                  <w:szCs w:val="22"/>
                  <w:u w:val="single"/>
                  <w14:ligatures w14:val="none"/>
                </w:rPr>
                <w:t>https://kotharakhi.com/product/voltex-200ah-ips-battery-price-in-bangladesh/</w:t>
              </w:r>
            </w:hyperlink>
          </w:p>
        </w:tc>
      </w:tr>
    </w:tbl>
    <w:p w14:paraId="031571ED" w14:textId="10F06EDB" w:rsidR="00B64952" w:rsidRDefault="00B64952" w:rsidP="00B64952">
      <w:pPr>
        <w:rPr>
          <w:b/>
          <w:bCs/>
        </w:rPr>
      </w:pPr>
    </w:p>
    <w:p w14:paraId="517D305D" w14:textId="77777777" w:rsidR="00B64952" w:rsidRPr="00B879CD" w:rsidRDefault="00B64952" w:rsidP="00B64952">
      <w:pPr>
        <w:rPr>
          <w:b/>
          <w:bCs/>
        </w:rPr>
      </w:pPr>
    </w:p>
    <w:p w14:paraId="598E8D8E" w14:textId="1C81ED1A" w:rsidR="00B879CD" w:rsidRPr="00B879CD" w:rsidRDefault="00B879CD" w:rsidP="00B879CD">
      <w:r w:rsidRPr="00B879CD">
        <w:rPr>
          <w:b/>
          <w:bCs/>
        </w:rPr>
        <w:t>Table 5: Framework for Managing and Reducing Challenges of Battery-Powered Electric Vehicles in Bangladesh</w:t>
      </w:r>
    </w:p>
    <w:p w14:paraId="4CD95D32" w14:textId="7B13BC16" w:rsidR="00B879CD" w:rsidRDefault="00E16C1D" w:rsidP="00B879CD">
      <w:r>
        <w:rPr>
          <w:rFonts w:ascii="Arial" w:hAnsi="Arial" w:cs="Arial"/>
          <w:noProof/>
          <w:color w:val="000000"/>
          <w:sz w:val="28"/>
          <w:szCs w:val="28"/>
          <w:bdr w:val="none" w:sz="0" w:space="0" w:color="auto" w:frame="1"/>
        </w:rPr>
        <w:drawing>
          <wp:inline distT="0" distB="0" distL="0" distR="0" wp14:anchorId="2C1BB3EB" wp14:editId="10B05616">
            <wp:extent cx="5943600" cy="2749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5D40666B" w14:textId="77777777" w:rsidR="000A30F5" w:rsidRDefault="000A30F5" w:rsidP="00B879CD"/>
    <w:p w14:paraId="07F796A5" w14:textId="77777777" w:rsidR="000A30F5" w:rsidRPr="000578EF" w:rsidRDefault="000A30F5" w:rsidP="000A30F5"/>
    <w:p w14:paraId="10F5B2AF" w14:textId="77777777" w:rsidR="000A30F5" w:rsidRDefault="000A30F5">
      <w:pPr>
        <w:rPr>
          <w:b/>
          <w:bCs/>
        </w:rPr>
      </w:pPr>
      <w:r>
        <w:rPr>
          <w:b/>
          <w:bCs/>
        </w:rPr>
        <w:lastRenderedPageBreak/>
        <w:br w:type="page"/>
      </w:r>
    </w:p>
    <w:p w14:paraId="405AE067" w14:textId="4C3B1086" w:rsidR="000A30F5" w:rsidRPr="000578EF" w:rsidRDefault="000A30F5" w:rsidP="000A30F5">
      <w:r w:rsidRPr="000578EF">
        <w:rPr>
          <w:b/>
          <w:bCs/>
        </w:rPr>
        <w:lastRenderedPageBreak/>
        <w:t>Table 5: Framework for Managing and Reducing Challenges of Battery-Powered Electric Vehicles in Bangladesh</w:t>
      </w:r>
    </w:p>
    <w:tbl>
      <w:tblPr>
        <w:tblW w:w="0" w:type="auto"/>
        <w:tblCellMar>
          <w:top w:w="15" w:type="dxa"/>
          <w:left w:w="15" w:type="dxa"/>
          <w:bottom w:w="15" w:type="dxa"/>
          <w:right w:w="15" w:type="dxa"/>
        </w:tblCellMar>
        <w:tblLook w:val="04A0" w:firstRow="1" w:lastRow="0" w:firstColumn="1" w:lastColumn="0" w:noHBand="0" w:noVBand="1"/>
      </w:tblPr>
      <w:tblGrid>
        <w:gridCol w:w="1537"/>
        <w:gridCol w:w="1557"/>
        <w:gridCol w:w="1581"/>
        <w:gridCol w:w="1539"/>
        <w:gridCol w:w="1679"/>
        <w:gridCol w:w="1467"/>
      </w:tblGrid>
      <w:tr w:rsidR="000A30F5" w:rsidRPr="000578EF" w14:paraId="7BCCE539" w14:textId="77777777" w:rsidTr="00732F5B">
        <w:trPr>
          <w:trHeight w:val="180"/>
        </w:trPr>
        <w:tc>
          <w:tcPr>
            <w:tcW w:w="0" w:type="auto"/>
            <w:tcBorders>
              <w:top w:val="single" w:sz="6" w:space="0" w:color="000000"/>
              <w:bottom w:val="single" w:sz="6" w:space="0" w:color="000000"/>
            </w:tcBorders>
            <w:tcMar>
              <w:top w:w="0" w:type="dxa"/>
              <w:left w:w="100" w:type="dxa"/>
              <w:bottom w:w="0" w:type="dxa"/>
              <w:right w:w="100" w:type="dxa"/>
            </w:tcMar>
            <w:hideMark/>
          </w:tcPr>
          <w:p w14:paraId="795FAC8D" w14:textId="77777777" w:rsidR="000A30F5" w:rsidRPr="000578EF" w:rsidRDefault="000A30F5" w:rsidP="00732F5B">
            <w:r w:rsidRPr="000578EF">
              <w:t> </w:t>
            </w:r>
          </w:p>
        </w:tc>
        <w:tc>
          <w:tcPr>
            <w:tcW w:w="0" w:type="auto"/>
            <w:tcBorders>
              <w:top w:val="single" w:sz="6" w:space="0" w:color="000000"/>
              <w:bottom w:val="single" w:sz="6" w:space="0" w:color="000000"/>
            </w:tcBorders>
            <w:tcMar>
              <w:top w:w="0" w:type="dxa"/>
              <w:left w:w="100" w:type="dxa"/>
              <w:bottom w:w="0" w:type="dxa"/>
              <w:right w:w="100" w:type="dxa"/>
            </w:tcMar>
            <w:hideMark/>
          </w:tcPr>
          <w:p w14:paraId="666B94F5" w14:textId="77777777" w:rsidR="000A30F5" w:rsidRPr="000578EF" w:rsidRDefault="000A30F5" w:rsidP="00732F5B">
            <w:r w:rsidRPr="000578EF">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83E5F08" w14:textId="77777777" w:rsidR="000A30F5" w:rsidRPr="000578EF" w:rsidRDefault="000A30F5" w:rsidP="00732F5B">
            <w:r w:rsidRPr="000578EF">
              <w:t> </w:t>
            </w:r>
          </w:p>
        </w:tc>
        <w:tc>
          <w:tcPr>
            <w:tcW w:w="0" w:type="auto"/>
            <w:tcBorders>
              <w:top w:val="single" w:sz="6" w:space="0" w:color="000000"/>
              <w:bottom w:val="single" w:sz="6" w:space="0" w:color="000000"/>
            </w:tcBorders>
            <w:tcMar>
              <w:top w:w="0" w:type="dxa"/>
              <w:left w:w="100" w:type="dxa"/>
              <w:bottom w:w="0" w:type="dxa"/>
              <w:right w:w="100" w:type="dxa"/>
            </w:tcMar>
            <w:hideMark/>
          </w:tcPr>
          <w:p w14:paraId="1BD0A28E" w14:textId="77777777" w:rsidR="000A30F5" w:rsidRPr="000578EF" w:rsidRDefault="000A30F5" w:rsidP="00732F5B">
            <w:r w:rsidRPr="000578EF">
              <w:t> </w:t>
            </w:r>
          </w:p>
        </w:tc>
        <w:tc>
          <w:tcPr>
            <w:tcW w:w="0" w:type="auto"/>
            <w:tcBorders>
              <w:top w:val="single" w:sz="6" w:space="0" w:color="000000"/>
              <w:bottom w:val="single" w:sz="6" w:space="0" w:color="000000"/>
            </w:tcBorders>
            <w:tcMar>
              <w:top w:w="0" w:type="dxa"/>
              <w:left w:w="100" w:type="dxa"/>
              <w:bottom w:w="0" w:type="dxa"/>
              <w:right w:w="100" w:type="dxa"/>
            </w:tcMar>
            <w:hideMark/>
          </w:tcPr>
          <w:p w14:paraId="2DF8E399" w14:textId="77777777" w:rsidR="000A30F5" w:rsidRPr="000578EF" w:rsidRDefault="000A30F5" w:rsidP="00732F5B">
            <w:r w:rsidRPr="000578EF">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0403F65" w14:textId="77777777" w:rsidR="000A30F5" w:rsidRPr="000578EF" w:rsidRDefault="000A30F5" w:rsidP="00732F5B">
            <w:r w:rsidRPr="000578EF">
              <w:t> </w:t>
            </w:r>
          </w:p>
        </w:tc>
      </w:tr>
      <w:tr w:rsidR="000A30F5" w:rsidRPr="000578EF" w14:paraId="2A1A7F1B" w14:textId="77777777" w:rsidTr="00732F5B">
        <w:trPr>
          <w:trHeight w:val="675"/>
        </w:trPr>
        <w:tc>
          <w:tcPr>
            <w:tcW w:w="0" w:type="auto"/>
            <w:tcBorders>
              <w:top w:val="single" w:sz="6" w:space="0" w:color="000000"/>
              <w:bottom w:val="single" w:sz="6" w:space="0" w:color="000000"/>
            </w:tcBorders>
            <w:tcMar>
              <w:top w:w="0" w:type="dxa"/>
              <w:left w:w="100" w:type="dxa"/>
              <w:bottom w:w="0" w:type="dxa"/>
              <w:right w:w="100" w:type="dxa"/>
            </w:tcMar>
            <w:hideMark/>
          </w:tcPr>
          <w:p w14:paraId="7E82AC3F" w14:textId="77777777" w:rsidR="000A30F5" w:rsidRPr="000578EF" w:rsidRDefault="000A30F5" w:rsidP="00732F5B">
            <w:r w:rsidRPr="000578EF">
              <w:rPr>
                <w:b/>
                <w:bCs/>
              </w:rPr>
              <w:t>Safety and Structural Management</w:t>
            </w:r>
          </w:p>
        </w:tc>
        <w:tc>
          <w:tcPr>
            <w:tcW w:w="0" w:type="auto"/>
            <w:tcBorders>
              <w:top w:val="single" w:sz="6" w:space="0" w:color="000000"/>
              <w:bottom w:val="single" w:sz="6" w:space="0" w:color="000000"/>
            </w:tcBorders>
            <w:tcMar>
              <w:top w:w="0" w:type="dxa"/>
              <w:left w:w="100" w:type="dxa"/>
              <w:bottom w:w="0" w:type="dxa"/>
              <w:right w:w="100" w:type="dxa"/>
            </w:tcMar>
            <w:hideMark/>
          </w:tcPr>
          <w:p w14:paraId="7616E67E" w14:textId="77777777" w:rsidR="000A30F5" w:rsidRPr="000578EF" w:rsidRDefault="000A30F5" w:rsidP="00732F5B">
            <w:r w:rsidRPr="000578EF">
              <w:rPr>
                <w:b/>
                <w:bCs/>
              </w:rPr>
              <w:t>Traffic and Congestion Control</w:t>
            </w:r>
          </w:p>
        </w:tc>
        <w:tc>
          <w:tcPr>
            <w:tcW w:w="0" w:type="auto"/>
            <w:tcBorders>
              <w:top w:val="single" w:sz="6" w:space="0" w:color="000000"/>
              <w:bottom w:val="single" w:sz="6" w:space="0" w:color="000000"/>
            </w:tcBorders>
            <w:tcMar>
              <w:top w:w="0" w:type="dxa"/>
              <w:left w:w="100" w:type="dxa"/>
              <w:bottom w:w="0" w:type="dxa"/>
              <w:right w:w="100" w:type="dxa"/>
            </w:tcMar>
            <w:hideMark/>
          </w:tcPr>
          <w:p w14:paraId="6795687B" w14:textId="77777777" w:rsidR="000A30F5" w:rsidRPr="000578EF" w:rsidRDefault="000A30F5" w:rsidP="00732F5B">
            <w:r w:rsidRPr="000578EF">
              <w:rPr>
                <w:b/>
                <w:bCs/>
              </w:rPr>
              <w:t>Driver Licensing and Age Verification</w:t>
            </w:r>
          </w:p>
        </w:tc>
        <w:tc>
          <w:tcPr>
            <w:tcW w:w="0" w:type="auto"/>
            <w:tcBorders>
              <w:top w:val="single" w:sz="6" w:space="0" w:color="000000"/>
              <w:bottom w:val="single" w:sz="6" w:space="0" w:color="000000"/>
            </w:tcBorders>
            <w:tcMar>
              <w:top w:w="0" w:type="dxa"/>
              <w:left w:w="100" w:type="dxa"/>
              <w:bottom w:w="0" w:type="dxa"/>
              <w:right w:w="100" w:type="dxa"/>
            </w:tcMar>
            <w:hideMark/>
          </w:tcPr>
          <w:p w14:paraId="69D6287F" w14:textId="77777777" w:rsidR="000A30F5" w:rsidRPr="000578EF" w:rsidRDefault="000A30F5" w:rsidP="00732F5B">
            <w:r w:rsidRPr="000578EF">
              <w:rPr>
                <w:b/>
                <w:bCs/>
              </w:rPr>
              <w:t>Electrical Grid Integration and Load Management</w:t>
            </w:r>
          </w:p>
        </w:tc>
        <w:tc>
          <w:tcPr>
            <w:tcW w:w="0" w:type="auto"/>
            <w:tcBorders>
              <w:top w:val="single" w:sz="6" w:space="0" w:color="000000"/>
              <w:bottom w:val="single" w:sz="6" w:space="0" w:color="000000"/>
            </w:tcBorders>
            <w:tcMar>
              <w:top w:w="0" w:type="dxa"/>
              <w:left w:w="100" w:type="dxa"/>
              <w:bottom w:w="0" w:type="dxa"/>
              <w:right w:w="100" w:type="dxa"/>
            </w:tcMar>
            <w:hideMark/>
          </w:tcPr>
          <w:p w14:paraId="57DC8CF7" w14:textId="77777777" w:rsidR="000A30F5" w:rsidRPr="000578EF" w:rsidRDefault="000A30F5" w:rsidP="00732F5B">
            <w:r w:rsidRPr="000578EF">
              <w:rPr>
                <w:b/>
                <w:bCs/>
              </w:rPr>
              <w:t>Battery Quality and Lifecycle Management</w:t>
            </w:r>
          </w:p>
        </w:tc>
        <w:tc>
          <w:tcPr>
            <w:tcW w:w="0" w:type="auto"/>
            <w:tcBorders>
              <w:top w:val="single" w:sz="6" w:space="0" w:color="000000"/>
              <w:bottom w:val="single" w:sz="6" w:space="0" w:color="000000"/>
            </w:tcBorders>
            <w:tcMar>
              <w:top w:w="0" w:type="dxa"/>
              <w:left w:w="100" w:type="dxa"/>
              <w:bottom w:w="0" w:type="dxa"/>
              <w:right w:w="100" w:type="dxa"/>
            </w:tcMar>
            <w:hideMark/>
          </w:tcPr>
          <w:p w14:paraId="4318D119" w14:textId="77777777" w:rsidR="000A30F5" w:rsidRPr="000578EF" w:rsidRDefault="000A30F5" w:rsidP="00732F5B">
            <w:r w:rsidRPr="000578EF">
              <w:rPr>
                <w:b/>
                <w:bCs/>
              </w:rPr>
              <w:t>License Tracking and Vehicle Registration</w:t>
            </w:r>
          </w:p>
        </w:tc>
      </w:tr>
      <w:tr w:rsidR="000A30F5" w:rsidRPr="000578EF" w14:paraId="10DE85C4" w14:textId="77777777" w:rsidTr="00732F5B">
        <w:trPr>
          <w:trHeight w:val="2820"/>
        </w:trPr>
        <w:tc>
          <w:tcPr>
            <w:tcW w:w="0" w:type="auto"/>
            <w:tcBorders>
              <w:top w:val="single" w:sz="6" w:space="0" w:color="000000"/>
              <w:bottom w:val="single" w:sz="6" w:space="0" w:color="000000"/>
            </w:tcBorders>
            <w:tcMar>
              <w:top w:w="0" w:type="dxa"/>
              <w:left w:w="100" w:type="dxa"/>
              <w:bottom w:w="0" w:type="dxa"/>
              <w:right w:w="100" w:type="dxa"/>
            </w:tcMar>
            <w:hideMark/>
          </w:tcPr>
          <w:p w14:paraId="558AEC2D" w14:textId="77777777" w:rsidR="000A30F5" w:rsidRPr="000578EF" w:rsidRDefault="000A30F5" w:rsidP="00732F5B">
            <w:r w:rsidRPr="000578EF">
              <w:t xml:space="preserve">• </w:t>
            </w:r>
            <w:r w:rsidRPr="00752C42">
              <w:t>Safety standards, vehicle inspection</w:t>
            </w:r>
            <w:r w:rsidRPr="000578EF">
              <w:br/>
              <w:t xml:space="preserve"> • </w:t>
            </w:r>
            <w:r w:rsidRPr="00752C42">
              <w:t>Braking issues, suspension faults</w:t>
            </w:r>
            <w:r w:rsidRPr="000578EF">
              <w:br/>
              <w:t xml:space="preserve"> • </w:t>
            </w:r>
            <w:r w:rsidRPr="00752C42">
              <w:t>Structural integrity, rollover risk</w:t>
            </w:r>
          </w:p>
        </w:tc>
        <w:tc>
          <w:tcPr>
            <w:tcW w:w="0" w:type="auto"/>
            <w:tcBorders>
              <w:top w:val="single" w:sz="6" w:space="0" w:color="000000"/>
              <w:bottom w:val="single" w:sz="6" w:space="0" w:color="000000"/>
            </w:tcBorders>
            <w:tcMar>
              <w:top w:w="0" w:type="dxa"/>
              <w:left w:w="100" w:type="dxa"/>
              <w:bottom w:w="0" w:type="dxa"/>
              <w:right w:w="100" w:type="dxa"/>
            </w:tcMar>
            <w:hideMark/>
          </w:tcPr>
          <w:p w14:paraId="4D934B1F" w14:textId="77777777" w:rsidR="000A30F5" w:rsidRPr="000578EF" w:rsidRDefault="000A30F5" w:rsidP="00732F5B">
            <w:r w:rsidRPr="000578EF">
              <w:t xml:space="preserve">• </w:t>
            </w:r>
            <w:r w:rsidRPr="00752C42">
              <w:t>Traffic coordination, lane zoning</w:t>
            </w:r>
            <w:r w:rsidRPr="000578EF">
              <w:br/>
              <w:t xml:space="preserve"> • </w:t>
            </w:r>
            <w:r w:rsidRPr="00752C42">
              <w:t>Speed management, slow vehicle flow</w:t>
            </w:r>
            <w:r w:rsidRPr="000578EF">
              <w:br/>
              <w:t xml:space="preserve"> • </w:t>
            </w:r>
            <w:r w:rsidRPr="00752C42">
              <w:t>Stopping zones, traffic flow</w:t>
            </w:r>
          </w:p>
        </w:tc>
        <w:tc>
          <w:tcPr>
            <w:tcW w:w="0" w:type="auto"/>
            <w:tcBorders>
              <w:top w:val="single" w:sz="6" w:space="0" w:color="000000"/>
              <w:bottom w:val="single" w:sz="6" w:space="0" w:color="000000"/>
            </w:tcBorders>
            <w:tcMar>
              <w:top w:w="0" w:type="dxa"/>
              <w:left w:w="100" w:type="dxa"/>
              <w:bottom w:w="0" w:type="dxa"/>
              <w:right w:w="100" w:type="dxa"/>
            </w:tcMar>
            <w:hideMark/>
          </w:tcPr>
          <w:p w14:paraId="26B5B6C2" w14:textId="77777777" w:rsidR="000A30F5" w:rsidRPr="000578EF" w:rsidRDefault="000A30F5" w:rsidP="00732F5B">
            <w:r w:rsidRPr="000578EF">
              <w:t xml:space="preserve">• </w:t>
            </w:r>
            <w:r w:rsidRPr="00752C42">
              <w:t>Licensing requirements, digital verification</w:t>
            </w:r>
            <w:r w:rsidRPr="000578EF">
              <w:br/>
              <w:t xml:space="preserve"> • </w:t>
            </w:r>
            <w:r w:rsidRPr="00752C42">
              <w:t>Underage drivers, enforcement gaps</w:t>
            </w:r>
            <w:r w:rsidRPr="000578EF">
              <w:br/>
              <w:t xml:space="preserve"> • </w:t>
            </w:r>
            <w:r w:rsidRPr="00752C42">
              <w:t>Verification systems, licensing gaps</w:t>
            </w:r>
            <w:r w:rsidRPr="000578EF">
              <w:t>.</w:t>
            </w:r>
          </w:p>
        </w:tc>
        <w:tc>
          <w:tcPr>
            <w:tcW w:w="0" w:type="auto"/>
            <w:tcBorders>
              <w:top w:val="single" w:sz="6" w:space="0" w:color="000000"/>
              <w:bottom w:val="single" w:sz="6" w:space="0" w:color="000000"/>
            </w:tcBorders>
            <w:tcMar>
              <w:top w:w="0" w:type="dxa"/>
              <w:left w:w="100" w:type="dxa"/>
              <w:bottom w:w="0" w:type="dxa"/>
              <w:right w:w="100" w:type="dxa"/>
            </w:tcMar>
            <w:hideMark/>
          </w:tcPr>
          <w:p w14:paraId="243109CB" w14:textId="77777777" w:rsidR="000A30F5" w:rsidRPr="000578EF" w:rsidRDefault="000A30F5" w:rsidP="00732F5B">
            <w:r w:rsidRPr="000578EF">
              <w:t xml:space="preserve">• </w:t>
            </w:r>
            <w:r w:rsidRPr="00752C42">
              <w:t>Controlled charging, off-peak usage</w:t>
            </w:r>
            <w:r>
              <w:t>.</w:t>
            </w:r>
            <w:r w:rsidRPr="000578EF">
              <w:br/>
              <w:t xml:space="preserve"> • </w:t>
            </w:r>
            <w:r w:rsidRPr="00752C42">
              <w:t>Peak load shifts, grid distortion</w:t>
            </w:r>
            <w:r>
              <w:t>.</w:t>
            </w:r>
            <w:r w:rsidRPr="000578EF">
              <w:br/>
              <w:t xml:space="preserve"> • </w:t>
            </w:r>
            <w:r w:rsidRPr="00752C42">
              <w:t>Harmonics, power quality</w:t>
            </w:r>
            <w:r>
              <w:t>.</w:t>
            </w:r>
          </w:p>
        </w:tc>
        <w:tc>
          <w:tcPr>
            <w:tcW w:w="0" w:type="auto"/>
            <w:tcBorders>
              <w:top w:val="single" w:sz="6" w:space="0" w:color="000000"/>
              <w:bottom w:val="single" w:sz="6" w:space="0" w:color="000000"/>
            </w:tcBorders>
            <w:tcMar>
              <w:top w:w="0" w:type="dxa"/>
              <w:left w:w="100" w:type="dxa"/>
              <w:bottom w:w="0" w:type="dxa"/>
              <w:right w:w="100" w:type="dxa"/>
            </w:tcMar>
            <w:hideMark/>
          </w:tcPr>
          <w:p w14:paraId="08517802" w14:textId="77777777" w:rsidR="000A30F5" w:rsidRPr="000578EF" w:rsidRDefault="000A30F5" w:rsidP="00732F5B">
            <w:r w:rsidRPr="000578EF">
              <w:t xml:space="preserve">• </w:t>
            </w:r>
            <w:r w:rsidRPr="00752C42">
              <w:t>Battery health, lifecycle, disposal</w:t>
            </w:r>
            <w:r>
              <w:t>.</w:t>
            </w:r>
            <w:r w:rsidRPr="000578EF">
              <w:br/>
              <w:t xml:space="preserve"> • </w:t>
            </w:r>
            <w:r w:rsidRPr="00752C42">
              <w:t>Short lifespan, cost impact</w:t>
            </w:r>
            <w:r>
              <w:t>.</w:t>
            </w:r>
            <w:r w:rsidRPr="000578EF">
              <w:br/>
              <w:t xml:space="preserve"> • </w:t>
            </w:r>
            <w:r w:rsidRPr="00752C42">
              <w:t>Lead-acid contamination</w:t>
            </w:r>
            <w:r>
              <w:t>.</w:t>
            </w:r>
          </w:p>
        </w:tc>
        <w:tc>
          <w:tcPr>
            <w:tcW w:w="0" w:type="auto"/>
            <w:tcBorders>
              <w:top w:val="single" w:sz="6" w:space="0" w:color="000000"/>
              <w:bottom w:val="single" w:sz="6" w:space="0" w:color="000000"/>
            </w:tcBorders>
            <w:tcMar>
              <w:top w:w="0" w:type="dxa"/>
              <w:left w:w="100" w:type="dxa"/>
              <w:bottom w:w="0" w:type="dxa"/>
              <w:right w:w="100" w:type="dxa"/>
            </w:tcMar>
            <w:hideMark/>
          </w:tcPr>
          <w:p w14:paraId="38758E3D" w14:textId="77777777" w:rsidR="000A30F5" w:rsidRPr="000578EF" w:rsidRDefault="000A30F5" w:rsidP="00732F5B">
            <w:r w:rsidRPr="000578EF">
              <w:t xml:space="preserve">• </w:t>
            </w:r>
            <w:r w:rsidRPr="00752C42">
              <w:t>Centralized database, registration, monitoring</w:t>
            </w:r>
            <w:r>
              <w:t>.</w:t>
            </w:r>
            <w:r w:rsidRPr="000578EF">
              <w:br/>
              <w:t xml:space="preserve"> • </w:t>
            </w:r>
            <w:r w:rsidRPr="00752C42">
              <w:t>Unregistered vehicles, oversight challenges</w:t>
            </w:r>
            <w:r>
              <w:t>.</w:t>
            </w:r>
            <w:r w:rsidRPr="000578EF">
              <w:br/>
              <w:t xml:space="preserve"> • </w:t>
            </w:r>
            <w:r w:rsidRPr="00752C42">
              <w:t>Substandard vehicle tracking</w:t>
            </w:r>
          </w:p>
        </w:tc>
      </w:tr>
    </w:tbl>
    <w:p w14:paraId="43BE6E3E" w14:textId="77777777" w:rsidR="000A30F5" w:rsidRPr="000578EF" w:rsidRDefault="000A30F5" w:rsidP="000A30F5"/>
    <w:p w14:paraId="7B9829A5" w14:textId="77777777" w:rsidR="000A30F5" w:rsidRDefault="000A30F5" w:rsidP="000A30F5">
      <w:pPr>
        <w:rPr>
          <w:b/>
          <w:bCs/>
        </w:rPr>
      </w:pPr>
    </w:p>
    <w:p w14:paraId="17829914" w14:textId="77777777" w:rsidR="000A30F5" w:rsidRPr="006B173D" w:rsidRDefault="000A30F5" w:rsidP="00761D0F">
      <w:pPr>
        <w:jc w:val="both"/>
      </w:pPr>
      <w:r>
        <w:t xml:space="preserve">The table highlights six key indicator and management areas needed to manage the rapid growth of Electric Vehicles (EVs) in Bangladesh. Under safety and structural management, the importance is on implementing uniform safety standards. It addresses mechanical defects such as poor braking and rollover hazards which cause fatal accidents. Traffic and congestion control highlights the need for specific lane and speed protocols to prevent traffic congestions occurred by slow-moving Electric Vehicles. Driver </w:t>
      </w:r>
      <w:r w:rsidRPr="0010757B">
        <w:t>licensing</w:t>
      </w:r>
      <w:r>
        <w:t xml:space="preserve">, strict protocols and age verification can make stops or </w:t>
      </w:r>
      <w:proofErr w:type="spellStart"/>
      <w:r>
        <w:t>slow down</w:t>
      </w:r>
      <w:proofErr w:type="spellEnd"/>
      <w:r>
        <w:t xml:space="preserve"> of premature or underage driver expansions. Integration of electric grid focuses on the uncontrolled charging risk. Battery quality and life span management can address environmental risks. At last finally the government should focus on </w:t>
      </w:r>
      <w:proofErr w:type="gramStart"/>
      <w:r>
        <w:t>license  tracking</w:t>
      </w:r>
      <w:proofErr w:type="gramEnd"/>
      <w:r>
        <w:t xml:space="preserve">, vehicle registration, low quality vehicle identification, real time observation. Along with these categories reflect the secure, need for coordinated policy reforming, efficient and sustainable EV adoption. </w:t>
      </w:r>
    </w:p>
    <w:p w14:paraId="08374ABE" w14:textId="77777777" w:rsidR="000A30F5" w:rsidRDefault="000A30F5" w:rsidP="000A30F5">
      <w:pPr>
        <w:rPr>
          <w:b/>
          <w:bCs/>
        </w:rPr>
      </w:pPr>
    </w:p>
    <w:p w14:paraId="1A8099B9" w14:textId="77777777" w:rsidR="000A30F5" w:rsidRDefault="000A30F5" w:rsidP="00B879CD"/>
    <w:p w14:paraId="60A8BE49" w14:textId="77777777" w:rsidR="000A30F5" w:rsidRPr="00B879CD" w:rsidRDefault="000A30F5" w:rsidP="00B879CD"/>
    <w:p w14:paraId="49D9347C" w14:textId="77777777" w:rsidR="00B879CD" w:rsidRPr="00B879CD" w:rsidRDefault="00B879CD" w:rsidP="00B879CD">
      <w:r w:rsidRPr="00B879CD">
        <w:rPr>
          <w:b/>
          <w:bCs/>
        </w:rPr>
        <w:t>7. Comparative and Regional Perspective</w:t>
      </w:r>
    </w:p>
    <w:p w14:paraId="2CBF5369" w14:textId="77777777" w:rsidR="00B879CD" w:rsidRPr="00B879CD" w:rsidRDefault="00B879CD" w:rsidP="00B879CD"/>
    <w:p w14:paraId="42EFBF3B" w14:textId="77777777" w:rsidR="00B879CD" w:rsidRPr="00B879CD" w:rsidRDefault="00B879CD" w:rsidP="00B879CD">
      <w:r w:rsidRPr="00B879CD">
        <w:rPr>
          <w:i/>
          <w:iCs/>
        </w:rPr>
        <w:t>Comparison with neighboring countries</w:t>
      </w:r>
    </w:p>
    <w:p w14:paraId="02881D58" w14:textId="77777777" w:rsidR="00B879CD" w:rsidRPr="00B879CD" w:rsidRDefault="00B879CD" w:rsidP="00B879CD">
      <w:r w:rsidRPr="00B879CD">
        <w:rPr>
          <w:i/>
          <w:iCs/>
        </w:rPr>
        <w:t>Regional variations within Bangladesh </w:t>
      </w:r>
    </w:p>
    <w:p w14:paraId="3ADA6374" w14:textId="77777777" w:rsidR="00B879CD" w:rsidRPr="00B879CD" w:rsidRDefault="00B879CD" w:rsidP="00B879CD"/>
    <w:p w14:paraId="6726329B" w14:textId="77777777" w:rsidR="00B879CD" w:rsidRPr="00B879CD" w:rsidRDefault="00B879CD" w:rsidP="00B879CD">
      <w:r w:rsidRPr="00B879CD">
        <w:rPr>
          <w:b/>
          <w:bCs/>
        </w:rPr>
        <w:t>8. Emerging Scopes and Future Directions</w:t>
      </w:r>
    </w:p>
    <w:p w14:paraId="3F705081" w14:textId="77777777" w:rsidR="00B879CD" w:rsidRPr="00B879CD" w:rsidRDefault="00B879CD" w:rsidP="00B879CD"/>
    <w:p w14:paraId="52CD49CA" w14:textId="77777777" w:rsidR="00B879CD" w:rsidRPr="00B879CD" w:rsidRDefault="00B879CD" w:rsidP="00B879CD">
      <w:r w:rsidRPr="00B879CD">
        <w:rPr>
          <w:b/>
          <w:bCs/>
        </w:rPr>
        <w:t>9. Challenges and Possible Solutions</w:t>
      </w:r>
    </w:p>
    <w:p w14:paraId="2894BDED" w14:textId="77777777" w:rsidR="00B879CD" w:rsidRPr="00B879CD" w:rsidRDefault="00B879CD" w:rsidP="00B879CD"/>
    <w:p w14:paraId="6D46E405" w14:textId="77777777" w:rsidR="00B879CD" w:rsidRPr="00B879CD" w:rsidRDefault="00B879CD" w:rsidP="00B879CD">
      <w:r w:rsidRPr="00B879CD">
        <w:rPr>
          <w:b/>
          <w:bCs/>
        </w:rPr>
        <w:t>10. Policy Recommendations</w:t>
      </w:r>
    </w:p>
    <w:p w14:paraId="53A67320" w14:textId="77777777" w:rsidR="00B879CD" w:rsidRPr="00B879CD" w:rsidRDefault="00B879CD" w:rsidP="00B879CD"/>
    <w:p w14:paraId="339B6E43" w14:textId="77777777" w:rsidR="00B879CD" w:rsidRPr="00B879CD" w:rsidRDefault="00B879CD" w:rsidP="00B879CD">
      <w:r w:rsidRPr="00B879CD">
        <w:rPr>
          <w:b/>
          <w:bCs/>
        </w:rPr>
        <w:t>11. Conclusion</w:t>
      </w:r>
    </w:p>
    <w:p w14:paraId="704A5727" w14:textId="77777777" w:rsidR="00942EF7" w:rsidRDefault="00942EF7"/>
    <w:sectPr w:rsidR="00942E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39139" w14:textId="77777777" w:rsidR="00151AE0" w:rsidRDefault="00151AE0" w:rsidP="00471EF6">
      <w:pPr>
        <w:spacing w:after="0" w:line="240" w:lineRule="auto"/>
      </w:pPr>
      <w:r>
        <w:separator/>
      </w:r>
    </w:p>
  </w:endnote>
  <w:endnote w:type="continuationSeparator" w:id="0">
    <w:p w14:paraId="3EE2B743" w14:textId="77777777" w:rsidR="00151AE0" w:rsidRDefault="00151AE0" w:rsidP="00471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E0C02" w14:textId="77777777" w:rsidR="00151AE0" w:rsidRDefault="00151AE0" w:rsidP="00471EF6">
      <w:pPr>
        <w:spacing w:after="0" w:line="240" w:lineRule="auto"/>
      </w:pPr>
      <w:r>
        <w:separator/>
      </w:r>
    </w:p>
  </w:footnote>
  <w:footnote w:type="continuationSeparator" w:id="0">
    <w:p w14:paraId="43E9300C" w14:textId="77777777" w:rsidR="00151AE0" w:rsidRDefault="00151AE0" w:rsidP="00471E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9C"/>
    <w:rsid w:val="00027A5F"/>
    <w:rsid w:val="000A30F5"/>
    <w:rsid w:val="0012747C"/>
    <w:rsid w:val="00151AE0"/>
    <w:rsid w:val="00260E5D"/>
    <w:rsid w:val="00302D08"/>
    <w:rsid w:val="004565D0"/>
    <w:rsid w:val="00471EF6"/>
    <w:rsid w:val="0058248B"/>
    <w:rsid w:val="006364DC"/>
    <w:rsid w:val="00761D0F"/>
    <w:rsid w:val="007E0F0D"/>
    <w:rsid w:val="00824D10"/>
    <w:rsid w:val="008D5D3A"/>
    <w:rsid w:val="00915EC4"/>
    <w:rsid w:val="00942EF7"/>
    <w:rsid w:val="009D3E93"/>
    <w:rsid w:val="00B64952"/>
    <w:rsid w:val="00B879CD"/>
    <w:rsid w:val="00C15024"/>
    <w:rsid w:val="00C63BE2"/>
    <w:rsid w:val="00DA7E7A"/>
    <w:rsid w:val="00E16C1D"/>
    <w:rsid w:val="00F265BE"/>
    <w:rsid w:val="00FD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11A7"/>
  <w15:chartTrackingRefBased/>
  <w15:docId w15:val="{F2F0EC7C-621F-42CF-A460-5FA29A8C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09C"/>
    <w:rPr>
      <w:rFonts w:eastAsiaTheme="majorEastAsia" w:cstheme="majorBidi"/>
      <w:color w:val="272727" w:themeColor="text1" w:themeTint="D8"/>
    </w:rPr>
  </w:style>
  <w:style w:type="paragraph" w:styleId="Title">
    <w:name w:val="Title"/>
    <w:basedOn w:val="Normal"/>
    <w:next w:val="Normal"/>
    <w:link w:val="TitleChar"/>
    <w:uiPriority w:val="10"/>
    <w:qFormat/>
    <w:rsid w:val="00FD3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09C"/>
    <w:pPr>
      <w:spacing w:before="160"/>
      <w:jc w:val="center"/>
    </w:pPr>
    <w:rPr>
      <w:i/>
      <w:iCs/>
      <w:color w:val="404040" w:themeColor="text1" w:themeTint="BF"/>
    </w:rPr>
  </w:style>
  <w:style w:type="character" w:customStyle="1" w:styleId="QuoteChar">
    <w:name w:val="Quote Char"/>
    <w:basedOn w:val="DefaultParagraphFont"/>
    <w:link w:val="Quote"/>
    <w:uiPriority w:val="29"/>
    <w:rsid w:val="00FD309C"/>
    <w:rPr>
      <w:i/>
      <w:iCs/>
      <w:color w:val="404040" w:themeColor="text1" w:themeTint="BF"/>
    </w:rPr>
  </w:style>
  <w:style w:type="paragraph" w:styleId="ListParagraph">
    <w:name w:val="List Paragraph"/>
    <w:basedOn w:val="Normal"/>
    <w:uiPriority w:val="34"/>
    <w:qFormat/>
    <w:rsid w:val="00FD309C"/>
    <w:pPr>
      <w:ind w:left="720"/>
      <w:contextualSpacing/>
    </w:pPr>
  </w:style>
  <w:style w:type="character" w:styleId="IntenseEmphasis">
    <w:name w:val="Intense Emphasis"/>
    <w:basedOn w:val="DefaultParagraphFont"/>
    <w:uiPriority w:val="21"/>
    <w:qFormat/>
    <w:rsid w:val="00FD309C"/>
    <w:rPr>
      <w:i/>
      <w:iCs/>
      <w:color w:val="2F5496" w:themeColor="accent1" w:themeShade="BF"/>
    </w:rPr>
  </w:style>
  <w:style w:type="paragraph" w:styleId="IntenseQuote">
    <w:name w:val="Intense Quote"/>
    <w:basedOn w:val="Normal"/>
    <w:next w:val="Normal"/>
    <w:link w:val="IntenseQuoteChar"/>
    <w:uiPriority w:val="30"/>
    <w:qFormat/>
    <w:rsid w:val="00FD3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09C"/>
    <w:rPr>
      <w:i/>
      <w:iCs/>
      <w:color w:val="2F5496" w:themeColor="accent1" w:themeShade="BF"/>
    </w:rPr>
  </w:style>
  <w:style w:type="character" w:styleId="IntenseReference">
    <w:name w:val="Intense Reference"/>
    <w:basedOn w:val="DefaultParagraphFont"/>
    <w:uiPriority w:val="32"/>
    <w:qFormat/>
    <w:rsid w:val="00FD309C"/>
    <w:rPr>
      <w:b/>
      <w:bCs/>
      <w:smallCaps/>
      <w:color w:val="2F5496" w:themeColor="accent1" w:themeShade="BF"/>
      <w:spacing w:val="5"/>
    </w:rPr>
  </w:style>
  <w:style w:type="character" w:styleId="Hyperlink">
    <w:name w:val="Hyperlink"/>
    <w:basedOn w:val="DefaultParagraphFont"/>
    <w:uiPriority w:val="99"/>
    <w:unhideWhenUsed/>
    <w:rsid w:val="00471EF6"/>
    <w:rPr>
      <w:color w:val="0563C1" w:themeColor="hyperlink"/>
      <w:u w:val="single"/>
    </w:rPr>
  </w:style>
  <w:style w:type="character" w:styleId="FollowedHyperlink">
    <w:name w:val="FollowedHyperlink"/>
    <w:basedOn w:val="DefaultParagraphFont"/>
    <w:uiPriority w:val="99"/>
    <w:semiHidden/>
    <w:unhideWhenUsed/>
    <w:rsid w:val="00471EF6"/>
    <w:rPr>
      <w:color w:val="954F72" w:themeColor="followedHyperlink"/>
      <w:u w:val="single"/>
    </w:rPr>
  </w:style>
  <w:style w:type="paragraph" w:styleId="Header">
    <w:name w:val="header"/>
    <w:basedOn w:val="Normal"/>
    <w:link w:val="HeaderChar"/>
    <w:uiPriority w:val="99"/>
    <w:unhideWhenUsed/>
    <w:rsid w:val="00471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EF6"/>
  </w:style>
  <w:style w:type="paragraph" w:styleId="Footer">
    <w:name w:val="footer"/>
    <w:basedOn w:val="Normal"/>
    <w:link w:val="FooterChar"/>
    <w:uiPriority w:val="99"/>
    <w:unhideWhenUsed/>
    <w:rsid w:val="00471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EF6"/>
  </w:style>
  <w:style w:type="character" w:styleId="UnresolvedMention">
    <w:name w:val="Unresolved Mention"/>
    <w:basedOn w:val="DefaultParagraphFont"/>
    <w:uiPriority w:val="99"/>
    <w:semiHidden/>
    <w:unhideWhenUsed/>
    <w:rsid w:val="00B64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69329">
      <w:bodyDiv w:val="1"/>
      <w:marLeft w:val="0"/>
      <w:marRight w:val="0"/>
      <w:marTop w:val="0"/>
      <w:marBottom w:val="0"/>
      <w:divBdr>
        <w:top w:val="none" w:sz="0" w:space="0" w:color="auto"/>
        <w:left w:val="none" w:sz="0" w:space="0" w:color="auto"/>
        <w:bottom w:val="none" w:sz="0" w:space="0" w:color="auto"/>
        <w:right w:val="none" w:sz="0" w:space="0" w:color="auto"/>
      </w:divBdr>
    </w:div>
    <w:div w:id="276062672">
      <w:bodyDiv w:val="1"/>
      <w:marLeft w:val="0"/>
      <w:marRight w:val="0"/>
      <w:marTop w:val="0"/>
      <w:marBottom w:val="0"/>
      <w:divBdr>
        <w:top w:val="none" w:sz="0" w:space="0" w:color="auto"/>
        <w:left w:val="none" w:sz="0" w:space="0" w:color="auto"/>
        <w:bottom w:val="none" w:sz="0" w:space="0" w:color="auto"/>
        <w:right w:val="none" w:sz="0" w:space="0" w:color="auto"/>
      </w:divBdr>
    </w:div>
    <w:div w:id="351884713">
      <w:bodyDiv w:val="1"/>
      <w:marLeft w:val="0"/>
      <w:marRight w:val="0"/>
      <w:marTop w:val="0"/>
      <w:marBottom w:val="0"/>
      <w:divBdr>
        <w:top w:val="none" w:sz="0" w:space="0" w:color="auto"/>
        <w:left w:val="none" w:sz="0" w:space="0" w:color="auto"/>
        <w:bottom w:val="none" w:sz="0" w:space="0" w:color="auto"/>
        <w:right w:val="none" w:sz="0" w:space="0" w:color="auto"/>
      </w:divBdr>
    </w:div>
    <w:div w:id="679238893">
      <w:bodyDiv w:val="1"/>
      <w:marLeft w:val="0"/>
      <w:marRight w:val="0"/>
      <w:marTop w:val="0"/>
      <w:marBottom w:val="0"/>
      <w:divBdr>
        <w:top w:val="none" w:sz="0" w:space="0" w:color="auto"/>
        <w:left w:val="none" w:sz="0" w:space="0" w:color="auto"/>
        <w:bottom w:val="none" w:sz="0" w:space="0" w:color="auto"/>
        <w:right w:val="none" w:sz="0" w:space="0" w:color="auto"/>
      </w:divBdr>
    </w:div>
    <w:div w:id="751005401">
      <w:bodyDiv w:val="1"/>
      <w:marLeft w:val="0"/>
      <w:marRight w:val="0"/>
      <w:marTop w:val="0"/>
      <w:marBottom w:val="0"/>
      <w:divBdr>
        <w:top w:val="none" w:sz="0" w:space="0" w:color="auto"/>
        <w:left w:val="none" w:sz="0" w:space="0" w:color="auto"/>
        <w:bottom w:val="none" w:sz="0" w:space="0" w:color="auto"/>
        <w:right w:val="none" w:sz="0" w:space="0" w:color="auto"/>
      </w:divBdr>
    </w:div>
    <w:div w:id="864367621">
      <w:bodyDiv w:val="1"/>
      <w:marLeft w:val="0"/>
      <w:marRight w:val="0"/>
      <w:marTop w:val="0"/>
      <w:marBottom w:val="0"/>
      <w:divBdr>
        <w:top w:val="none" w:sz="0" w:space="0" w:color="auto"/>
        <w:left w:val="none" w:sz="0" w:space="0" w:color="auto"/>
        <w:bottom w:val="none" w:sz="0" w:space="0" w:color="auto"/>
        <w:right w:val="none" w:sz="0" w:space="0" w:color="auto"/>
      </w:divBdr>
    </w:div>
    <w:div w:id="899368697">
      <w:bodyDiv w:val="1"/>
      <w:marLeft w:val="0"/>
      <w:marRight w:val="0"/>
      <w:marTop w:val="0"/>
      <w:marBottom w:val="0"/>
      <w:divBdr>
        <w:top w:val="none" w:sz="0" w:space="0" w:color="auto"/>
        <w:left w:val="none" w:sz="0" w:space="0" w:color="auto"/>
        <w:bottom w:val="none" w:sz="0" w:space="0" w:color="auto"/>
        <w:right w:val="none" w:sz="0" w:space="0" w:color="auto"/>
      </w:divBdr>
    </w:div>
    <w:div w:id="1150563418">
      <w:bodyDiv w:val="1"/>
      <w:marLeft w:val="0"/>
      <w:marRight w:val="0"/>
      <w:marTop w:val="0"/>
      <w:marBottom w:val="0"/>
      <w:divBdr>
        <w:top w:val="none" w:sz="0" w:space="0" w:color="auto"/>
        <w:left w:val="none" w:sz="0" w:space="0" w:color="auto"/>
        <w:bottom w:val="none" w:sz="0" w:space="0" w:color="auto"/>
        <w:right w:val="none" w:sz="0" w:space="0" w:color="auto"/>
      </w:divBdr>
    </w:div>
    <w:div w:id="1216967689">
      <w:bodyDiv w:val="1"/>
      <w:marLeft w:val="0"/>
      <w:marRight w:val="0"/>
      <w:marTop w:val="0"/>
      <w:marBottom w:val="0"/>
      <w:divBdr>
        <w:top w:val="none" w:sz="0" w:space="0" w:color="auto"/>
        <w:left w:val="none" w:sz="0" w:space="0" w:color="auto"/>
        <w:bottom w:val="none" w:sz="0" w:space="0" w:color="auto"/>
        <w:right w:val="none" w:sz="0" w:space="0" w:color="auto"/>
      </w:divBdr>
    </w:div>
    <w:div w:id="1613440885">
      <w:bodyDiv w:val="1"/>
      <w:marLeft w:val="0"/>
      <w:marRight w:val="0"/>
      <w:marTop w:val="0"/>
      <w:marBottom w:val="0"/>
      <w:divBdr>
        <w:top w:val="none" w:sz="0" w:space="0" w:color="auto"/>
        <w:left w:val="none" w:sz="0" w:space="0" w:color="auto"/>
        <w:bottom w:val="none" w:sz="0" w:space="0" w:color="auto"/>
        <w:right w:val="none" w:sz="0" w:space="0" w:color="auto"/>
      </w:divBdr>
    </w:div>
    <w:div w:id="1616399056">
      <w:bodyDiv w:val="1"/>
      <w:marLeft w:val="0"/>
      <w:marRight w:val="0"/>
      <w:marTop w:val="0"/>
      <w:marBottom w:val="0"/>
      <w:divBdr>
        <w:top w:val="none" w:sz="0" w:space="0" w:color="auto"/>
        <w:left w:val="none" w:sz="0" w:space="0" w:color="auto"/>
        <w:bottom w:val="none" w:sz="0" w:space="0" w:color="auto"/>
        <w:right w:val="none" w:sz="0" w:space="0" w:color="auto"/>
      </w:divBdr>
    </w:div>
    <w:div w:id="1617759623">
      <w:bodyDiv w:val="1"/>
      <w:marLeft w:val="0"/>
      <w:marRight w:val="0"/>
      <w:marTop w:val="0"/>
      <w:marBottom w:val="0"/>
      <w:divBdr>
        <w:top w:val="none" w:sz="0" w:space="0" w:color="auto"/>
        <w:left w:val="none" w:sz="0" w:space="0" w:color="auto"/>
        <w:bottom w:val="none" w:sz="0" w:space="0" w:color="auto"/>
        <w:right w:val="none" w:sz="0" w:space="0" w:color="auto"/>
      </w:divBdr>
    </w:div>
    <w:div w:id="1624575346">
      <w:bodyDiv w:val="1"/>
      <w:marLeft w:val="0"/>
      <w:marRight w:val="0"/>
      <w:marTop w:val="0"/>
      <w:marBottom w:val="0"/>
      <w:divBdr>
        <w:top w:val="none" w:sz="0" w:space="0" w:color="auto"/>
        <w:left w:val="none" w:sz="0" w:space="0" w:color="auto"/>
        <w:bottom w:val="none" w:sz="0" w:space="0" w:color="auto"/>
        <w:right w:val="none" w:sz="0" w:space="0" w:color="auto"/>
      </w:divBdr>
    </w:div>
    <w:div w:id="1676415831">
      <w:bodyDiv w:val="1"/>
      <w:marLeft w:val="0"/>
      <w:marRight w:val="0"/>
      <w:marTop w:val="0"/>
      <w:marBottom w:val="0"/>
      <w:divBdr>
        <w:top w:val="none" w:sz="0" w:space="0" w:color="auto"/>
        <w:left w:val="none" w:sz="0" w:space="0" w:color="auto"/>
        <w:bottom w:val="none" w:sz="0" w:space="0" w:color="auto"/>
        <w:right w:val="none" w:sz="0" w:space="0" w:color="auto"/>
      </w:divBdr>
    </w:div>
    <w:div w:id="183267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hyperlink" Target="https://www.alibaba.com/product-detail/Low-Price-5-8-Seater-Mishuk_1601440331513.html" TargetMode="External"/><Relationship Id="rId21" Type="http://schemas.openxmlformats.org/officeDocument/2006/relationships/hyperlink" Target="https://www.mdpi.com/2071-1050/15/1/149" TargetMode="External"/><Relationship Id="rId34" Type="http://schemas.openxmlformats.org/officeDocument/2006/relationships/hyperlink" Target="https://kotharakhi.com/product/voltex-200ah-ips-battery-price-in-bangladesh/"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yperlink" Target="https://www.bdstall.com/details/hamko-ev-140-140ah-easy-bike-battery-77355/" TargetMode="External"/><Relationship Id="rId33" Type="http://schemas.openxmlformats.org/officeDocument/2006/relationships/hyperlink" Target="https://bme.com.bd/savx-12v-100ah-lifep04-lithium-battery" TargetMode="External"/><Relationship Id="rId2" Type="http://schemas.openxmlformats.org/officeDocument/2006/relationships/settings" Target="settings.xml"/><Relationship Id="rId16" Type="http://schemas.openxmlformats.org/officeDocument/2006/relationships/hyperlink" Target="https://en.prothomalo.com/bangladesh/m4kzejfpvx" TargetMode="External"/><Relationship Id="rId20" Type="http://schemas.openxmlformats.org/officeDocument/2006/relationships/hyperlink" Target="https://www.tbsnews.net/bangladesh/transport/road-accidents-claim-7902-lives-2023-774622" TargetMode="External"/><Relationship Id="rId29" Type="http://schemas.openxmlformats.org/officeDocument/2006/relationships/hyperlink" Target="https://www.hyperenergybd.com/product/60v-180ah-lithium-phosphate-battery-for-easy-bike-auto/"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kotharakhi.com/product-tag/navana-easy-bike-battery-price-in-bangladesh/;%20https:/navana-battery.com/electric-vehicle-ev-easy-bike-battery/https:/kotharakhi.com/product/navana-ev-140ah-battery-price-in-bangladesh/" TargetMode="External"/><Relationship Id="rId32" Type="http://schemas.openxmlformats.org/officeDocument/2006/relationships/hyperlink" Target="https://kotharakhi.com/product/power-plus-140-ah-easy-bike-battery-price-in-bangladesh/" TargetMode="Externa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hyperlink" Target="https://bme.com.bd/savx-48v-100ah-lithium-battery"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newagebd.net/post/country/254496/8543-people-killed-in-road-accidents-in-bangladesh-in-2024-report" TargetMode="External"/><Relationship Id="rId31" Type="http://schemas.openxmlformats.org/officeDocument/2006/relationships/hyperlink" Target="https://solarsystembd.com/shop/battery/liwatt-lithium-ion-battery-48v-100-ah-tele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newagebd.net/post/country/254496/8543-people-killed-in-road-accidents-in-bangladesh-in-2024-report" TargetMode="External"/><Relationship Id="rId22" Type="http://schemas.openxmlformats.org/officeDocument/2006/relationships/image" Target="media/image12.png"/><Relationship Id="rId27" Type="http://schemas.openxmlformats.org/officeDocument/2006/relationships/hyperlink" Target="https://www.alibaba.com/product-detail/5-8-Seater-Mishuk-Auto-Rickshaw_1601439908761.html" TargetMode="External"/><Relationship Id="rId30" Type="http://schemas.openxmlformats.org/officeDocument/2006/relationships/hyperlink" Target="https://ipshatbazar.com/products/809228" TargetMode="External"/><Relationship Id="rId35" Type="http://schemas.openxmlformats.org/officeDocument/2006/relationships/image" Target="media/image14.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16</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7</cp:revision>
  <dcterms:created xsi:type="dcterms:W3CDTF">2025-10-18T14:08:00Z</dcterms:created>
  <dcterms:modified xsi:type="dcterms:W3CDTF">2025-10-25T15:55:00Z</dcterms:modified>
</cp:coreProperties>
</file>