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A6294" w14:textId="21218551" w:rsidR="00841E06" w:rsidRPr="00841E06" w:rsidRDefault="00841E06" w:rsidP="00841E06"/>
    <w:p w14:paraId="0A34B23E" w14:textId="77777777" w:rsidR="00841E06" w:rsidRPr="00841E06" w:rsidRDefault="00841E06" w:rsidP="00841E06">
      <w:pPr>
        <w:jc w:val="center"/>
        <w:rPr>
          <w:b/>
          <w:bCs/>
        </w:rPr>
      </w:pPr>
      <w:r w:rsidRPr="00841E06">
        <w:rPr>
          <w:b/>
          <w:bCs/>
        </w:rPr>
        <w:t>II. RELATED WORK</w:t>
      </w:r>
    </w:p>
    <w:p w14:paraId="22A6AC46" w14:textId="77777777" w:rsidR="00841E06" w:rsidRPr="00841E06" w:rsidRDefault="00841E06" w:rsidP="00841E06">
      <w:pPr>
        <w:jc w:val="both"/>
      </w:pPr>
      <w:r w:rsidRPr="00841E06">
        <w:t>The rapid expansion of battery-operated vehicles in Bangladesh has raised serious concerns regarding urban grid stability, infrastructure preparedness, and coordinated charging management. Recent national and international studies have explored EV charging station planning, intelligent routing, load balancing, and forecasting strategies. This section reviews the existing literature and situates the present study within the broader research landscape.</w:t>
      </w:r>
    </w:p>
    <w:p w14:paraId="6F2BB24C" w14:textId="1E04438D" w:rsidR="00841E06" w:rsidRPr="00841E06" w:rsidRDefault="00841E06" w:rsidP="00841E06"/>
    <w:p w14:paraId="7A6408A3" w14:textId="77777777" w:rsidR="00841E06" w:rsidRPr="00841E06" w:rsidRDefault="00841E06" w:rsidP="00841E06">
      <w:pPr>
        <w:rPr>
          <w:b/>
          <w:bCs/>
        </w:rPr>
      </w:pPr>
      <w:r w:rsidRPr="00841E06">
        <w:rPr>
          <w:b/>
          <w:bCs/>
        </w:rPr>
        <w:t>A. Infrastructure Planning and Site Selection</w:t>
      </w:r>
    </w:p>
    <w:p w14:paraId="6AAC5F4E" w14:textId="77777777" w:rsidR="00841E06" w:rsidRPr="00841E06" w:rsidRDefault="00841E06" w:rsidP="00841E06">
      <w:r w:rsidRPr="00841E06">
        <w:t xml:space="preserve">The rapid increase in battery-operated Easy Bikes and Electric Rickshaws in Khulna has been widely reported in national media and technical assessments. According to reports by </w:t>
      </w:r>
      <w:r w:rsidRPr="00841E06">
        <w:rPr>
          <w:i/>
          <w:iCs/>
        </w:rPr>
        <w:t>The Daily Star</w:t>
      </w:r>
      <w:r w:rsidRPr="00841E06">
        <w:t xml:space="preserve"> (2022), more than 30,000 battery-driven Easy Bikes operate in Khulna, many of which remain unregistered. Additional municipal sources indicate that while approximately 10,000 Easy Bikes are officially licensed, over 45,000 unauthorized vehicles are operating in the city, collectively consuming hundreds of megawatts daily and exerting substantial pressure on the local grid. These findings are consistent with national-level analyses suggesting that electric autorickshaws consume approximately 4,660 MWh of electricity per day across Bangladesh. Moreover, load-shedding reports from WZPDCL reveal demand-supply deficits exceeding 100 MW during peak hours in the southwestern region, underscoring the urgency of coordinated charging strategies.</w:t>
      </w:r>
    </w:p>
    <w:p w14:paraId="71D12A8B" w14:textId="77777777" w:rsidR="00841E06" w:rsidRPr="00841E06" w:rsidRDefault="00841E06" w:rsidP="00841E06">
      <w:r w:rsidRPr="00841E06">
        <w:t>From an optimization perspective, Wang et al. proposed charging station selection as a multi-objective optimization problem that minimizes travel time, grid stress, and infrastructure cost using integer programming formulations. Similarly, multicriteria GIS-based approaches have been developed to identify optimal charging station locations by integrating accessibility, demand density, and grid capacity indicators. Hussain et al. applied Analytical Hierarchy Process (AHP) combined with TOPSIS to rank candidate charging locations based on weighted decision criteria.</w:t>
      </w:r>
    </w:p>
    <w:p w14:paraId="005A1654" w14:textId="77777777" w:rsidR="00841E06" w:rsidRPr="00841E06" w:rsidRDefault="00841E06" w:rsidP="00841E06">
      <w:r w:rsidRPr="00841E06">
        <w:t>While these studies contribute significantly to long-term infrastructure planning, they primarily address macro-level siting decisions rather than real-time operational recommendation within an already deployed charging network. In the context of Khulna, where charging stations and informal charging points already exist, dynamic and adaptive station selection becomes more critical than static infrastructure placement.</w:t>
      </w:r>
    </w:p>
    <w:p w14:paraId="1B174380" w14:textId="24A04ADF" w:rsidR="00841E06" w:rsidRPr="00841E06" w:rsidRDefault="00841E06" w:rsidP="00841E06"/>
    <w:p w14:paraId="668534B4" w14:textId="77777777" w:rsidR="00841E06" w:rsidRPr="00841E06" w:rsidRDefault="00841E06" w:rsidP="00841E06">
      <w:pPr>
        <w:rPr>
          <w:b/>
          <w:bCs/>
        </w:rPr>
      </w:pPr>
      <w:r w:rsidRPr="00841E06">
        <w:rPr>
          <w:b/>
          <w:bCs/>
        </w:rPr>
        <w:t>B. Real-Time Routing and AI-Based Charging Selection</w:t>
      </w:r>
    </w:p>
    <w:p w14:paraId="1F43D641" w14:textId="77777777" w:rsidR="00841E06" w:rsidRPr="00841E06" w:rsidRDefault="00841E06" w:rsidP="00841E06">
      <w:r w:rsidRPr="00841E06">
        <w:t xml:space="preserve">Recent advancements in intelligent charging management have focused on real-time routing and AI-based load balancing. Reinforcement learning approaches have demonstrated the ability to dynamically distribute EV charging demand across multiple stations, thereby reducing peak loads and improving </w:t>
      </w:r>
      <w:r w:rsidRPr="00841E06">
        <w:lastRenderedPageBreak/>
        <w:t>utilization efficiency. Dynamic load balancing frameworks integrate vehicle arrival prediction, queue estimation, and grid constraints to optimize station assignment decisions.</w:t>
      </w:r>
    </w:p>
    <w:p w14:paraId="087F2E91" w14:textId="77777777" w:rsidR="00841E06" w:rsidRPr="00841E06" w:rsidRDefault="00841E06" w:rsidP="00841E06">
      <w:r w:rsidRPr="00841E06">
        <w:t>Artificial intelligence frameworks for EV resource allocation in vehicular networks have further expanded this direction by incorporating battery state estimation, network constraints, and adaptive selection policies. These systems emphasize real-time decision-making under dynamic traffic conditions and demonstrate measurable improvements over static or nearest-station strategies.</w:t>
      </w:r>
    </w:p>
    <w:p w14:paraId="122A37F0" w14:textId="77777777" w:rsidR="00841E06" w:rsidRPr="00841E06" w:rsidRDefault="00841E06" w:rsidP="00841E06">
      <w:r w:rsidRPr="00841E06">
        <w:t xml:space="preserve">SUMO and </w:t>
      </w:r>
      <w:proofErr w:type="spellStart"/>
      <w:r w:rsidRPr="00841E06">
        <w:t>TraCI</w:t>
      </w:r>
      <w:proofErr w:type="spellEnd"/>
      <w:r w:rsidRPr="00841E06">
        <w:t xml:space="preserve"> have been extensively utilized for microscopic traffic simulation, adaptive traffic signal control, and energy-aware mobility modeling. Prior research demonstrates the effectiveness of SUMO in modeling traffic flow dynamics and energy consumption behavior of electric vehicles. However, the majority of SUMO-based studies focus on traffic optimization, signal timing, or fleet scheduling rather than advisory charging recommendation in heterogeneous three-wheeler fleets operating within directionally constrained urban corridors.</w:t>
      </w:r>
    </w:p>
    <w:p w14:paraId="78B09BB2" w14:textId="77777777" w:rsidR="00841E06" w:rsidRPr="00841E06" w:rsidRDefault="00841E06" w:rsidP="00841E06">
      <w:r w:rsidRPr="00841E06">
        <w:t>Thus, while AI-driven and reinforcement learning-based charging selection has been explored in broader EV ecosystems, limited research addresses advisory recommendation frameworks integrated within microscopic traffic simulations tailored to emerging South Asian EV environments.</w:t>
      </w:r>
    </w:p>
    <w:p w14:paraId="2A51EDA2" w14:textId="34650DE7" w:rsidR="00841E06" w:rsidRPr="00841E06" w:rsidRDefault="00841E06" w:rsidP="00841E06"/>
    <w:p w14:paraId="24161DF8" w14:textId="77777777" w:rsidR="00841E06" w:rsidRPr="00841E06" w:rsidRDefault="00841E06" w:rsidP="00841E06">
      <w:pPr>
        <w:rPr>
          <w:b/>
          <w:bCs/>
        </w:rPr>
      </w:pPr>
      <w:r w:rsidRPr="00841E06">
        <w:rPr>
          <w:b/>
          <w:bCs/>
        </w:rPr>
        <w:t>C. Load Forecasting and Dataset-Driven Approaches</w:t>
      </w:r>
    </w:p>
    <w:p w14:paraId="7F887CD2" w14:textId="77777777" w:rsidR="00841E06" w:rsidRPr="00841E06" w:rsidRDefault="00841E06" w:rsidP="00841E06">
      <w:r w:rsidRPr="00841E06">
        <w:t xml:space="preserve">Load forecasting for EV charging stations has gained increasing attention in recent years. Deep learning and ensemble-based models have demonstrated strong performance in capturing nonlinear charging demand patterns. For instance, </w:t>
      </w:r>
      <w:proofErr w:type="spellStart"/>
      <w:r w:rsidRPr="00841E06">
        <w:t>DeepBoost</w:t>
      </w:r>
      <w:proofErr w:type="spellEnd"/>
      <w:r w:rsidRPr="00841E06">
        <w:t xml:space="preserve">—an integrated ensemble combining LSTM, </w:t>
      </w:r>
      <w:proofErr w:type="spellStart"/>
      <w:r w:rsidRPr="00841E06">
        <w:t>XGBoost</w:t>
      </w:r>
      <w:proofErr w:type="spellEnd"/>
      <w:r w:rsidRPr="00841E06">
        <w:t xml:space="preserve">, </w:t>
      </w:r>
      <w:proofErr w:type="spellStart"/>
      <w:r w:rsidRPr="00841E06">
        <w:t>CatBoost</w:t>
      </w:r>
      <w:proofErr w:type="spellEnd"/>
      <w:r w:rsidRPr="00841E06">
        <w:t>, and Linear Regression—has achieved significant reductions in forecasting error compared to standalone models. These studies emphasize the importance of rich feature engineering, including station occupancy, queue length, state-of-charge distribution, and temporal indicators.</w:t>
      </w:r>
    </w:p>
    <w:p w14:paraId="32297A4D" w14:textId="77777777" w:rsidR="00841E06" w:rsidRPr="00841E06" w:rsidRDefault="00841E06" w:rsidP="00841E06">
      <w:r w:rsidRPr="00841E06">
        <w:t>The Global EV Outlook 2025 further highlights that unmanaged EV charging can substantially increase peak demand, particularly in regions with limited grid flexibility. Consequently, intelligent monitoring and predictive modeling are critical components of sustainable EV integration.</w:t>
      </w:r>
    </w:p>
    <w:p w14:paraId="7C45B91B" w14:textId="77777777" w:rsidR="00841E06" w:rsidRPr="00841E06" w:rsidRDefault="00841E06" w:rsidP="00841E06">
      <w:r w:rsidRPr="00841E06">
        <w:t xml:space="preserve">However, many forecasting studies rely on publicly available datasets from developed regions. There remains a scarcity of high-resolution, vehicle-centric EV charging datasets representing South Asian urban conditions. The simulation framework developed in this study generates precisely such a dataset, comprising over 33,000 monitoring records and 1,169 charging recommendation events. The dataset includes state-of-charge, station occupancy, queue dynamics, and instantaneous power consumption, making it directly compatible with advanced load forecasting architectures such as </w:t>
      </w:r>
      <w:proofErr w:type="spellStart"/>
      <w:r w:rsidRPr="00841E06">
        <w:t>DeepBoost</w:t>
      </w:r>
      <w:proofErr w:type="spellEnd"/>
      <w:r w:rsidRPr="00841E06">
        <w:t xml:space="preserve"> and other ensemble learning methods.</w:t>
      </w:r>
    </w:p>
    <w:p w14:paraId="19DB388C" w14:textId="23D315EF" w:rsidR="00841E06" w:rsidRPr="00841E06" w:rsidRDefault="00841E06" w:rsidP="00841E06"/>
    <w:p w14:paraId="0A151087" w14:textId="77777777" w:rsidR="00841E06" w:rsidRPr="00841E06" w:rsidRDefault="00841E06" w:rsidP="00841E06">
      <w:pPr>
        <w:rPr>
          <w:b/>
          <w:bCs/>
        </w:rPr>
      </w:pPr>
      <w:r w:rsidRPr="00841E06">
        <w:rPr>
          <w:b/>
          <w:bCs/>
        </w:rPr>
        <w:t>D. Identified Research Gap</w:t>
      </w:r>
    </w:p>
    <w:p w14:paraId="6527D153" w14:textId="77777777" w:rsidR="00841E06" w:rsidRPr="00841E06" w:rsidRDefault="00841E06" w:rsidP="00841E06">
      <w:r w:rsidRPr="00841E06">
        <w:lastRenderedPageBreak/>
        <w:t>Despite substantial progress in charging infrastructure planning, AI-based station selection, and load forecasting, several gaps remain. First, prior studies do not address simulation-based advisory charging recommendation tailored to corridor-constrained three-wheeler fleets such as Easy Bikes and Electric Rickshaws, which dominate cities like Khulna. Second, existing research rarely evaluates recommendation feasibility under routing and mobility constraints within microscopic traffic environments. Third, there is limited empirical analysis of heterogeneous EV fleets with distinct battery capacities operating within South Asian urban power systems characterized by load-shedding and informal charging practices.</w:t>
      </w:r>
    </w:p>
    <w:p w14:paraId="43964587" w14:textId="77777777" w:rsidR="00841E06" w:rsidRPr="00841E06" w:rsidRDefault="00841E06" w:rsidP="00841E06">
      <w:r w:rsidRPr="00841E06">
        <w:t>This study addresses these gaps by developing a simulation-driven advisory charging recommendation framework that integrates battery-aware decision modeling, congestion-aware scoring, and grid load monitoring within a unified SUMO–</w:t>
      </w:r>
      <w:proofErr w:type="spellStart"/>
      <w:r w:rsidRPr="00841E06">
        <w:t>TraCI</w:t>
      </w:r>
      <w:proofErr w:type="spellEnd"/>
      <w:r w:rsidRPr="00841E06">
        <w:t xml:space="preserve"> environment. The framework is validated using realistic battery parameters, heterogeneous vehicle flows, and empirical performance metrics, thereby contributing both methodological and region-specific insights to the EV charging management literature.</w:t>
      </w:r>
    </w:p>
    <w:p w14:paraId="66C2A20D" w14:textId="77777777" w:rsidR="008F0AC9" w:rsidRDefault="008F0AC9"/>
    <w:sectPr w:rsidR="008F0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D3833"/>
    <w:multiLevelType w:val="multilevel"/>
    <w:tmpl w:val="8D2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51147"/>
    <w:multiLevelType w:val="multilevel"/>
    <w:tmpl w:val="E84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504066">
    <w:abstractNumId w:val="0"/>
  </w:num>
  <w:num w:numId="2" w16cid:durableId="1142845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F6476"/>
    <w:rsid w:val="00253626"/>
    <w:rsid w:val="00841E06"/>
    <w:rsid w:val="008F0AC9"/>
    <w:rsid w:val="00975D82"/>
    <w:rsid w:val="00CF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99295-74CC-4008-B5A1-16ACFD47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4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F64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F647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F64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F64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F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47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F647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F647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F647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F647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F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476"/>
    <w:rPr>
      <w:rFonts w:eastAsiaTheme="majorEastAsia" w:cstheme="majorBidi"/>
      <w:color w:val="272727" w:themeColor="text1" w:themeTint="D8"/>
    </w:rPr>
  </w:style>
  <w:style w:type="paragraph" w:styleId="Title">
    <w:name w:val="Title"/>
    <w:basedOn w:val="Normal"/>
    <w:next w:val="Normal"/>
    <w:link w:val="TitleChar"/>
    <w:uiPriority w:val="10"/>
    <w:qFormat/>
    <w:rsid w:val="00CF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4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4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6476"/>
    <w:rPr>
      <w:i/>
      <w:iCs/>
      <w:color w:val="404040" w:themeColor="text1" w:themeTint="BF"/>
    </w:rPr>
  </w:style>
  <w:style w:type="paragraph" w:styleId="ListParagraph">
    <w:name w:val="List Paragraph"/>
    <w:basedOn w:val="Normal"/>
    <w:uiPriority w:val="34"/>
    <w:qFormat/>
    <w:rsid w:val="00CF6476"/>
    <w:pPr>
      <w:ind w:left="720"/>
      <w:contextualSpacing/>
    </w:pPr>
  </w:style>
  <w:style w:type="character" w:styleId="IntenseEmphasis">
    <w:name w:val="Intense Emphasis"/>
    <w:basedOn w:val="DefaultParagraphFont"/>
    <w:uiPriority w:val="21"/>
    <w:qFormat/>
    <w:rsid w:val="00CF6476"/>
    <w:rPr>
      <w:i/>
      <w:iCs/>
      <w:color w:val="365F91" w:themeColor="accent1" w:themeShade="BF"/>
    </w:rPr>
  </w:style>
  <w:style w:type="paragraph" w:styleId="IntenseQuote">
    <w:name w:val="Intense Quote"/>
    <w:basedOn w:val="Normal"/>
    <w:next w:val="Normal"/>
    <w:link w:val="IntenseQuoteChar"/>
    <w:uiPriority w:val="30"/>
    <w:qFormat/>
    <w:rsid w:val="00CF64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6476"/>
    <w:rPr>
      <w:i/>
      <w:iCs/>
      <w:color w:val="365F91" w:themeColor="accent1" w:themeShade="BF"/>
    </w:rPr>
  </w:style>
  <w:style w:type="character" w:styleId="IntenseReference">
    <w:name w:val="Intense Reference"/>
    <w:basedOn w:val="DefaultParagraphFont"/>
    <w:uiPriority w:val="32"/>
    <w:qFormat/>
    <w:rsid w:val="00CF647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6926">
      <w:bodyDiv w:val="1"/>
      <w:marLeft w:val="0"/>
      <w:marRight w:val="0"/>
      <w:marTop w:val="0"/>
      <w:marBottom w:val="0"/>
      <w:divBdr>
        <w:top w:val="none" w:sz="0" w:space="0" w:color="auto"/>
        <w:left w:val="none" w:sz="0" w:space="0" w:color="auto"/>
        <w:bottom w:val="none" w:sz="0" w:space="0" w:color="auto"/>
        <w:right w:val="none" w:sz="0" w:space="0" w:color="auto"/>
      </w:divBdr>
    </w:div>
    <w:div w:id="105469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773</Words>
  <Characters>6191</Characters>
  <Application>Microsoft Office Word</Application>
  <DocSecurity>0</DocSecurity>
  <Lines>229</Lines>
  <Paragraphs>85</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cp:revision>
  <dcterms:created xsi:type="dcterms:W3CDTF">2026-02-20T05:52:00Z</dcterms:created>
  <dcterms:modified xsi:type="dcterms:W3CDTF">2026-02-20T05:53:00Z</dcterms:modified>
</cp:coreProperties>
</file>