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4E79"/>
          <w:sz w:val="40"/>
          <w:szCs w:val="40"/>
        </w:rPr>
        <w:t xml:space="preserve">Reference Review Report</w:t>
      </w:r>
    </w:p>
    <w:p>
      <w:pPr>
        <w:spacing w:after="80"/>
        <w:jc w:val="center"/>
      </w:pPr>
      <w:r>
        <w:rPr>
          <w:rFonts w:ascii="Arial" w:cs="Arial" w:eastAsia="Arial" w:hAnsi="Arial"/>
          <w:i/>
          <w:iCs/>
          <w:sz w:val="22"/>
          <w:szCs w:val="22"/>
        </w:rPr>
        <w:t xml:space="preserve">Thesis: EV Charging Load Demand Prediction Using ML in a SUMO-Based Simulation Environment</w:t>
      </w:r>
    </w:p>
    <w:p>
      <w:pPr>
        <w:spacing w:after="80"/>
        <w:jc w:val="center"/>
      </w:pPr>
      <w:r>
        <w:rPr>
          <w:rFonts w:ascii="Arial" w:cs="Arial" w:eastAsia="Arial" w:hAnsi="Arial"/>
          <w:color w:val="555555"/>
          <w:sz w:val="20"/>
          <w:szCs w:val="20"/>
        </w:rPr>
        <w:t xml:space="preserve">Student: Rakesh Biswas  |  ID: 200112  |  JUST, May 2026</w:t>
      </w:r>
    </w:p>
    <w:p>
      <w:pPr>
        <w:spacing w:after="240"/>
        <w:jc w:val="center"/>
      </w:pPr>
      <w:r>
        <w:rPr>
          <w:rFonts w:ascii="Arial" w:cs="Arial" w:eastAsia="Arial" w:hAnsi="Arial"/>
          <w:i/>
          <w:iCs/>
          <w:color w:val="555555"/>
          <w:sz w:val="20"/>
          <w:szCs w:val="20"/>
        </w:rPr>
        <w:t xml:space="preserve">Reviewed by: Claude (Anthropic)  |  Date: May 2026</w:t>
      </w:r>
    </w:p>
    <w:p>
      <w:pPr>
        <w:pBdr>
          <w:bottom w:val="single" w:color="2E75B6" w:sz="8" w:space="1"/>
        </w:pBdr>
        <w:spacing w:after="160"/>
      </w:pPr>
    </w:p>
    <w:p>
      <w:pPr>
        <w:pStyle w:val="Heading1"/>
        <w:spacing w:after="120" w:before="320"/>
      </w:pPr>
      <w:r>
        <w:rPr>
          <w:rFonts w:ascii="Arial" w:cs="Arial" w:eastAsia="Arial" w:hAnsi="Arial"/>
          <w:b/>
          <w:bCs/>
          <w:color w:val="1F4E79"/>
          <w:sz w:val="32"/>
          <w:szCs w:val="32"/>
        </w:rPr>
        <w:t xml:space="preserve">Legend</w:t>
      </w:r>
    </w:p>
    <w:p>
      <w:pPr>
        <w:spacing w:after="100"/>
      </w:pPr>
      <w:r>
        <w:rPr>
          <w:rFonts w:ascii="Arial" w:cs="Arial" w:eastAsia="Arial" w:hAnsi="Arial"/>
          <w:sz w:val="22"/>
          <w:szCs w:val="22"/>
        </w:rPr>
        <w:t xml:space="preserve">Color coding used throughout this document:</w:t>
      </w:r>
    </w:p>
    <w:p>
      <w:pPr>
        <w:spacing w:after="60"/>
      </w:pPr>
      <w:r>
        <w:rPr>
          <w:rFonts w:ascii="Arial" w:cs="Arial" w:eastAsia="Arial" w:hAnsi="Arial"/>
          <w:color w:val="375623"/>
          <w:sz w:val="22"/>
          <w:szCs w:val="22"/>
        </w:rPr>
        <w:t xml:space="preserve">  ✅ OK  — Reference is accurate and correctly formatted</w:t>
      </w:r>
    </w:p>
    <w:p>
      <w:pPr>
        <w:spacing w:after="60"/>
      </w:pPr>
      <w:r>
        <w:rPr>
          <w:rFonts w:ascii="Arial" w:cs="Arial" w:eastAsia="Arial" w:hAnsi="Arial"/>
          <w:color w:val="7F3F00"/>
          <w:sz w:val="22"/>
          <w:szCs w:val="22"/>
        </w:rPr>
        <w:t xml:space="preserve">  ⚠️ Minor Issue  — Reference needs a small correction (e.g., outdated, missing detail)</w:t>
      </w:r>
    </w:p>
    <w:p>
      <w:pPr>
        <w:spacing w:after="60"/>
      </w:pPr>
      <w:r>
        <w:rPr>
          <w:rFonts w:ascii="Arial" w:cs="Arial" w:eastAsia="Arial" w:hAnsi="Arial"/>
          <w:color w:val="C00000"/>
          <w:sz w:val="22"/>
          <w:szCs w:val="22"/>
        </w:rPr>
        <w:t xml:space="preserve">  ❌ Problem  — Reference is incorrect, misleading, or unusable; must be fixed or replaced</w:t>
      </w:r>
    </w:p>
    <w:p>
      <w:pPr>
        <w:spacing w:after="80"/>
      </w:pPr>
      <w:r>
        <w:rPr>
          <w:rFonts w:ascii="Arial" w:cs="Arial" w:eastAsia="Arial" w:hAnsi="Arial"/>
          <w:b/>
          <w:bCs/>
          <w:color w:val="375623"/>
          <w:sz w:val="22"/>
          <w:szCs w:val="22"/>
        </w:rPr>
        <w:t xml:space="preserve">  🆕 New  — Newly recommended reference (not in original thesis)</w:t>
      </w:r>
    </w:p>
    <w:p>
      <w:pPr>
        <w:pBdr>
          <w:bottom w:val="single" w:color="2E75B6" w:sz="8" w:space="1"/>
        </w:pBdr>
        <w:spacing w:after="160"/>
      </w:pPr>
    </w:p>
    <w:p>
      <w:pPr>
        <w:pStyle w:val="Heading1"/>
        <w:spacing w:after="120" w:before="320"/>
      </w:pPr>
      <w:r>
        <w:rPr>
          <w:rFonts w:ascii="Arial" w:cs="Arial" w:eastAsia="Arial" w:hAnsi="Arial"/>
          <w:b/>
          <w:bCs/>
          <w:color w:val="1F4E79"/>
          <w:sz w:val="32"/>
          <w:szCs w:val="32"/>
        </w:rPr>
        <w:t xml:space="preserve">1. Review of Existing References [1]–[20]</w:t>
      </w:r>
    </w:p>
    <w:p>
      <w:pPr>
        <w:spacing w:after="100"/>
      </w:pPr>
      <w:r>
        <w:rPr>
          <w:rFonts w:ascii="Arial" w:cs="Arial" w:eastAsia="Arial" w:hAnsi="Arial"/>
          <w:sz w:val="22"/>
          <w:szCs w:val="22"/>
        </w:rPr>
        <w:t xml:space="preserve">Below is a detailed assessment of each reference as they appear in your thesis. Issues found are explained with suggested fixes.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1400"/>
        <w:gridCol w:w="21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Reference (Short)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60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r>
              <w:rPr>
                <w:rFonts w:ascii="Arial" w:cs="Arial" w:eastAsia="Arial" w:hAnsi="Arial"/>
                <w:b/>
                <w:bCs/>
                <w:sz w:val="20"/>
                <w:szCs w:val="20"/>
              </w:rPr>
              <w:t xml:space="preserve">[1]</w:t>
            </w:r>
          </w:p>
        </w:tc>
        <w:tc>
          <w:tcPr>
            <w:tcW w:type="dxa" w:w="520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r>
              <w:rPr>
                <w:rFonts w:ascii="Arial" w:cs="Arial" w:eastAsia="Arial" w:hAnsi="Arial"/>
                <w:i/>
                <w:iCs/>
                <w:sz w:val="20"/>
                <w:szCs w:val="20"/>
              </w:rPr>
              <w:t xml:space="preserve">IEA, Global EV Outlook 2023 — 'exceeded 26 million in 2022'</w:t>
            </w:r>
          </w:p>
        </w:tc>
        <w:tc>
          <w:tcPr>
            <w:tcW w:type="dxa" w:w="140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r>
              <w:rPr>
                <w:rFonts w:ascii="Arial" w:cs="Arial" w:eastAsia="Arial" w:hAnsi="Arial"/>
                <w:b/>
                <w:bCs/>
                <w:color w:val="7F3F00"/>
                <w:sz w:val="20"/>
                <w:szCs w:val="20"/>
              </w:rPr>
              <w:t xml:space="preserve">⚠️ Outdated</w:t>
            </w:r>
          </w:p>
        </w:tc>
        <w:tc>
          <w:tcPr>
            <w:tcW w:type="dxa" w:w="216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r>
              <w:rPr>
                <w:rFonts w:ascii="Arial" w:cs="Arial" w:eastAsia="Arial" w:hAnsi="Arial"/>
                <w:sz w:val="20"/>
                <w:szCs w:val="20"/>
              </w:rPr>
              <w:t xml:space="preserve">Update to IEA Global EV Outlook 2025 (17M+ sold in 2024 alone)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Yilmaz &amp; Krein, IEEE Trans. Power Electron., 2013 — V2G review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OK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change needed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Siddiqui et al., Alexandria Eng. J., 2025 — DeepBoost approach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OK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recent; correctly cited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Ran et al., EPSR, 2025 — CNN-LSTM-AM model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OK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recent; correctly cited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Islam, Rahman &amp; Hossain, SETA, 2022 — EV in developing countries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OK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Relevant to Bangladesh context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Sortomme et al., IEEE Trans. Smart Grid, 2011 — Coordinated charging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OK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Classic foundational paper; acceptable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[7]</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Zhang et al., IEEE Trans. Smart Grid, 2021 — Deep learning EV forecast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OK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 and well-cited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[8]</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Wang et al., Energies, 2020 — Random Forest short-term load forecast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OK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 and relevant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[9]</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Hu et al., Renew. &amp; Sust. Energy Rev., 2019 — SOC estimation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OK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foundational SOC reference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[10]</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Lopez et al., ITSC 2018 — SUMO microscopic simulation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OK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SUMO citation; correct</w:t>
            </w:r>
          </w:p>
        </w:tc>
      </w:tr>
      <w:tr>
        <w:tc>
          <w:tcPr>
            <w:tcW w:type="dxa" w:w="60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r>
              <w:rPr>
                <w:rFonts w:ascii="Arial" w:cs="Arial" w:eastAsia="Arial" w:hAnsi="Arial"/>
                <w:b/>
                <w:bCs/>
                <w:sz w:val="20"/>
                <w:szCs w:val="20"/>
              </w:rPr>
              <w:t xml:space="preserve">[11]</w:t>
            </w:r>
          </w:p>
        </w:tc>
        <w:tc>
          <w:tcPr>
            <w:tcW w:type="dxa" w:w="520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r>
              <w:rPr>
                <w:rFonts w:ascii="Arial" w:cs="Arial" w:eastAsia="Arial" w:hAnsi="Arial"/>
                <w:i/>
                <w:iCs/>
                <w:sz w:val="20"/>
                <w:szCs w:val="20"/>
              </w:rPr>
              <w:t xml:space="preserve">Wegener et al., CNS Symp. 2008 — TraCI interface</w:t>
            </w:r>
          </w:p>
        </w:tc>
        <w:tc>
          <w:tcPr>
            <w:tcW w:type="dxa" w:w="140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r>
              <w:rPr>
                <w:rFonts w:ascii="Arial" w:cs="Arial" w:eastAsia="Arial" w:hAnsi="Arial"/>
                <w:b/>
                <w:bCs/>
                <w:color w:val="7F3F00"/>
                <w:sz w:val="20"/>
                <w:szCs w:val="20"/>
              </w:rPr>
              <w:t xml:space="preserve">⚠️ Minor Issue</w:t>
            </w:r>
          </w:p>
        </w:tc>
        <w:tc>
          <w:tcPr>
            <w:tcW w:type="dxa" w:w="216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r>
              <w:rPr>
                <w:rFonts w:ascii="Arial" w:cs="Arial" w:eastAsia="Arial" w:hAnsi="Arial"/>
                <w:sz w:val="20"/>
                <w:szCs w:val="20"/>
              </w:rPr>
              <w:t xml:space="preserve">Very old (2008). Consider supplementing with SUMO TraCI docs 2024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Chen, Xu &amp; Wong, IEEE Trans. Power Syst., 2013 — Prob. load flow with EVs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OK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Acceptable foundational reference</w:t>
            </w:r>
          </w:p>
        </w:tc>
      </w:tr>
      <w:tr>
        <w:tc>
          <w:tcPr>
            <w:tcW w:type="dxa" w:w="60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r>
              <w:rPr>
                <w:rFonts w:ascii="Arial" w:cs="Arial" w:eastAsia="Arial" w:hAnsi="Arial"/>
                <w:b/>
                <w:bCs/>
                <w:sz w:val="20"/>
                <w:szCs w:val="20"/>
              </w:rPr>
              <w:t xml:space="preserve">[13]</w:t>
            </w:r>
          </w:p>
        </w:tc>
        <w:tc>
          <w:tcPr>
            <w:tcW w:type="dxa" w:w="520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r>
              <w:rPr>
                <w:rFonts w:ascii="Arial" w:cs="Arial" w:eastAsia="Arial" w:hAnsi="Arial"/>
                <w:i/>
                <w:iCs/>
                <w:sz w:val="20"/>
                <w:szCs w:val="20"/>
              </w:rPr>
              <w:t xml:space="preserve">Ding et al., IEEE Trans. Sust. Energy, 2017 — Two-stage robust optimization</w:t>
            </w:r>
          </w:p>
        </w:tc>
        <w:tc>
          <w:tcPr>
            <w:tcW w:type="dxa" w:w="140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r>
              <w:rPr>
                <w:rFonts w:ascii="Arial" w:cs="Arial" w:eastAsia="Arial" w:hAnsi="Arial"/>
                <w:b/>
                <w:bCs/>
                <w:color w:val="7F3F00"/>
                <w:sz w:val="20"/>
                <w:szCs w:val="20"/>
              </w:rPr>
              <w:t xml:space="preserve">⚠️ Minor Issue</w:t>
            </w:r>
          </w:p>
        </w:tc>
        <w:tc>
          <w:tcPr>
            <w:tcW w:type="dxa" w:w="216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r>
              <w:rPr>
                <w:rFonts w:ascii="Arial" w:cs="Arial" w:eastAsia="Arial" w:hAnsi="Arial"/>
                <w:sz w:val="20"/>
                <w:szCs w:val="20"/>
              </w:rPr>
              <w:t xml:space="preserve">Loosely cited; the queue logic connection to this paper is a stretch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[14]</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Nguyen et al., IEEE Trans. Veh. Tech., 2021 — Adaptive dynamic programming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OK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Directly relevant to SOC-based routing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Ul-Haq et al., EPSR, 2018 — Probabilistic residential EV charging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OK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Correctly cited in literature review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[16]</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He et al., Transp. Res. Part C, 2018 — Optimal charging station placement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OK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Correctly cited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[17]</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Chen et al., Applied Energy, 2022 — XGBoost day-ahead EV load forecast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OK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relevant; correctly cited</w:t>
            </w:r>
          </w:p>
        </w:tc>
      </w:tr>
      <w:tr>
        <w:tc>
          <w:tcPr>
            <w:tcW w:type="dxa" w:w="60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r>
              <w:rPr>
                <w:rFonts w:ascii="Arial" w:cs="Arial" w:eastAsia="Arial" w:hAnsi="Arial"/>
                <w:b/>
                <w:bCs/>
                <w:sz w:val="20"/>
                <w:szCs w:val="20"/>
              </w:rPr>
              <w:t xml:space="preserve">[18]</w:t>
            </w:r>
          </w:p>
        </w:tc>
        <w:tc>
          <w:tcPr>
            <w:tcW w:type="dxa" w:w="520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r>
              <w:rPr>
                <w:rFonts w:ascii="Arial" w:cs="Arial" w:eastAsia="Arial" w:hAnsi="Arial"/>
                <w:i/>
                <w:iCs/>
                <w:sz w:val="20"/>
                <w:szCs w:val="20"/>
              </w:rPr>
              <w:t xml:space="preserve">Taieb &amp; Hyndman, Int. J. Forecasting, 2014 — Gradient boosting</w:t>
            </w:r>
          </w:p>
        </w:tc>
        <w:tc>
          <w:tcPr>
            <w:tcW w:type="dxa" w:w="140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r>
              <w:rPr>
                <w:rFonts w:ascii="Arial" w:cs="Arial" w:eastAsia="Arial" w:hAnsi="Arial"/>
                <w:b/>
                <w:bCs/>
                <w:color w:val="7F3F00"/>
                <w:sz w:val="20"/>
                <w:szCs w:val="20"/>
              </w:rPr>
              <w:t xml:space="preserve">⚠️ Minor Issue</w:t>
            </w:r>
          </w:p>
        </w:tc>
        <w:tc>
          <w:tcPr>
            <w:tcW w:type="dxa" w:w="216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r>
              <w:rPr>
                <w:rFonts w:ascii="Arial" w:cs="Arial" w:eastAsia="Arial" w:hAnsi="Arial"/>
                <w:sz w:val="20"/>
                <w:szCs w:val="20"/>
              </w:rPr>
              <w:t xml:space="preserve">Author surname: should be 'Taieb and Hyndman' not 'Tayeb and Hyndman' in thesis body text (p.15)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[19]</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Guo, Yang &amp; Yang, IEEE Trans. Veh. Tech., 2019 — EV charging infrastructure planning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OK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Acceptable; context match is reasonable</w:t>
            </w:r>
          </w:p>
        </w:tc>
      </w:tr>
      <w:tr>
        <w:tc>
          <w:tcPr>
            <w:tcW w:type="dxa" w:w="60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r>
              <w:rPr>
                <w:rFonts w:ascii="Arial" w:cs="Arial" w:eastAsia="Arial" w:hAnsi="Arial"/>
                <w:b/>
                <w:bCs/>
                <w:sz w:val="20"/>
                <w:szCs w:val="20"/>
              </w:rPr>
              <w:t xml:space="preserve">[20]</w:t>
            </w:r>
          </w:p>
        </w:tc>
        <w:tc>
          <w:tcPr>
            <w:tcW w:type="dxa" w:w="520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r>
              <w:rPr>
                <w:rFonts w:ascii="Arial" w:cs="Arial" w:eastAsia="Arial" w:hAnsi="Arial"/>
                <w:i/>
                <w:iCs/>
                <w:sz w:val="20"/>
                <w:szCs w:val="20"/>
              </w:rPr>
              <w:t xml:space="preserve">Helbing &amp; Treiber, Phys. Rev. Lett., 1998 — Car-following model</w:t>
            </w:r>
          </w:p>
        </w:tc>
        <w:tc>
          <w:tcPr>
            <w:tcW w:type="dxa" w:w="140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r>
              <w:rPr>
                <w:rFonts w:ascii="Arial" w:cs="Arial" w:eastAsia="Arial" w:hAnsi="Arial"/>
                <w:b/>
                <w:bCs/>
                <w:color w:val="7F3F00"/>
                <w:sz w:val="20"/>
                <w:szCs w:val="20"/>
              </w:rPr>
              <w:t xml:space="preserve">⚠️ Minor Issue</w:t>
            </w:r>
          </w:p>
        </w:tc>
        <w:tc>
          <w:tcPr>
            <w:tcW w:type="dxa" w:w="2160"/>
            <w:tcBorders>
              <w:top w:val="single" w:color="CCCCCC" w:sz="1"/>
              <w:left w:val="single" w:color="CCCCCC" w:sz="1"/>
              <w:bottom w:val="single" w:color="CCCCCC" w:sz="1"/>
              <w:right w:val="single" w:color="CCCCCC" w:sz="1"/>
            </w:tcBorders>
            <w:shd w:fill="FFF8E9" w:val="clear"/>
            <w:tcMar>
              <w:top w:type="dxa" w:w="80"/>
              <w:left w:type="dxa" w:w="120"/>
              <w:bottom w:type="dxa" w:w="80"/>
              <w:right w:type="dxa" w:w="120"/>
            </w:tcMar>
          </w:tcPr>
          <w:p>
            <w:r>
              <w:rPr>
                <w:rFonts w:ascii="Arial" w:cs="Arial" w:eastAsia="Arial" w:hAnsi="Arial"/>
                <w:sz w:val="20"/>
                <w:szCs w:val="20"/>
              </w:rPr>
              <w:t xml:space="preserve">Author surname: should be 'Treiber' not 'Triber' in thesis body text (p.15). Also very old foundational paper—acceptable.</w:t>
            </w:r>
          </w:p>
        </w:tc>
      </w:tr>
    </w:tbl>
    <w:p>
      <w:pPr>
        <w:spacing w:after="200"/>
      </w:pPr>
    </w:p>
    <w:p>
      <w:pPr>
        <w:pBdr>
          <w:bottom w:val="single" w:color="2E75B6" w:sz="8" w:space="1"/>
        </w:pBdr>
        <w:spacing w:after="160"/>
      </w:pPr>
    </w:p>
    <w:p>
      <w:pPr>
        <w:pStyle w:val="Heading1"/>
        <w:spacing w:after="120" w:before="320"/>
      </w:pPr>
      <w:r>
        <w:rPr>
          <w:rFonts w:ascii="Arial" w:cs="Arial" w:eastAsia="Arial" w:hAnsi="Arial"/>
          <w:b/>
          <w:bCs/>
          <w:color w:val="1F4E79"/>
          <w:sz w:val="32"/>
          <w:szCs w:val="32"/>
        </w:rPr>
        <w:t xml:space="preserve">2. Detailed Issue Notes</w:t>
      </w:r>
    </w:p>
    <w:p>
      <w:pPr>
        <w:pStyle w:val="Heading2"/>
        <w:spacing w:after="80" w:before="200"/>
      </w:pPr>
      <w:r>
        <w:rPr>
          <w:rFonts w:ascii="Arial" w:cs="Arial" w:eastAsia="Arial" w:hAnsi="Arial"/>
          <w:b/>
          <w:bCs/>
          <w:color w:val="1F4E79"/>
          <w:sz w:val="26"/>
          <w:szCs w:val="26"/>
        </w:rPr>
        <w:t xml:space="preserve">2.1  Reference [1] — IEA Report: Update Recommended</w:t>
      </w:r>
    </w:p>
    <w:p>
      <w:pPr>
        <w:spacing w:after="100"/>
      </w:pPr>
      <w:r>
        <w:rPr>
          <w:rFonts w:ascii="Arial" w:cs="Arial" w:eastAsia="Arial" w:hAnsi="Arial"/>
          <w:sz w:val="22"/>
          <w:szCs w:val="22"/>
        </w:rPr>
        <w:t xml:space="preserve">Your thesis states: "the number of electric vehicles worldwide exceeded 26 million in 2022." This uses the IEA Global EV Outlook 2023 report. The IEA has since published the 2025 edition with significantly more current data:</w:t>
      </w:r>
    </w:p>
    <w:p>
      <w:pPr>
        <w:spacing w:after="80"/>
        <w:ind w:left="360"/>
      </w:pPr>
      <w:r>
        <w:rPr>
          <w:rFonts w:ascii="Arial" w:cs="Arial" w:eastAsia="Arial" w:hAnsi="Arial"/>
          <w:sz w:val="22"/>
          <w:szCs w:val="22"/>
        </w:rPr>
        <w:t xml:space="preserve">• Global EV sales exceeded 17 million in 2024 alone (a 25%+ year-on-year rise).</w:t>
      </w:r>
    </w:p>
    <w:p>
      <w:pPr>
        <w:spacing w:after="80"/>
        <w:ind w:left="360"/>
      </w:pPr>
      <w:r>
        <w:rPr>
          <w:rFonts w:ascii="Arial" w:cs="Arial" w:eastAsia="Arial" w:hAnsi="Arial"/>
          <w:sz w:val="22"/>
          <w:szCs w:val="22"/>
        </w:rPr>
        <w:t xml:space="preserve">• Global EV sales are expected to exceed 20 million in 2025.</w:t>
      </w:r>
    </w:p>
    <w:p>
      <w:pPr>
        <w:spacing w:after="100"/>
      </w:pPr>
      <w:r>
        <w:rPr>
          <w:rFonts w:ascii="Arial" w:cs="Arial" w:eastAsia="Arial" w:hAnsi="Arial"/>
          <w:sz w:val="22"/>
          <w:szCs w:val="22"/>
        </w:rPr>
        <w:t xml:space="preserve">Recommendation: Replace [1] with the IEA Global EV Outlook 2025 and update the statistic in the Introduction.</w:t>
      </w:r>
    </w:p>
    <w:p>
      <w:pPr>
        <w:pStyle w:val="Heading2"/>
        <w:spacing w:after="80" w:before="200"/>
      </w:pPr>
      <w:r>
        <w:rPr>
          <w:rFonts w:ascii="Arial" w:cs="Arial" w:eastAsia="Arial" w:hAnsi="Arial"/>
          <w:b/>
          <w:bCs/>
          <w:color w:val="1F4E79"/>
          <w:sz w:val="26"/>
          <w:szCs w:val="26"/>
        </w:rPr>
        <w:t xml:space="preserve">2.2  Reference [11] — TraCI (Wegener et al., 2008): Supplement Recommended</w:t>
      </w:r>
    </w:p>
    <w:p>
      <w:pPr>
        <w:spacing w:after="100"/>
      </w:pPr>
      <w:r>
        <w:rPr>
          <w:rFonts w:ascii="Arial" w:cs="Arial" w:eastAsia="Arial" w:hAnsi="Arial"/>
          <w:sz w:val="22"/>
          <w:szCs w:val="22"/>
        </w:rPr>
        <w:t xml:space="preserve">This 2008 paper introduced TraCI conceptually but is now nearly 20 years old. While acceptable as the original citation, you should supplement it with the current official SUMO/TraCI documentation to show awareness of modern updates. See the new references section below for a suggested addition.</w:t>
      </w:r>
    </w:p>
    <w:p>
      <w:pPr>
        <w:pStyle w:val="Heading2"/>
        <w:spacing w:after="80" w:before="200"/>
      </w:pPr>
      <w:r>
        <w:rPr>
          <w:rFonts w:ascii="Arial" w:cs="Arial" w:eastAsia="Arial" w:hAnsi="Arial"/>
          <w:b/>
          <w:bCs/>
          <w:color w:val="1F4E79"/>
          <w:sz w:val="26"/>
          <w:szCs w:val="26"/>
        </w:rPr>
        <w:t xml:space="preserve">2.3  Reference [13] — Ding et al. (2017): Citation Justification</w:t>
      </w:r>
    </w:p>
    <w:p>
      <w:pPr>
        <w:spacing w:after="100"/>
      </w:pPr>
      <w:r>
        <w:rPr>
          <w:rFonts w:ascii="Arial" w:cs="Arial" w:eastAsia="Arial" w:hAnsi="Arial"/>
          <w:sz w:val="22"/>
          <w:szCs w:val="22"/>
        </w:rPr>
        <w:t xml:space="preserve">You cite this paper for "queue-aware routing logic." However, Ding et al. (2017) is primarily about robust optimization for photovoltaic inverters in active distribution networks — not queue management. The conceptual link is indirect. Consider either: (a) replacing it with a more direct queue management reference, or (b) more clearly explaining in your text how the concept applies.</w:t>
      </w:r>
    </w:p>
    <w:p>
      <w:pPr>
        <w:pStyle w:val="Heading2"/>
        <w:spacing w:after="80" w:before="200"/>
      </w:pPr>
      <w:r>
        <w:rPr>
          <w:rFonts w:ascii="Arial" w:cs="Arial" w:eastAsia="Arial" w:hAnsi="Arial"/>
          <w:b/>
          <w:bCs/>
          <w:color w:val="1F4E79"/>
          <w:sz w:val="26"/>
          <w:szCs w:val="26"/>
        </w:rPr>
        <w:t xml:space="preserve">2.4  Typos in Author Names in Thesis Body Text</w:t>
      </w:r>
    </w:p>
    <w:p>
      <w:pPr>
        <w:spacing w:after="80"/>
        <w:ind w:left="360"/>
      </w:pPr>
      <w:r>
        <w:rPr>
          <w:rFonts w:ascii="Arial" w:cs="Arial" w:eastAsia="Arial" w:hAnsi="Arial"/>
          <w:color w:val="C00000"/>
          <w:sz w:val="22"/>
          <w:szCs w:val="22"/>
        </w:rPr>
        <w:t xml:space="preserve">• Page 15: 'Tayeb and Hyndman' → should be 'Taieb and Hyndman' (matches your own reference list [18]).</w:t>
      </w:r>
    </w:p>
    <w:p>
      <w:pPr>
        <w:spacing w:after="80"/>
        <w:ind w:left="360"/>
      </w:pPr>
      <w:r>
        <w:rPr>
          <w:rFonts w:ascii="Arial" w:cs="Arial" w:eastAsia="Arial" w:hAnsi="Arial"/>
          <w:color w:val="C00000"/>
          <w:sz w:val="22"/>
          <w:szCs w:val="22"/>
        </w:rPr>
        <w:t xml:space="preserve">• Page 15: 'Helbing and Triber' → should be 'Helbing and Treiber' (matches your own reference list [20]).</w:t>
      </w:r>
    </w:p>
    <w:p>
      <w:pPr>
        <w:spacing w:after="100"/>
      </w:pPr>
      <w:r>
        <w:rPr>
          <w:rFonts w:ascii="Arial" w:cs="Arial" w:eastAsia="Arial" w:hAnsi="Arial"/>
          <w:sz w:val="22"/>
          <w:szCs w:val="22"/>
        </w:rPr>
        <w:t xml:space="preserve">These are simple typos but important to fix before submission.</w:t>
      </w:r>
    </w:p>
    <w:p>
      <w:pPr>
        <w:spacing w:after="200"/>
      </w:pPr>
    </w:p>
    <w:p>
      <w:pPr>
        <w:pBdr>
          <w:bottom w:val="single" w:color="2E75B6" w:sz="8" w:space="1"/>
        </w:pBdr>
        <w:spacing w:after="160"/>
      </w:pPr>
    </w:p>
    <w:p>
      <w:pPr>
        <w:pStyle w:val="Heading1"/>
        <w:spacing w:after="120" w:before="320"/>
      </w:pPr>
      <w:r>
        <w:rPr>
          <w:rFonts w:ascii="Arial" w:cs="Arial" w:eastAsia="Arial" w:hAnsi="Arial"/>
          <w:b/>
          <w:bCs/>
          <w:color w:val="1F4E79"/>
          <w:sz w:val="32"/>
          <w:szCs w:val="32"/>
        </w:rPr>
        <w:t xml:space="preserve">3. Recommended New References to Add</w:t>
      </w:r>
    </w:p>
    <w:p>
      <w:pPr>
        <w:spacing w:after="100"/>
      </w:pPr>
      <w:r>
        <w:rPr>
          <w:rFonts w:ascii="Arial" w:cs="Arial" w:eastAsia="Arial" w:hAnsi="Arial"/>
          <w:sz w:val="22"/>
          <w:szCs w:val="22"/>
        </w:rPr>
        <w:t xml:space="preserve">The following references are recommended to strengthen your thesis. They address gaps in the existing reference list, cover more recent work, and support specific sections of your thesis.</w:t>
      </w:r>
    </w:p>
    <w:p>
      <w:pPr>
        <w:spacing w:after="120"/>
      </w:pPr>
    </w:p>
    <w:p>
      <w:pPr>
        <w:pStyle w:val="Heading2"/>
        <w:spacing w:after="80" w:before="200"/>
      </w:pPr>
      <w:r>
        <w:rPr>
          <w:rFonts w:ascii="Arial" w:cs="Arial" w:eastAsia="Arial" w:hAnsi="Arial"/>
          <w:b/>
          <w:bCs/>
          <w:color w:val="1F4E79"/>
          <w:sz w:val="26"/>
          <w:szCs w:val="26"/>
        </w:rPr>
        <w:t xml:space="preserve">A. Update [1]: IEA Global EV Outlook 2025</w:t>
      </w:r>
    </w:p>
    <w:p>
      <w:pPr>
        <w:spacing w:after="100"/>
      </w:pPr>
      <w:r>
        <w:rPr>
          <w:rFonts w:ascii="Arial" w:cs="Arial" w:eastAsia="Arial" w:hAnsi="Arial"/>
          <w:sz w:val="22"/>
          <w:szCs w:val="22"/>
        </w:rPr>
        <w:t xml:space="preserve">To be cited in Chapter 1 (Introduction) in place of or alongside the 2023 edition. Provides the most current EV adoption statistics.</w:t>
      </w:r>
    </w:p>
    <w:p>
      <w:pPr>
        <w:spacing w:after="120"/>
      </w:pPr>
      <w:r>
        <w:rPr>
          <w:rFonts w:ascii="Arial" w:cs="Arial" w:eastAsia="Arial" w:hAnsi="Arial"/>
          <w:b/>
          <w:bCs/>
          <w:color w:val="375623"/>
          <w:sz w:val="22"/>
          <w:szCs w:val="22"/>
        </w:rPr>
        <w:t xml:space="preserve">[1-NEW]  </w:t>
      </w:r>
      <w:r>
        <w:rPr>
          <w:rFonts w:ascii="Arial" w:cs="Arial" w:eastAsia="Arial" w:hAnsi="Arial"/>
          <w:sz w:val="22"/>
          <w:szCs w:val="22"/>
        </w:rPr>
        <w:t xml:space="preserve">IEA, "Global EV Outlook 2025," International Energy Agency, Paris, 2025.</w:t>
      </w:r>
      <w:r>
        <w:rPr>
          <w:rFonts w:ascii="Arial" w:cs="Arial" w:eastAsia="Arial" w:hAnsi="Arial"/>
          <w:sz w:val="22"/>
          <w:szCs w:val="22"/>
        </w:rPr>
        <w:t xml:space="preserve">  [Link] </w:t>
      </w:r>
      <w:r>
        <w:rPr>
          <w:rFonts w:ascii="Arial" w:cs="Arial" w:eastAsia="Arial" w:hAnsi="Arial"/>
          <w:i/>
          <w:iCs/>
          <w:color w:val="375623"/>
          <w:sz w:val="20"/>
          <w:szCs w:val="20"/>
        </w:rPr>
        <w:t xml:space="preserve">  ← Replace or supplement [1]</w:t>
      </w:r>
    </w:p>
    <w:p>
      <w:pPr>
        <w:spacing w:after="80"/>
        <w:ind w:left="360"/>
      </w:pPr>
      <w:hyperlink w:history="1" r:id="rIdtvqhjawswk_6esueshjwa">
        <w:r>
          <w:rPr>
            <w:rFonts w:ascii="Arial" w:cs="Arial" w:eastAsia="Arial" w:hAnsi="Arial"/>
            <w:color w:val="1155CC"/>
            <w:sz w:val="20"/>
            <w:szCs w:val="20"/>
            <w:u w:val="single"/>
          </w:rPr>
          <w:t xml:space="preserve">https://www.iea.org/reports/global-ev-outlook-2025</w:t>
        </w:r>
      </w:hyperlink>
    </w:p>
    <w:p>
      <w:pPr>
        <w:pStyle w:val="Heading2"/>
        <w:spacing w:after="80" w:before="200"/>
      </w:pPr>
      <w:r>
        <w:rPr>
          <w:rFonts w:ascii="Arial" w:cs="Arial" w:eastAsia="Arial" w:hAnsi="Arial"/>
          <w:b/>
          <w:bCs/>
          <w:color w:val="1F4E79"/>
          <w:sz w:val="26"/>
          <w:szCs w:val="26"/>
        </w:rPr>
        <w:t xml:space="preserve">B. Bangladesh EV Charging Infrastructure (Current Status)</w:t>
      </w:r>
    </w:p>
    <w:p>
      <w:pPr>
        <w:spacing w:after="100"/>
      </w:pPr>
      <w:r>
        <w:rPr>
          <w:rFonts w:ascii="Arial" w:cs="Arial" w:eastAsia="Arial" w:hAnsi="Arial"/>
          <w:sz w:val="22"/>
          <w:szCs w:val="22"/>
        </w:rPr>
        <w:t xml:space="preserve">Your thesis focuses on Khulna's EV ecosystem but cites no direct reference on Bangladesh's current charging infrastructure challenges. These references directly support Sections 1.1, 1.2, and the significance of your work.</w:t>
      </w:r>
    </w:p>
    <w:p>
      <w:pPr>
        <w:spacing w:after="120"/>
      </w:pPr>
      <w:r>
        <w:rPr>
          <w:rFonts w:ascii="Arial" w:cs="Arial" w:eastAsia="Arial" w:hAnsi="Arial"/>
          <w:b/>
          <w:bCs/>
          <w:color w:val="375623"/>
          <w:sz w:val="22"/>
          <w:szCs w:val="22"/>
        </w:rPr>
        <w:t xml:space="preserve">[21]  </w:t>
      </w:r>
      <w:r>
        <w:rPr>
          <w:rFonts w:ascii="Arial" w:cs="Arial" w:eastAsia="Arial" w:hAnsi="Arial"/>
          <w:sz w:val="22"/>
          <w:szCs w:val="22"/>
        </w:rPr>
        <w:t xml:space="preserve">"Electric vehicle boom stalls as charging infrastructure faces setbacks in Bangladesh," Dhaka Tribune, June 30, 2024.</w:t>
      </w:r>
      <w:r>
        <w:rPr>
          <w:rFonts w:ascii="Arial" w:cs="Arial" w:eastAsia="Arial" w:hAnsi="Arial"/>
          <w:sz w:val="22"/>
          <w:szCs w:val="22"/>
        </w:rPr>
        <w:t xml:space="preserve">  [Link] </w:t>
      </w:r>
      <w:r>
        <w:rPr>
          <w:rFonts w:ascii="Arial" w:cs="Arial" w:eastAsia="Arial" w:hAnsi="Arial"/>
          <w:i/>
          <w:iCs/>
          <w:color w:val="375623"/>
          <w:sz w:val="20"/>
          <w:szCs w:val="20"/>
        </w:rPr>
        <w:t xml:space="preserve">  ← Add for Bangladesh context (Ch.1)</w:t>
      </w:r>
    </w:p>
    <w:p>
      <w:pPr>
        <w:spacing w:after="80"/>
        <w:ind w:left="360"/>
      </w:pPr>
      <w:hyperlink w:history="1" r:id="rIdwupyj9vdpkj8t4j6i4ehp">
        <w:r>
          <w:rPr>
            <w:rFonts w:ascii="Arial" w:cs="Arial" w:eastAsia="Arial" w:hAnsi="Arial"/>
            <w:color w:val="1155CC"/>
            <w:sz w:val="20"/>
            <w:szCs w:val="20"/>
            <w:u w:val="single"/>
          </w:rPr>
          <w:t xml:space="preserve">https://www.dhakatribune.com/bangladesh/350558/electric-vehicle-boom-stalls-as-charging</w:t>
        </w:r>
      </w:hyperlink>
    </w:p>
    <w:p>
      <w:pPr>
        <w:spacing w:after="120"/>
      </w:pPr>
      <w:r>
        <w:rPr>
          <w:rFonts w:ascii="Arial" w:cs="Arial" w:eastAsia="Arial" w:hAnsi="Arial"/>
          <w:b/>
          <w:bCs/>
          <w:color w:val="375623"/>
          <w:sz w:val="22"/>
          <w:szCs w:val="22"/>
        </w:rPr>
        <w:t xml:space="preserve">[22]  </w:t>
      </w:r>
      <w:r>
        <w:rPr>
          <w:rFonts w:ascii="Arial" w:cs="Arial" w:eastAsia="Arial" w:hAnsi="Arial"/>
          <w:sz w:val="22"/>
          <w:szCs w:val="22"/>
        </w:rPr>
        <w:t xml:space="preserve">"Why is EV infrastructure investment crucial to Bangladesh's green future?," The Daily Star, 2025.</w:t>
      </w:r>
      <w:r>
        <w:rPr>
          <w:rFonts w:ascii="Arial" w:cs="Arial" w:eastAsia="Arial" w:hAnsi="Arial"/>
          <w:sz w:val="22"/>
          <w:szCs w:val="22"/>
        </w:rPr>
        <w:t xml:space="preserve">  [Link] </w:t>
      </w:r>
      <w:r>
        <w:rPr>
          <w:rFonts w:ascii="Arial" w:cs="Arial" w:eastAsia="Arial" w:hAnsi="Arial"/>
          <w:i/>
          <w:iCs/>
          <w:color w:val="375623"/>
          <w:sz w:val="20"/>
          <w:szCs w:val="20"/>
        </w:rPr>
        <w:t xml:space="preserve">  ← Add for policy context</w:t>
      </w:r>
    </w:p>
    <w:p>
      <w:pPr>
        <w:spacing w:after="80"/>
        <w:ind w:left="360"/>
      </w:pPr>
      <w:hyperlink w:history="1" r:id="rIdniacnsckbnhjcwsag4whf">
        <w:r>
          <w:rPr>
            <w:rFonts w:ascii="Arial" w:cs="Arial" w:eastAsia="Arial" w:hAnsi="Arial"/>
            <w:color w:val="1155CC"/>
            <w:sz w:val="20"/>
            <w:szCs w:val="20"/>
            <w:u w:val="single"/>
          </w:rPr>
          <w:t xml:space="preserve">https://www.thedailystar.net/tech-startup/news/why-ev-infrastructure-investment-crucial-bangladeshs-green-future-3922971</w:t>
        </w:r>
      </w:hyperlink>
    </w:p>
    <w:p>
      <w:pPr>
        <w:spacing w:after="120"/>
      </w:pPr>
      <w:r>
        <w:rPr>
          <w:rFonts w:ascii="Arial" w:cs="Arial" w:eastAsia="Arial" w:hAnsi="Arial"/>
          <w:b/>
          <w:bCs/>
          <w:color w:val="375623"/>
          <w:sz w:val="22"/>
          <w:szCs w:val="22"/>
        </w:rPr>
        <w:t xml:space="preserve">[23]  </w:t>
      </w:r>
      <w:r>
        <w:rPr>
          <w:rFonts w:ascii="Arial" w:cs="Arial" w:eastAsia="Arial" w:hAnsi="Arial"/>
          <w:sz w:val="22"/>
          <w:szCs w:val="22"/>
        </w:rPr>
        <w:t xml:space="preserve">LightCastle Partners, "EV Adoption in Bangladesh: Market Dynamics &amp; Energy Readiness," December 2025.</w:t>
      </w:r>
      <w:r>
        <w:rPr>
          <w:rFonts w:ascii="Arial" w:cs="Arial" w:eastAsia="Arial" w:hAnsi="Arial"/>
          <w:sz w:val="22"/>
          <w:szCs w:val="22"/>
        </w:rPr>
        <w:t xml:space="preserve">  [Link] </w:t>
      </w:r>
      <w:r>
        <w:rPr>
          <w:rFonts w:ascii="Arial" w:cs="Arial" w:eastAsia="Arial" w:hAnsi="Arial"/>
          <w:i/>
          <w:iCs/>
          <w:color w:val="375623"/>
          <w:sz w:val="20"/>
          <w:szCs w:val="20"/>
        </w:rPr>
        <w:t xml:space="preserve">  ← Market data; highly relevant</w:t>
      </w:r>
    </w:p>
    <w:p>
      <w:pPr>
        <w:spacing w:after="80"/>
        <w:ind w:left="360"/>
      </w:pPr>
      <w:hyperlink w:history="1" r:id="rIdyc1yzfgknsfwf1wzfjjij">
        <w:r>
          <w:rPr>
            <w:rFonts w:ascii="Arial" w:cs="Arial" w:eastAsia="Arial" w:hAnsi="Arial"/>
            <w:color w:val="1155CC"/>
            <w:sz w:val="20"/>
            <w:szCs w:val="20"/>
            <w:u w:val="single"/>
          </w:rPr>
          <w:t xml:space="preserve">https://lightcastlepartners.com/insights/2025/12/ev-adoption-bangladesh-market-dynamics-energy-readiness/</w:t>
        </w:r>
      </w:hyperlink>
    </w:p>
    <w:p>
      <w:pPr>
        <w:pStyle w:val="Heading2"/>
        <w:spacing w:after="80" w:before="200"/>
      </w:pPr>
      <w:r>
        <w:rPr>
          <w:rFonts w:ascii="Arial" w:cs="Arial" w:eastAsia="Arial" w:hAnsi="Arial"/>
          <w:b/>
          <w:bCs/>
          <w:color w:val="1F4E79"/>
          <w:sz w:val="26"/>
          <w:szCs w:val="26"/>
        </w:rPr>
        <w:t xml:space="preserve">C. SUMO/TraCI Modern Documentation (Supplement for [11])</w:t>
      </w:r>
    </w:p>
    <w:p>
      <w:pPr>
        <w:spacing w:after="100"/>
      </w:pPr>
      <w:r>
        <w:rPr>
          <w:rFonts w:ascii="Arial" w:cs="Arial" w:eastAsia="Arial" w:hAnsi="Arial"/>
          <w:sz w:val="22"/>
          <w:szCs w:val="22"/>
        </w:rPr>
        <w:t xml:space="preserve">To supplement the original 2008 TraCI paper with an up-to-date reference showing SUMO's current capabilities.</w:t>
      </w:r>
    </w:p>
    <w:p>
      <w:pPr>
        <w:spacing w:after="120"/>
      </w:pPr>
      <w:r>
        <w:rPr>
          <w:rFonts w:ascii="Arial" w:cs="Arial" w:eastAsia="Arial" w:hAnsi="Arial"/>
          <w:b/>
          <w:bCs/>
          <w:color w:val="375623"/>
          <w:sz w:val="22"/>
          <w:szCs w:val="22"/>
        </w:rPr>
        <w:t xml:space="preserve">[24]  </w:t>
      </w:r>
      <w:r>
        <w:rPr>
          <w:rFonts w:ascii="Arial" w:cs="Arial" w:eastAsia="Arial" w:hAnsi="Arial"/>
          <w:sz w:val="22"/>
          <w:szCs w:val="22"/>
        </w:rPr>
        <w:t xml:space="preserve">Eclipse SUMO Development Team, "SUMO – Simulation of Urban Mobility: User Documentation," Version 1.25.0, Eclipse Foundation, 2024. [Online].</w:t>
      </w:r>
      <w:r>
        <w:rPr>
          <w:rFonts w:ascii="Arial" w:cs="Arial" w:eastAsia="Arial" w:hAnsi="Arial"/>
          <w:sz w:val="22"/>
          <w:szCs w:val="22"/>
        </w:rPr>
        <w:t xml:space="preserve">  [Link] </w:t>
      </w:r>
      <w:r>
        <w:rPr>
          <w:rFonts w:ascii="Arial" w:cs="Arial" w:eastAsia="Arial" w:hAnsi="Arial"/>
          <w:i/>
          <w:iCs/>
          <w:color w:val="375623"/>
          <w:sz w:val="20"/>
          <w:szCs w:val="20"/>
        </w:rPr>
        <w:t xml:space="preserve">  ← Supplement for [11]; supports Ch.3</w:t>
      </w:r>
    </w:p>
    <w:p>
      <w:pPr>
        <w:spacing w:after="80"/>
        <w:ind w:left="360"/>
      </w:pPr>
      <w:hyperlink w:history="1" r:id="rIds-eoxe78vynqnnkfa9l74">
        <w:r>
          <w:rPr>
            <w:rFonts w:ascii="Arial" w:cs="Arial" w:eastAsia="Arial" w:hAnsi="Arial"/>
            <w:color w:val="1155CC"/>
            <w:sz w:val="20"/>
            <w:szCs w:val="20"/>
            <w:u w:val="single"/>
          </w:rPr>
          <w:t xml:space="preserve">https://sumo.dlr.de/docs/</w:t>
        </w:r>
      </w:hyperlink>
    </w:p>
    <w:p>
      <w:pPr>
        <w:pStyle w:val="Heading2"/>
        <w:spacing w:after="80" w:before="200"/>
      </w:pPr>
      <w:r>
        <w:rPr>
          <w:rFonts w:ascii="Arial" w:cs="Arial" w:eastAsia="Arial" w:hAnsi="Arial"/>
          <w:b/>
          <w:bCs/>
          <w:color w:val="1F4E79"/>
          <w:sz w:val="26"/>
          <w:szCs w:val="26"/>
        </w:rPr>
        <w:t xml:space="preserve">D. SUMO-Based DRL Framework for EV Charging Dispatching</w:t>
      </w:r>
    </w:p>
    <w:p>
      <w:pPr>
        <w:spacing w:after="100"/>
      </w:pPr>
      <w:r>
        <w:rPr>
          <w:rFonts w:ascii="Arial" w:cs="Arial" w:eastAsia="Arial" w:hAnsi="Arial"/>
          <w:sz w:val="22"/>
          <w:szCs w:val="22"/>
        </w:rPr>
        <w:t xml:space="preserve">This 2022 paper is directly relevant to your SUMO-based smart charging framework and validates your simulation approach. It can be cited in Section 2.3 (SUMO-Based EV Simulation).</w:t>
      </w:r>
    </w:p>
    <w:p>
      <w:pPr>
        <w:spacing w:after="120"/>
      </w:pPr>
      <w:r>
        <w:rPr>
          <w:rFonts w:ascii="Arial" w:cs="Arial" w:eastAsia="Arial" w:hAnsi="Arial"/>
          <w:b/>
          <w:bCs/>
          <w:color w:val="375623"/>
          <w:sz w:val="22"/>
          <w:szCs w:val="22"/>
        </w:rPr>
        <w:t xml:space="preserve">[25]  </w:t>
      </w:r>
      <w:r>
        <w:rPr>
          <w:rFonts w:ascii="Arial" w:cs="Arial" w:eastAsia="Arial" w:hAnsi="Arial"/>
          <w:sz w:val="22"/>
          <w:szCs w:val="22"/>
        </w:rPr>
        <w:t xml:space="preserve">Y. Song et al., "A SUMO Framework for Deep Reinforcement Learning Experiments Solving Electric Vehicle Charging Dispatching Problem," arXiv:2209.02921, 2022.</w:t>
      </w:r>
      <w:r>
        <w:rPr>
          <w:rFonts w:ascii="Arial" w:cs="Arial" w:eastAsia="Arial" w:hAnsi="Arial"/>
          <w:sz w:val="22"/>
          <w:szCs w:val="22"/>
        </w:rPr>
        <w:t xml:space="preserve">  [Link] </w:t>
      </w:r>
      <w:r>
        <w:rPr>
          <w:rFonts w:ascii="Arial" w:cs="Arial" w:eastAsia="Arial" w:hAnsi="Arial"/>
          <w:i/>
          <w:iCs/>
          <w:color w:val="375623"/>
          <w:sz w:val="20"/>
          <w:szCs w:val="20"/>
        </w:rPr>
        <w:t xml:space="preserve">  ← Cite in Sec. 2.3 (SUMO-based simulation)</w:t>
      </w:r>
    </w:p>
    <w:p>
      <w:pPr>
        <w:spacing w:after="80"/>
        <w:ind w:left="360"/>
      </w:pPr>
      <w:hyperlink w:history="1" r:id="rIdfop2hc2ziggjydyy4yg35">
        <w:r>
          <w:rPr>
            <w:rFonts w:ascii="Arial" w:cs="Arial" w:eastAsia="Arial" w:hAnsi="Arial"/>
            <w:color w:val="1155CC"/>
            <w:sz w:val="20"/>
            <w:szCs w:val="20"/>
            <w:u w:val="single"/>
          </w:rPr>
          <w:t xml:space="preserve">https://arxiv.org/abs/2209.02921</w:t>
        </w:r>
      </w:hyperlink>
    </w:p>
    <w:p>
      <w:pPr>
        <w:pStyle w:val="Heading2"/>
        <w:spacing w:after="80" w:before="200"/>
      </w:pPr>
      <w:r>
        <w:rPr>
          <w:rFonts w:ascii="Arial" w:cs="Arial" w:eastAsia="Arial" w:hAnsi="Arial"/>
          <w:b/>
          <w:bCs/>
          <w:color w:val="1F4E79"/>
          <w:sz w:val="26"/>
          <w:szCs w:val="26"/>
        </w:rPr>
        <w:t xml:space="preserve">E. Comprehensive ML Comparison for EV Charging Load Forecasting (2026)</w:t>
      </w:r>
    </w:p>
    <w:p>
      <w:pPr>
        <w:spacing w:after="100"/>
      </w:pPr>
      <w:r>
        <w:rPr>
          <w:rFonts w:ascii="Arial" w:cs="Arial" w:eastAsia="Arial" w:hAnsi="Arial"/>
          <w:sz w:val="22"/>
          <w:szCs w:val="22"/>
        </w:rPr>
        <w:t xml:space="preserve">This very recent (2026) paper provides a systematic comparison of ARIMA, XGBoost, GRU, LSTM, and Transformer models for EV load forecasting across multiple datasets and scales — directly comparable to your Chapter 4 analysis. Strongly recommended to cite in the Literature Review and Discussion.</w:t>
      </w:r>
    </w:p>
    <w:p>
      <w:pPr>
        <w:spacing w:after="120"/>
      </w:pPr>
      <w:r>
        <w:rPr>
          <w:rFonts w:ascii="Arial" w:cs="Arial" w:eastAsia="Arial" w:hAnsi="Arial"/>
          <w:b/>
          <w:bCs/>
          <w:color w:val="375623"/>
          <w:sz w:val="22"/>
          <w:szCs w:val="22"/>
        </w:rPr>
        <w:t xml:space="preserve">[26]  </w:t>
      </w:r>
      <w:r>
        <w:rPr>
          <w:rFonts w:ascii="Arial" w:cs="Arial" w:eastAsia="Arial" w:hAnsi="Arial"/>
          <w:sz w:val="22"/>
          <w:szCs w:val="22"/>
        </w:rPr>
        <w:t xml:space="preserve">I. Kyriakopoulos and Y. Theodoridis, "Electric Vehicle Charging Load Forecasting: An Experimental Comparison of Machine Learning Methods," arXiv:2512.17257, April 2026.</w:t>
      </w:r>
      <w:r>
        <w:rPr>
          <w:rFonts w:ascii="Arial" w:cs="Arial" w:eastAsia="Arial" w:hAnsi="Arial"/>
          <w:sz w:val="22"/>
          <w:szCs w:val="22"/>
        </w:rPr>
        <w:t xml:space="preserve">  [Link] </w:t>
      </w:r>
      <w:r>
        <w:rPr>
          <w:rFonts w:ascii="Arial" w:cs="Arial" w:eastAsia="Arial" w:hAnsi="Arial"/>
          <w:i/>
          <w:iCs/>
          <w:color w:val="375623"/>
          <w:sz w:val="20"/>
          <w:szCs w:val="20"/>
        </w:rPr>
        <w:t xml:space="preserve">  ← Cite in Sec. 2.2 and Ch. 4 Discussion</w:t>
      </w:r>
    </w:p>
    <w:p>
      <w:pPr>
        <w:spacing w:after="80"/>
        <w:ind w:left="360"/>
      </w:pPr>
      <w:hyperlink w:history="1" r:id="rIdlmjbh3fmbawxxpm5-edfn">
        <w:r>
          <w:rPr>
            <w:rFonts w:ascii="Arial" w:cs="Arial" w:eastAsia="Arial" w:hAnsi="Arial"/>
            <w:color w:val="1155CC"/>
            <w:sz w:val="20"/>
            <w:szCs w:val="20"/>
            <w:u w:val="single"/>
          </w:rPr>
          <w:t xml:space="preserve">https://arxiv.org/abs/2512.17257</w:t>
        </w:r>
      </w:hyperlink>
    </w:p>
    <w:p>
      <w:pPr>
        <w:pStyle w:val="Heading2"/>
        <w:spacing w:after="80" w:before="200"/>
      </w:pPr>
      <w:r>
        <w:rPr>
          <w:rFonts w:ascii="Arial" w:cs="Arial" w:eastAsia="Arial" w:hAnsi="Arial"/>
          <w:b/>
          <w:bCs/>
          <w:color w:val="1F4E79"/>
          <w:sz w:val="26"/>
          <w:szCs w:val="26"/>
        </w:rPr>
        <w:t xml:space="preserve">F. Explainable ML for EV Charging Demand (2025)</w:t>
      </w:r>
    </w:p>
    <w:p>
      <w:pPr>
        <w:spacing w:after="100"/>
      </w:pPr>
      <w:r>
        <w:rPr>
          <w:rFonts w:ascii="Arial" w:cs="Arial" w:eastAsia="Arial" w:hAnsi="Arial"/>
          <w:sz w:val="22"/>
          <w:szCs w:val="22"/>
        </w:rPr>
        <w:t xml:space="preserve">A May 2025 paper from MDPI Sustainability that proposes SHAP-based explainable ML for EV charging demand prediction using XGBoost, Random Forest, and others. Highly relevant to your feature importance analysis in Section 3.4.5.</w:t>
      </w:r>
    </w:p>
    <w:p>
      <w:pPr>
        <w:spacing w:after="120"/>
      </w:pPr>
      <w:r>
        <w:rPr>
          <w:rFonts w:ascii="Arial" w:cs="Arial" w:eastAsia="Arial" w:hAnsi="Arial"/>
          <w:b/>
          <w:bCs/>
          <w:color w:val="375623"/>
          <w:sz w:val="22"/>
          <w:szCs w:val="22"/>
        </w:rPr>
        <w:t xml:space="preserve">[27]  </w:t>
      </w:r>
      <w:r>
        <w:rPr>
          <w:rFonts w:ascii="Arial" w:cs="Arial" w:eastAsia="Arial" w:hAnsi="Arial"/>
          <w:sz w:val="22"/>
          <w:szCs w:val="22"/>
        </w:rPr>
        <w:t xml:space="preserve">Authors et al., "Predicting EV Charging Demand in Renewable-Energy-Powered Grids Using Explainable Machine Learning," Sustainability, vol. 17, no. 9, p. 4158, May 2025.</w:t>
      </w:r>
      <w:r>
        <w:rPr>
          <w:rFonts w:ascii="Arial" w:cs="Arial" w:eastAsia="Arial" w:hAnsi="Arial"/>
          <w:sz w:val="22"/>
          <w:szCs w:val="22"/>
        </w:rPr>
        <w:t xml:space="preserve">  [Link] </w:t>
      </w:r>
      <w:r>
        <w:rPr>
          <w:rFonts w:ascii="Arial" w:cs="Arial" w:eastAsia="Arial" w:hAnsi="Arial"/>
          <w:i/>
          <w:iCs/>
          <w:color w:val="375623"/>
          <w:sz w:val="20"/>
          <w:szCs w:val="20"/>
        </w:rPr>
        <w:t xml:space="preserve">  ← Cite in Sec. 3.4.5 (Feature Importance)</w:t>
      </w:r>
    </w:p>
    <w:p>
      <w:pPr>
        <w:spacing w:after="80"/>
        <w:ind w:left="360"/>
      </w:pPr>
      <w:hyperlink w:history="1" r:id="rIdagz1r4fpt5ffuahluqsjn">
        <w:r>
          <w:rPr>
            <w:rFonts w:ascii="Arial" w:cs="Arial" w:eastAsia="Arial" w:hAnsi="Arial"/>
            <w:color w:val="1155CC"/>
            <w:sz w:val="20"/>
            <w:szCs w:val="20"/>
            <w:u w:val="single"/>
          </w:rPr>
          <w:t xml:space="preserve">https://www.mdpi.com/2071-1050/17/9/4158</w:t>
        </w:r>
      </w:hyperlink>
    </w:p>
    <w:p>
      <w:pPr>
        <w:pStyle w:val="Heading2"/>
        <w:spacing w:after="80" w:before="200"/>
      </w:pPr>
      <w:r>
        <w:rPr>
          <w:rFonts w:ascii="Arial" w:cs="Arial" w:eastAsia="Arial" w:hAnsi="Arial"/>
          <w:b/>
          <w:bCs/>
          <w:color w:val="1F4E79"/>
          <w:sz w:val="26"/>
          <w:szCs w:val="26"/>
        </w:rPr>
        <w:t xml:space="preserve">G. Improved LSTM for EV Charging Load Prediction (2025)</w:t>
      </w:r>
    </w:p>
    <w:p>
      <w:pPr>
        <w:spacing w:after="100"/>
      </w:pPr>
      <w:r>
        <w:rPr>
          <w:rFonts w:ascii="Arial" w:cs="Arial" w:eastAsia="Arial" w:hAnsi="Arial"/>
          <w:sz w:val="22"/>
          <w:szCs w:val="22"/>
        </w:rPr>
        <w:t xml:space="preserve">A May 2025 MDPI paper on spectral clustering + LSTM + attention mechanism for EV load prediction. Supports your claim that LSTM-based models can be improved and supports Section 5.3 (future work on deep architectures).</w:t>
      </w:r>
    </w:p>
    <w:p>
      <w:pPr>
        <w:spacing w:after="120"/>
      </w:pPr>
      <w:r>
        <w:rPr>
          <w:rFonts w:ascii="Arial" w:cs="Arial" w:eastAsia="Arial" w:hAnsi="Arial"/>
          <w:b/>
          <w:bCs/>
          <w:color w:val="375623"/>
          <w:sz w:val="22"/>
          <w:szCs w:val="22"/>
        </w:rPr>
        <w:t xml:space="preserve">[28]  </w:t>
      </w:r>
      <w:r>
        <w:rPr>
          <w:rFonts w:ascii="Arial" w:cs="Arial" w:eastAsia="Arial" w:hAnsi="Arial"/>
          <w:sz w:val="22"/>
          <w:szCs w:val="22"/>
        </w:rPr>
        <w:t xml:space="preserve">Authors et al., "Research on Electric Vehicle Charging Load Forecasting Method Based on Improved LSTM Neural Network," World Electric Vehicle Journal, vol. 16, no. 5, p. 265, May 2025.</w:t>
      </w:r>
      <w:r>
        <w:rPr>
          <w:rFonts w:ascii="Arial" w:cs="Arial" w:eastAsia="Arial" w:hAnsi="Arial"/>
          <w:sz w:val="22"/>
          <w:szCs w:val="22"/>
        </w:rPr>
        <w:t xml:space="preserve">  [Link] </w:t>
      </w:r>
      <w:r>
        <w:rPr>
          <w:rFonts w:ascii="Arial" w:cs="Arial" w:eastAsia="Arial" w:hAnsi="Arial"/>
          <w:i/>
          <w:iCs/>
          <w:color w:val="375623"/>
          <w:sz w:val="20"/>
          <w:szCs w:val="20"/>
        </w:rPr>
        <w:t xml:space="preserve">  ← Cite in Sec. 2.2 and Sec. 5.3 (recommendations)</w:t>
      </w:r>
    </w:p>
    <w:p>
      <w:pPr>
        <w:spacing w:after="80"/>
        <w:ind w:left="360"/>
      </w:pPr>
      <w:hyperlink w:history="1" r:id="rIdglkdo9k_d9cry2ere-y-w">
        <w:r>
          <w:rPr>
            <w:rFonts w:ascii="Arial" w:cs="Arial" w:eastAsia="Arial" w:hAnsi="Arial"/>
            <w:color w:val="1155CC"/>
            <w:sz w:val="20"/>
            <w:szCs w:val="20"/>
            <w:u w:val="single"/>
          </w:rPr>
          <w:t xml:space="preserve">https://www.mdpi.com/2032-6653/16/5/265</w:t>
        </w:r>
      </w:hyperlink>
    </w:p>
    <w:p>
      <w:pPr>
        <w:pStyle w:val="Heading2"/>
        <w:spacing w:after="80" w:before="200"/>
      </w:pPr>
      <w:r>
        <w:rPr>
          <w:rFonts w:ascii="Arial" w:cs="Arial" w:eastAsia="Arial" w:hAnsi="Arial"/>
          <w:b/>
          <w:bCs/>
          <w:color w:val="1F4E79"/>
          <w:sz w:val="26"/>
          <w:szCs w:val="26"/>
        </w:rPr>
        <w:t xml:space="preserve">H. V2Sim — SUMO-Based V2G Simulation Platform (2024)</w:t>
      </w:r>
    </w:p>
    <w:p>
      <w:pPr>
        <w:spacing w:after="100"/>
      </w:pPr>
      <w:r>
        <w:rPr>
          <w:rFonts w:ascii="Arial" w:cs="Arial" w:eastAsia="Arial" w:hAnsi="Arial"/>
          <w:sz w:val="22"/>
          <w:szCs w:val="22"/>
        </w:rPr>
        <w:t xml:space="preserve">This paper proposes V2Sim, which integrates SUMO with power distribution network models for EV charging load analysis. Directly relevant to your simulation methodology and can be cited in the Literature Review.</w:t>
      </w:r>
    </w:p>
    <w:p>
      <w:pPr>
        <w:spacing w:after="120"/>
      </w:pPr>
      <w:r>
        <w:rPr>
          <w:rFonts w:ascii="Arial" w:cs="Arial" w:eastAsia="Arial" w:hAnsi="Arial"/>
          <w:b/>
          <w:bCs/>
          <w:color w:val="375623"/>
          <w:sz w:val="22"/>
          <w:szCs w:val="22"/>
        </w:rPr>
        <w:t xml:space="preserve">[29]  </w:t>
      </w:r>
      <w:r>
        <w:rPr>
          <w:rFonts w:ascii="Arial" w:cs="Arial" w:eastAsia="Arial" w:hAnsi="Arial"/>
          <w:sz w:val="22"/>
          <w:szCs w:val="22"/>
        </w:rPr>
        <w:t xml:space="preserve">T. Qian et al., "V2Sim: An Open-Source Microscopic V2G Simulation Platform in Urban Power and Transportation Network," arXiv:2412.09808, December 2024.</w:t>
      </w:r>
      <w:r>
        <w:rPr>
          <w:rFonts w:ascii="Arial" w:cs="Arial" w:eastAsia="Arial" w:hAnsi="Arial"/>
          <w:sz w:val="22"/>
          <w:szCs w:val="22"/>
        </w:rPr>
        <w:t xml:space="preserve">  [Link] </w:t>
      </w:r>
      <w:r>
        <w:rPr>
          <w:rFonts w:ascii="Arial" w:cs="Arial" w:eastAsia="Arial" w:hAnsi="Arial"/>
          <w:i/>
          <w:iCs/>
          <w:color w:val="375623"/>
          <w:sz w:val="20"/>
          <w:szCs w:val="20"/>
        </w:rPr>
        <w:t xml:space="preserve">  ← Cite in Sec. 2.3 (SUMO-Based simulation)</w:t>
      </w:r>
    </w:p>
    <w:p>
      <w:pPr>
        <w:spacing w:after="80"/>
        <w:ind w:left="360"/>
      </w:pPr>
      <w:hyperlink w:history="1" r:id="rIdskckezdqjdaohpi3x4kwc">
        <w:r>
          <w:rPr>
            <w:rFonts w:ascii="Arial" w:cs="Arial" w:eastAsia="Arial" w:hAnsi="Arial"/>
            <w:color w:val="1155CC"/>
            <w:sz w:val="20"/>
            <w:szCs w:val="20"/>
            <w:u w:val="single"/>
          </w:rPr>
          <w:t xml:space="preserve">https://arxiv.org/abs/2412.09808</w:t>
        </w:r>
      </w:hyperlink>
    </w:p>
    <w:p>
      <w:pPr>
        <w:spacing w:after="200"/>
      </w:pPr>
    </w:p>
    <w:p>
      <w:pPr>
        <w:pBdr>
          <w:bottom w:val="single" w:color="2E75B6" w:sz="8" w:space="1"/>
        </w:pBdr>
        <w:spacing w:after="160"/>
      </w:pPr>
    </w:p>
    <w:p>
      <w:pPr>
        <w:pStyle w:val="Heading1"/>
        <w:spacing w:after="120" w:before="320"/>
      </w:pPr>
      <w:r>
        <w:rPr>
          <w:rFonts w:ascii="Arial" w:cs="Arial" w:eastAsia="Arial" w:hAnsi="Arial"/>
          <w:b/>
          <w:bCs/>
          <w:color w:val="1F4E79"/>
          <w:sz w:val="32"/>
          <w:szCs w:val="32"/>
        </w:rPr>
        <w:t xml:space="preserve">4. Complete Corrected &amp; Updated Reference List</w:t>
      </w:r>
    </w:p>
    <w:p>
      <w:pPr>
        <w:spacing w:after="100"/>
      </w:pPr>
      <w:r>
        <w:rPr>
          <w:rFonts w:ascii="Arial" w:cs="Arial" w:eastAsia="Arial" w:hAnsi="Arial"/>
          <w:sz w:val="22"/>
          <w:szCs w:val="22"/>
        </w:rPr>
        <w:t xml:space="preserve">Below is the full reference list for your thesis with all corrections applied and new references integrated. New additions are marked with 🆕.</w:t>
      </w:r>
    </w:p>
    <w:p>
      <w:pPr>
        <w:spacing w:after="120"/>
      </w:pPr>
    </w:p>
    <w:p>
      <w:pPr>
        <w:spacing w:after="40"/>
      </w:pPr>
      <w:r>
        <w:rPr>
          <w:rFonts w:ascii="Arial" w:cs="Arial" w:eastAsia="Arial" w:hAnsi="Arial"/>
          <w:b/>
          <w:bCs/>
          <w:color w:val="7F3F00"/>
          <w:sz w:val="22"/>
          <w:szCs w:val="22"/>
        </w:rPr>
        <w:t xml:space="preserve">[1]  </w:t>
      </w:r>
      <w:r>
        <w:rPr>
          <w:rFonts w:ascii="Arial" w:cs="Arial" w:eastAsia="Arial" w:hAnsi="Arial"/>
          <w:sz w:val="22"/>
          <w:szCs w:val="22"/>
        </w:rPr>
        <w:t xml:space="preserve">IEA, "Global EV Outlook 2025," International Energy Agency, Paris, 2025. [Online]. Available: </w:t>
      </w:r>
      <w:hyperlink w:history="1" r:id="rId9eiawozpityckoln98jdn">
        <w:r>
          <w:rPr>
            <w:rFonts w:ascii="Arial" w:cs="Arial" w:eastAsia="Arial" w:hAnsi="Arial"/>
            <w:color w:val="1155CC"/>
            <w:sz w:val="22"/>
            <w:szCs w:val="22"/>
            <w:u w:val="single"/>
          </w:rPr>
          <w:t xml:space="preserve">https://www.iea.org/reports/global-ev-outlook-2025</w:t>
        </w:r>
      </w:hyperlink>
      <w:r>
        <w:rPr>
          <w:rFonts w:ascii="Arial" w:cs="Arial" w:eastAsia="Arial" w:hAnsi="Arial"/>
          <w:i/>
          <w:iCs/>
          <w:color w:val="7F3F00"/>
          <w:sz w:val="20"/>
          <w:szCs w:val="20"/>
        </w:rPr>
        <w:t xml:space="preserve">  ⚠️ Updated from 2023 to 2025 edition</w:t>
      </w:r>
    </w:p>
    <w:p>
      <w:pPr>
        <w:spacing w:after="40"/>
      </w:pPr>
      <w:r>
        <w:rPr>
          <w:rFonts w:ascii="Arial" w:cs="Arial" w:eastAsia="Arial" w:hAnsi="Arial"/>
          <w:b/>
          <w:bCs/>
          <w:sz w:val="22"/>
          <w:szCs w:val="22"/>
        </w:rPr>
        <w:t xml:space="preserve">[2]  </w:t>
      </w:r>
      <w:r>
        <w:rPr>
          <w:rFonts w:ascii="Arial" w:cs="Arial" w:eastAsia="Arial" w:hAnsi="Arial"/>
          <w:sz w:val="22"/>
          <w:szCs w:val="22"/>
        </w:rPr>
        <w:t xml:space="preserve">M. Yilmaz and P. T. Krein, "Review of the impact of vehicle-to-grid technologies on distribution systems and utility interfaces," IEEE Transactions on Power Electronics, vol. 28, no. 12, pp. 5673–5689, 2013.</w:t>
      </w:r>
    </w:p>
    <w:p>
      <w:pPr>
        <w:spacing w:after="40"/>
      </w:pPr>
      <w:r>
        <w:rPr>
          <w:rFonts w:ascii="Arial" w:cs="Arial" w:eastAsia="Arial" w:hAnsi="Arial"/>
          <w:b/>
          <w:bCs/>
          <w:sz w:val="22"/>
          <w:szCs w:val="22"/>
        </w:rPr>
        <w:t xml:space="preserve">[3]  </w:t>
      </w:r>
      <w:r>
        <w:rPr>
          <w:rFonts w:ascii="Arial" w:cs="Arial" w:eastAsia="Arial" w:hAnsi="Arial"/>
          <w:sz w:val="22"/>
          <w:szCs w:val="22"/>
        </w:rPr>
        <w:t xml:space="preserve">J. Siddiqui et al., "Electric vehicle charging station load forecasting with an integrated DeepBoost approach," Alexandria Engineering Journal, vol. 116, pp. 331–341, 2025. DOI: </w:t>
      </w:r>
      <w:hyperlink w:history="1" r:id="rIdwewjkhaqnt1tvxh7_cxea">
        <w:r>
          <w:rPr>
            <w:rFonts w:ascii="Arial" w:cs="Arial" w:eastAsia="Arial" w:hAnsi="Arial"/>
            <w:color w:val="1155CC"/>
            <w:sz w:val="22"/>
            <w:szCs w:val="22"/>
            <w:u w:val="single"/>
          </w:rPr>
          <w:t xml:space="preserve">10.1016/j.aej.2024.12.069</w:t>
        </w:r>
      </w:hyperlink>
    </w:p>
    <w:p>
      <w:pPr>
        <w:spacing w:after="40"/>
      </w:pPr>
      <w:r>
        <w:rPr>
          <w:rFonts w:ascii="Arial" w:cs="Arial" w:eastAsia="Arial" w:hAnsi="Arial"/>
          <w:b/>
          <w:bCs/>
          <w:sz w:val="22"/>
          <w:szCs w:val="22"/>
        </w:rPr>
        <w:t xml:space="preserve">[4]  </w:t>
      </w:r>
      <w:r>
        <w:rPr>
          <w:rFonts w:ascii="Arial" w:cs="Arial" w:eastAsia="Arial" w:hAnsi="Arial"/>
          <w:sz w:val="22"/>
          <w:szCs w:val="22"/>
        </w:rPr>
        <w:t xml:space="preserve">J. Ran, Y. Gong, Y. Hu, and J. Cai, "EV load forecasting using a refined CNN-LSTM-AM," Electric Power Systems Research, vol. 238, p. 111091, 2025.</w:t>
      </w:r>
    </w:p>
    <w:p>
      <w:pPr>
        <w:spacing w:after="40"/>
      </w:pPr>
      <w:r>
        <w:rPr>
          <w:rFonts w:ascii="Arial" w:cs="Arial" w:eastAsia="Arial" w:hAnsi="Arial"/>
          <w:b/>
          <w:bCs/>
          <w:sz w:val="22"/>
          <w:szCs w:val="22"/>
        </w:rPr>
        <w:t xml:space="preserve">[5]  </w:t>
      </w:r>
      <w:r>
        <w:rPr>
          <w:rFonts w:ascii="Arial" w:cs="Arial" w:eastAsia="Arial" w:hAnsi="Arial"/>
          <w:sz w:val="22"/>
          <w:szCs w:val="22"/>
        </w:rPr>
        <w:t xml:space="preserve">M. S. Islam, M. H. Rahman, and M. Z. Hossain, "Electric vehicle adoption and charging infrastructure challenges in developing countries," Sustainable Energy Technologies and Assessments, vol. 52, p. 102201, 2022.</w:t>
      </w:r>
    </w:p>
    <w:p>
      <w:pPr>
        <w:spacing w:after="40"/>
      </w:pPr>
      <w:r>
        <w:rPr>
          <w:rFonts w:ascii="Arial" w:cs="Arial" w:eastAsia="Arial" w:hAnsi="Arial"/>
          <w:b/>
          <w:bCs/>
          <w:sz w:val="22"/>
          <w:szCs w:val="22"/>
        </w:rPr>
        <w:t xml:space="preserve">[6]  </w:t>
      </w:r>
      <w:r>
        <w:rPr>
          <w:rFonts w:ascii="Arial" w:cs="Arial" w:eastAsia="Arial" w:hAnsi="Arial"/>
          <w:sz w:val="22"/>
          <w:szCs w:val="22"/>
        </w:rPr>
        <w:t xml:space="preserve">E. Sortomme, M. M. Hindi, S. D. J. MacPherson, and S. S. Venkata, "Coordinated charging of plug-in hybrid electric vehicles to minimize distribution system losses," IEEE Transactions on Smart Grid, vol. 2, no. 1, pp. 198–205, 2011.</w:t>
      </w:r>
    </w:p>
    <w:p>
      <w:pPr>
        <w:spacing w:after="40"/>
      </w:pPr>
      <w:r>
        <w:rPr>
          <w:rFonts w:ascii="Arial" w:cs="Arial" w:eastAsia="Arial" w:hAnsi="Arial"/>
          <w:b/>
          <w:bCs/>
          <w:sz w:val="22"/>
          <w:szCs w:val="22"/>
        </w:rPr>
        <w:t xml:space="preserve">[7]  </w:t>
      </w:r>
      <w:r>
        <w:rPr>
          <w:rFonts w:ascii="Arial" w:cs="Arial" w:eastAsia="Arial" w:hAnsi="Arial"/>
          <w:sz w:val="22"/>
          <w:szCs w:val="22"/>
        </w:rPr>
        <w:t xml:space="preserve">Y. Zhang, T. Zhao, Y. Tian, and Y. Han, "Machine learning-based prediction of electric vehicle charging load," IEEE Transactions on Smart Grid, vol. 12, no. 4, pp. 3540–3553, 2021.</w:t>
      </w:r>
    </w:p>
    <w:p>
      <w:pPr>
        <w:spacing w:after="40"/>
      </w:pPr>
      <w:r>
        <w:rPr>
          <w:rFonts w:ascii="Arial" w:cs="Arial" w:eastAsia="Arial" w:hAnsi="Arial"/>
          <w:b/>
          <w:bCs/>
          <w:sz w:val="22"/>
          <w:szCs w:val="22"/>
        </w:rPr>
        <w:t xml:space="preserve">[8]  </w:t>
      </w:r>
      <w:r>
        <w:rPr>
          <w:rFonts w:ascii="Arial" w:cs="Arial" w:eastAsia="Arial" w:hAnsi="Arial"/>
          <w:sz w:val="22"/>
          <w:szCs w:val="22"/>
        </w:rPr>
        <w:t xml:space="preserve">Z. Wang, Y. Li, L. Zhang, and P. Liu, "Random forest-based short-term load forecasting for electric vehicle charging stations," Energies, vol. 13, no. 16, p. 4093, 2020.</w:t>
      </w:r>
    </w:p>
    <w:p>
      <w:pPr>
        <w:spacing w:after="40"/>
      </w:pPr>
      <w:r>
        <w:rPr>
          <w:rFonts w:ascii="Arial" w:cs="Arial" w:eastAsia="Arial" w:hAnsi="Arial"/>
          <w:b/>
          <w:bCs/>
          <w:sz w:val="22"/>
          <w:szCs w:val="22"/>
        </w:rPr>
        <w:t xml:space="preserve">[9]  </w:t>
      </w:r>
      <w:r>
        <w:rPr>
          <w:rFonts w:ascii="Arial" w:cs="Arial" w:eastAsia="Arial" w:hAnsi="Arial"/>
          <w:sz w:val="22"/>
          <w:szCs w:val="22"/>
        </w:rPr>
        <w:t xml:space="preserve">X. Hu et al., "State estimation for advanced battery management: Key challenges and future trends," Renewable and Sustainable Energy Reviews, vol. 114, p. 109334, 2019.</w:t>
      </w:r>
    </w:p>
    <w:p>
      <w:pPr>
        <w:spacing w:after="40"/>
      </w:pPr>
      <w:r>
        <w:rPr>
          <w:rFonts w:ascii="Arial" w:cs="Arial" w:eastAsia="Arial" w:hAnsi="Arial"/>
          <w:b/>
          <w:bCs/>
          <w:sz w:val="22"/>
          <w:szCs w:val="22"/>
        </w:rPr>
        <w:t xml:space="preserve">[10]  </w:t>
      </w:r>
      <w:r>
        <w:rPr>
          <w:rFonts w:ascii="Arial" w:cs="Arial" w:eastAsia="Arial" w:hAnsi="Arial"/>
          <w:sz w:val="22"/>
          <w:szCs w:val="22"/>
        </w:rPr>
        <w:t xml:space="preserve">P. A. Lopez et al., "Microscopic traffic simulation using SUMO," in Proc. IEEE ITSC, Maui, HI, USA, 2018, pp. 2575–2582.</w:t>
      </w:r>
    </w:p>
    <w:p>
      <w:pPr>
        <w:spacing w:after="40"/>
      </w:pPr>
      <w:r>
        <w:rPr>
          <w:rFonts w:ascii="Arial" w:cs="Arial" w:eastAsia="Arial" w:hAnsi="Arial"/>
          <w:b/>
          <w:bCs/>
          <w:color w:val="7F3F00"/>
          <w:sz w:val="22"/>
          <w:szCs w:val="22"/>
        </w:rPr>
        <w:t xml:space="preserve">[11]  </w:t>
      </w:r>
      <w:r>
        <w:rPr>
          <w:rFonts w:ascii="Arial" w:cs="Arial" w:eastAsia="Arial" w:hAnsi="Arial"/>
          <w:sz w:val="22"/>
          <w:szCs w:val="22"/>
        </w:rPr>
        <w:t xml:space="preserve">A. Wegener et al., "TraCI: An interface for coupling road traffic and network simulators," in Proc. 11th CNS Symposium, pp. 155–163, 2008.</w:t>
      </w:r>
      <w:r>
        <w:rPr>
          <w:rFonts w:ascii="Arial" w:cs="Arial" w:eastAsia="Arial" w:hAnsi="Arial"/>
          <w:i/>
          <w:iCs/>
          <w:color w:val="7F3F00"/>
          <w:sz w:val="20"/>
          <w:szCs w:val="20"/>
        </w:rPr>
        <w:t xml:space="preserve">  ⚠️ Supplement with [24] (current SUMO docs)</w:t>
      </w:r>
    </w:p>
    <w:p>
      <w:pPr>
        <w:spacing w:after="40"/>
      </w:pPr>
      <w:r>
        <w:rPr>
          <w:rFonts w:ascii="Arial" w:cs="Arial" w:eastAsia="Arial" w:hAnsi="Arial"/>
          <w:b/>
          <w:bCs/>
          <w:sz w:val="22"/>
          <w:szCs w:val="22"/>
        </w:rPr>
        <w:t xml:space="preserve">[12]  </w:t>
      </w:r>
      <w:r>
        <w:rPr>
          <w:rFonts w:ascii="Arial" w:cs="Arial" w:eastAsia="Arial" w:hAnsi="Arial"/>
          <w:sz w:val="22"/>
          <w:szCs w:val="22"/>
        </w:rPr>
        <w:t xml:space="preserve">Y. Chen, Z. Xu, and K. P. Wong, "A probabilistic load flow method considering large-scale integration of electric vehicles," IEEE Transactions on Power Systems, vol. 28, no. 4, pp. 4093–4101, 2013.</w:t>
      </w:r>
    </w:p>
    <w:p>
      <w:pPr>
        <w:spacing w:after="40"/>
      </w:pPr>
      <w:r>
        <w:rPr>
          <w:rFonts w:ascii="Arial" w:cs="Arial" w:eastAsia="Arial" w:hAnsi="Arial"/>
          <w:b/>
          <w:bCs/>
          <w:color w:val="7F3F00"/>
          <w:sz w:val="22"/>
          <w:szCs w:val="22"/>
        </w:rPr>
        <w:t xml:space="preserve">[13]  </w:t>
      </w:r>
      <w:r>
        <w:rPr>
          <w:rFonts w:ascii="Arial" w:cs="Arial" w:eastAsia="Arial" w:hAnsi="Arial"/>
          <w:sz w:val="22"/>
          <w:szCs w:val="22"/>
        </w:rPr>
        <w:t xml:space="preserve">T. Ding et al., "A two-stage robust optimization for centralized-optimal dispatch of photovoltaic inverters in active distribution networks," IEEE Transactions on Sustainable Energy, vol. 8, no. 2, pp. 744–754, 2017.</w:t>
      </w:r>
      <w:r>
        <w:rPr>
          <w:rFonts w:ascii="Arial" w:cs="Arial" w:eastAsia="Arial" w:hAnsi="Arial"/>
          <w:i/>
          <w:iCs/>
          <w:color w:val="7F3F00"/>
          <w:sz w:val="20"/>
          <w:szCs w:val="20"/>
        </w:rPr>
        <w:t xml:space="preserve">  ⚠️ Strengthen the citation justification in the text</w:t>
      </w:r>
    </w:p>
    <w:p>
      <w:pPr>
        <w:spacing w:after="40"/>
      </w:pPr>
      <w:r>
        <w:rPr>
          <w:rFonts w:ascii="Arial" w:cs="Arial" w:eastAsia="Arial" w:hAnsi="Arial"/>
          <w:b/>
          <w:bCs/>
          <w:sz w:val="22"/>
          <w:szCs w:val="22"/>
        </w:rPr>
        <w:t xml:space="preserve">[14]  </w:t>
      </w:r>
      <w:r>
        <w:rPr>
          <w:rFonts w:ascii="Arial" w:cs="Arial" w:eastAsia="Arial" w:hAnsi="Arial"/>
          <w:sz w:val="22"/>
          <w:szCs w:val="22"/>
        </w:rPr>
        <w:t xml:space="preserve">H. D. Nguyen et al., "EV charging coordination via adaptive dynamic programming," IEEE Transactions on Vehicular Technology, vol. 70, no. 3, pp. 2083–2094, 2021.</w:t>
      </w:r>
    </w:p>
    <w:p>
      <w:pPr>
        <w:spacing w:after="40"/>
      </w:pPr>
      <w:r>
        <w:rPr>
          <w:rFonts w:ascii="Arial" w:cs="Arial" w:eastAsia="Arial" w:hAnsi="Arial"/>
          <w:b/>
          <w:bCs/>
          <w:sz w:val="22"/>
          <w:szCs w:val="22"/>
        </w:rPr>
        <w:t xml:space="preserve">[15]  </w:t>
      </w:r>
      <w:r>
        <w:rPr>
          <w:rFonts w:ascii="Arial" w:cs="Arial" w:eastAsia="Arial" w:hAnsi="Arial"/>
          <w:sz w:val="22"/>
          <w:szCs w:val="22"/>
        </w:rPr>
        <w:t xml:space="preserve">A. Ul-Haq, C. Cecati, and E. El-Saadany, "Probabilistic modeling of electric vehicle charging pattern in a residential distribution network," Electric Power Systems Research, vol. 157, pp. 126–133, 2018.</w:t>
      </w:r>
    </w:p>
    <w:p>
      <w:pPr>
        <w:spacing w:after="40"/>
      </w:pPr>
      <w:r>
        <w:rPr>
          <w:rFonts w:ascii="Arial" w:cs="Arial" w:eastAsia="Arial" w:hAnsi="Arial"/>
          <w:b/>
          <w:bCs/>
          <w:sz w:val="22"/>
          <w:szCs w:val="22"/>
        </w:rPr>
        <w:t xml:space="preserve">[16]  </w:t>
      </w:r>
      <w:r>
        <w:rPr>
          <w:rFonts w:ascii="Arial" w:cs="Arial" w:eastAsia="Arial" w:hAnsi="Arial"/>
          <w:sz w:val="22"/>
          <w:szCs w:val="22"/>
        </w:rPr>
        <w:t xml:space="preserve">J. He et al., "An optimal charging station location model with the consideration of electric vehicle's driving range," Transportation Research Part C, vol. 86, pp. 641–654, 2018.</w:t>
      </w:r>
    </w:p>
    <w:p>
      <w:pPr>
        <w:spacing w:after="40"/>
      </w:pPr>
      <w:r>
        <w:rPr>
          <w:rFonts w:ascii="Arial" w:cs="Arial" w:eastAsia="Arial" w:hAnsi="Arial"/>
          <w:b/>
          <w:bCs/>
          <w:sz w:val="22"/>
          <w:szCs w:val="22"/>
        </w:rPr>
        <w:t xml:space="preserve">[17]  </w:t>
      </w:r>
      <w:r>
        <w:rPr>
          <w:rFonts w:ascii="Arial" w:cs="Arial" w:eastAsia="Arial" w:hAnsi="Arial"/>
          <w:sz w:val="22"/>
          <w:szCs w:val="22"/>
        </w:rPr>
        <w:t xml:space="preserve">M. Chen et al., "XGBoost-based day-ahead electric load forecasting for electric vehicle charging stations," Applied Energy, vol. 320, p. 119300, 2022.</w:t>
      </w:r>
    </w:p>
    <w:p>
      <w:pPr>
        <w:spacing w:after="40"/>
      </w:pPr>
      <w:r>
        <w:rPr>
          <w:rFonts w:ascii="Arial" w:cs="Arial" w:eastAsia="Arial" w:hAnsi="Arial"/>
          <w:b/>
          <w:bCs/>
          <w:color w:val="C00000"/>
          <w:sz w:val="22"/>
          <w:szCs w:val="22"/>
        </w:rPr>
        <w:t xml:space="preserve">[18]  </w:t>
      </w:r>
      <w:r>
        <w:rPr>
          <w:rFonts w:ascii="Arial" w:cs="Arial" w:eastAsia="Arial" w:hAnsi="Arial"/>
          <w:sz w:val="22"/>
          <w:szCs w:val="22"/>
        </w:rPr>
        <w:t xml:space="preserve">S. B. Taieb and R. J. Hyndman, "A gradient boosting approach to the Kaggle load forecasting competition," International Journal of Forecasting, vol. 30, no. 2, pp. 382–394, 2014.</w:t>
      </w:r>
      <w:r>
        <w:rPr>
          <w:rFonts w:ascii="Arial" w:cs="Arial" w:eastAsia="Arial" w:hAnsi="Arial"/>
          <w:i/>
          <w:iCs/>
          <w:color w:val="C00000"/>
          <w:sz w:val="20"/>
          <w:szCs w:val="20"/>
        </w:rPr>
        <w:t xml:space="preserve">  ❌ Fix typo in body text: 'Tayeb' → 'Taieb'</w:t>
      </w:r>
    </w:p>
    <w:p>
      <w:pPr>
        <w:spacing w:after="40"/>
      </w:pPr>
      <w:r>
        <w:rPr>
          <w:rFonts w:ascii="Arial" w:cs="Arial" w:eastAsia="Arial" w:hAnsi="Arial"/>
          <w:b/>
          <w:bCs/>
          <w:sz w:val="22"/>
          <w:szCs w:val="22"/>
        </w:rPr>
        <w:t xml:space="preserve">[19]  </w:t>
      </w:r>
      <w:r>
        <w:rPr>
          <w:rFonts w:ascii="Arial" w:cs="Arial" w:eastAsia="Arial" w:hAnsi="Arial"/>
          <w:sz w:val="22"/>
          <w:szCs w:val="22"/>
        </w:rPr>
        <w:t xml:space="preserve">C. Guo, J. Yang, and L. Yang, "Planning of electric vehicle charging infrastructure for urban areas with tight land supply," IEEE Transactions on Vehicular Technology, vol. 68, no. 4, pp. 3138–3150, 2019.</w:t>
      </w:r>
    </w:p>
    <w:p>
      <w:pPr>
        <w:spacing w:after="60"/>
      </w:pPr>
      <w:r>
        <w:rPr>
          <w:rFonts w:ascii="Arial" w:cs="Arial" w:eastAsia="Arial" w:hAnsi="Arial"/>
          <w:b/>
          <w:bCs/>
          <w:color w:val="C00000"/>
          <w:sz w:val="22"/>
          <w:szCs w:val="22"/>
        </w:rPr>
        <w:t xml:space="preserve">[20]  </w:t>
      </w:r>
      <w:r>
        <w:rPr>
          <w:rFonts w:ascii="Arial" w:cs="Arial" w:eastAsia="Arial" w:hAnsi="Arial"/>
          <w:sz w:val="22"/>
          <w:szCs w:val="22"/>
        </w:rPr>
        <w:t xml:space="preserve">D. Helbing and M. Treiber, "Gas-kinetic-based traffic model explaining observed hysteretic phase transition," Physical Review Letters, vol. 81, no. 14, p. 3042, 1998.</w:t>
      </w:r>
      <w:r>
        <w:rPr>
          <w:rFonts w:ascii="Arial" w:cs="Arial" w:eastAsia="Arial" w:hAnsi="Arial"/>
          <w:i/>
          <w:iCs/>
          <w:color w:val="C00000"/>
          <w:sz w:val="20"/>
          <w:szCs w:val="20"/>
        </w:rPr>
        <w:t xml:space="preserve">  ❌ Fix typo in body text: 'Triber' → 'Treiber'</w:t>
      </w:r>
    </w:p>
    <w:p>
      <w:pPr>
        <w:spacing w:after="40"/>
      </w:pPr>
      <w:r>
        <w:rPr>
          <w:rFonts w:ascii="Arial" w:cs="Arial" w:eastAsia="Arial" w:hAnsi="Arial"/>
          <w:b/>
          <w:bCs/>
          <w:color w:val="375623"/>
          <w:sz w:val="22"/>
          <w:szCs w:val="22"/>
        </w:rPr>
        <w:t xml:space="preserve">─── New References ───</w:t>
      </w:r>
    </w:p>
    <w:p>
      <w:pPr>
        <w:spacing w:after="40"/>
      </w:pPr>
      <w:r>
        <w:rPr>
          <w:rFonts w:ascii="Arial" w:cs="Arial" w:eastAsia="Arial" w:hAnsi="Arial"/>
          <w:b/>
          <w:bCs/>
          <w:color w:val="375623"/>
          <w:sz w:val="22"/>
          <w:szCs w:val="22"/>
        </w:rPr>
        <w:t xml:space="preserve">[21] 🆕  </w:t>
      </w:r>
      <w:r>
        <w:rPr>
          <w:rFonts w:ascii="Arial" w:cs="Arial" w:eastAsia="Arial" w:hAnsi="Arial"/>
          <w:sz w:val="22"/>
          <w:szCs w:val="22"/>
        </w:rPr>
        <w:t xml:space="preserve">"Electric vehicle boom stalls as charging infrastructure faces setbacks in Bangladesh," Dhaka Tribune, June 30, 2024. [Online]. Available: </w:t>
      </w:r>
      <w:hyperlink w:history="1" r:id="rIdy3rx9gsafm2hbqajztwwb">
        <w:r>
          <w:rPr>
            <w:rFonts w:ascii="Arial" w:cs="Arial" w:eastAsia="Arial" w:hAnsi="Arial"/>
            <w:color w:val="1155CC"/>
            <w:sz w:val="22"/>
            <w:szCs w:val="22"/>
            <w:u w:val="single"/>
          </w:rPr>
          <w:t xml:space="preserve">https://www.dhakatribune.com/bangladesh/350558/electric-vehicle-boom-stalls-as-charging</w:t>
        </w:r>
      </w:hyperlink>
    </w:p>
    <w:p>
      <w:pPr>
        <w:spacing w:after="40"/>
      </w:pPr>
      <w:r>
        <w:rPr>
          <w:rFonts w:ascii="Arial" w:cs="Arial" w:eastAsia="Arial" w:hAnsi="Arial"/>
          <w:b/>
          <w:bCs/>
          <w:color w:val="375623"/>
          <w:sz w:val="22"/>
          <w:szCs w:val="22"/>
        </w:rPr>
        <w:t xml:space="preserve">[22] 🆕  </w:t>
      </w:r>
      <w:r>
        <w:rPr>
          <w:rFonts w:ascii="Arial" w:cs="Arial" w:eastAsia="Arial" w:hAnsi="Arial"/>
          <w:sz w:val="22"/>
          <w:szCs w:val="22"/>
        </w:rPr>
        <w:t xml:space="preserve">"Why is EV infrastructure investment crucial to Bangladesh's green future?," The Daily Star, 2025. [Online]. Available: </w:t>
      </w:r>
      <w:hyperlink w:history="1" r:id="rIdg6sv8jedfvgkulbpm0bo0">
        <w:r>
          <w:rPr>
            <w:rFonts w:ascii="Arial" w:cs="Arial" w:eastAsia="Arial" w:hAnsi="Arial"/>
            <w:color w:val="1155CC"/>
            <w:sz w:val="22"/>
            <w:szCs w:val="22"/>
            <w:u w:val="single"/>
          </w:rPr>
          <w:t xml:space="preserve">https://www.thedailystar.net/tech-startup/news/why-ev-infrastructure-investment-crucial-bangladeshs-green-future-3922971</w:t>
        </w:r>
      </w:hyperlink>
    </w:p>
    <w:p>
      <w:pPr>
        <w:spacing w:after="40"/>
      </w:pPr>
      <w:r>
        <w:rPr>
          <w:rFonts w:ascii="Arial" w:cs="Arial" w:eastAsia="Arial" w:hAnsi="Arial"/>
          <w:b/>
          <w:bCs/>
          <w:color w:val="375623"/>
          <w:sz w:val="22"/>
          <w:szCs w:val="22"/>
        </w:rPr>
        <w:t xml:space="preserve">[23] 🆕  </w:t>
      </w:r>
      <w:r>
        <w:rPr>
          <w:rFonts w:ascii="Arial" w:cs="Arial" w:eastAsia="Arial" w:hAnsi="Arial"/>
          <w:sz w:val="22"/>
          <w:szCs w:val="22"/>
        </w:rPr>
        <w:t xml:space="preserve">LightCastle Partners, "EV Adoption in Bangladesh: Market Dynamics &amp; Energy Readiness," December 2025. [Online]. Available: </w:t>
      </w:r>
      <w:hyperlink w:history="1" r:id="rId2zbcgq9kspyvphkp4f-ml">
        <w:r>
          <w:rPr>
            <w:rFonts w:ascii="Arial" w:cs="Arial" w:eastAsia="Arial" w:hAnsi="Arial"/>
            <w:color w:val="1155CC"/>
            <w:sz w:val="22"/>
            <w:szCs w:val="22"/>
            <w:u w:val="single"/>
          </w:rPr>
          <w:t xml:space="preserve">https://lightcastlepartners.com/insights/2025/12/ev-adoption-bangladesh-market-dynamics-energy-readiness/</w:t>
        </w:r>
      </w:hyperlink>
    </w:p>
    <w:p>
      <w:pPr>
        <w:spacing w:after="40"/>
      </w:pPr>
      <w:r>
        <w:rPr>
          <w:rFonts w:ascii="Arial" w:cs="Arial" w:eastAsia="Arial" w:hAnsi="Arial"/>
          <w:b/>
          <w:bCs/>
          <w:color w:val="375623"/>
          <w:sz w:val="22"/>
          <w:szCs w:val="22"/>
        </w:rPr>
        <w:t xml:space="preserve">[24] 🆕  </w:t>
      </w:r>
      <w:r>
        <w:rPr>
          <w:rFonts w:ascii="Arial" w:cs="Arial" w:eastAsia="Arial" w:hAnsi="Arial"/>
          <w:sz w:val="22"/>
          <w:szCs w:val="22"/>
        </w:rPr>
        <w:t xml:space="preserve">Eclipse SUMO Development Team, "SUMO – Simulation of Urban Mobility: User Documentation," Version 1.25.0, Eclipse Foundation, 2024. [Online]. Available: </w:t>
      </w:r>
      <w:hyperlink w:history="1" r:id="rIdy4yv1jng2urgiackmphny">
        <w:r>
          <w:rPr>
            <w:rFonts w:ascii="Arial" w:cs="Arial" w:eastAsia="Arial" w:hAnsi="Arial"/>
            <w:color w:val="1155CC"/>
            <w:sz w:val="22"/>
            <w:szCs w:val="22"/>
            <w:u w:val="single"/>
          </w:rPr>
          <w:t xml:space="preserve">https://sumo.dlr.de/docs/</w:t>
        </w:r>
      </w:hyperlink>
    </w:p>
    <w:p>
      <w:pPr>
        <w:spacing w:after="40"/>
      </w:pPr>
      <w:r>
        <w:rPr>
          <w:rFonts w:ascii="Arial" w:cs="Arial" w:eastAsia="Arial" w:hAnsi="Arial"/>
          <w:b/>
          <w:bCs/>
          <w:color w:val="375623"/>
          <w:sz w:val="22"/>
          <w:szCs w:val="22"/>
        </w:rPr>
        <w:t xml:space="preserve">[25] 🆕  </w:t>
      </w:r>
      <w:r>
        <w:rPr>
          <w:rFonts w:ascii="Arial" w:cs="Arial" w:eastAsia="Arial" w:hAnsi="Arial"/>
          <w:sz w:val="22"/>
          <w:szCs w:val="22"/>
        </w:rPr>
        <w:t xml:space="preserve">Y. Song et al., "A SUMO Framework for Deep Reinforcement Learning Experiments Solving Electric Vehicle Charging Dispatching Problem," arXiv preprint arXiv:2209.02921, Sep. 2022. [Online]. Available: </w:t>
      </w:r>
      <w:hyperlink w:history="1" r:id="rIdypxaqtwuu-pzb8a6w1bcl">
        <w:r>
          <w:rPr>
            <w:rFonts w:ascii="Arial" w:cs="Arial" w:eastAsia="Arial" w:hAnsi="Arial"/>
            <w:color w:val="1155CC"/>
            <w:sz w:val="22"/>
            <w:szCs w:val="22"/>
            <w:u w:val="single"/>
          </w:rPr>
          <w:t xml:space="preserve">https://arxiv.org/abs/2209.02921</w:t>
        </w:r>
      </w:hyperlink>
    </w:p>
    <w:p>
      <w:pPr>
        <w:spacing w:after="40"/>
      </w:pPr>
      <w:r>
        <w:rPr>
          <w:rFonts w:ascii="Arial" w:cs="Arial" w:eastAsia="Arial" w:hAnsi="Arial"/>
          <w:b/>
          <w:bCs/>
          <w:color w:val="375623"/>
          <w:sz w:val="22"/>
          <w:szCs w:val="22"/>
        </w:rPr>
        <w:t xml:space="preserve">[26] 🆕  </w:t>
      </w:r>
      <w:r>
        <w:rPr>
          <w:rFonts w:ascii="Arial" w:cs="Arial" w:eastAsia="Arial" w:hAnsi="Arial"/>
          <w:sz w:val="22"/>
          <w:szCs w:val="22"/>
        </w:rPr>
        <w:t xml:space="preserve">I. Kyriakopoulos and Y. Theodoridis, "Electric Vehicle Charging Load Forecasting: An Experimental Comparison of Machine Learning Methods," arXiv preprint arXiv:2512.17257, Apr. 2026. [Online]. Available: </w:t>
      </w:r>
      <w:hyperlink w:history="1" r:id="rId_wqy7nggqml57_0eya7cn">
        <w:r>
          <w:rPr>
            <w:rFonts w:ascii="Arial" w:cs="Arial" w:eastAsia="Arial" w:hAnsi="Arial"/>
            <w:color w:val="1155CC"/>
            <w:sz w:val="22"/>
            <w:szCs w:val="22"/>
            <w:u w:val="single"/>
          </w:rPr>
          <w:t xml:space="preserve">https://arxiv.org/abs/2512.17257</w:t>
        </w:r>
      </w:hyperlink>
    </w:p>
    <w:p>
      <w:pPr>
        <w:spacing w:after="40"/>
      </w:pPr>
      <w:r>
        <w:rPr>
          <w:rFonts w:ascii="Arial" w:cs="Arial" w:eastAsia="Arial" w:hAnsi="Arial"/>
          <w:b/>
          <w:bCs/>
          <w:color w:val="375623"/>
          <w:sz w:val="22"/>
          <w:szCs w:val="22"/>
        </w:rPr>
        <w:t xml:space="preserve">[27] 🆕  </w:t>
      </w:r>
      <w:r>
        <w:rPr>
          <w:rFonts w:ascii="Arial" w:cs="Arial" w:eastAsia="Arial" w:hAnsi="Arial"/>
          <w:sz w:val="22"/>
          <w:szCs w:val="22"/>
        </w:rPr>
        <w:t xml:space="preserve">Authors et al., "Predicting EV Charging Demand in Renewable-Energy-Powered Grids Using Explainable Machine Learning," Sustainability, vol. 17, no. 9, p. 4158, May 2025. [Online]. Available: </w:t>
      </w:r>
      <w:hyperlink w:history="1" r:id="rIdcl5ublqptb1w-ez4thctq">
        <w:r>
          <w:rPr>
            <w:rFonts w:ascii="Arial" w:cs="Arial" w:eastAsia="Arial" w:hAnsi="Arial"/>
            <w:color w:val="1155CC"/>
            <w:sz w:val="22"/>
            <w:szCs w:val="22"/>
            <w:u w:val="single"/>
          </w:rPr>
          <w:t xml:space="preserve">https://www.mdpi.com/2071-1050/17/9/4158</w:t>
        </w:r>
      </w:hyperlink>
    </w:p>
    <w:p>
      <w:pPr>
        <w:spacing w:after="40"/>
      </w:pPr>
      <w:r>
        <w:rPr>
          <w:rFonts w:ascii="Arial" w:cs="Arial" w:eastAsia="Arial" w:hAnsi="Arial"/>
          <w:b/>
          <w:bCs/>
          <w:color w:val="375623"/>
          <w:sz w:val="22"/>
          <w:szCs w:val="22"/>
        </w:rPr>
        <w:t xml:space="preserve">[28] 🆕  </w:t>
      </w:r>
      <w:r>
        <w:rPr>
          <w:rFonts w:ascii="Arial" w:cs="Arial" w:eastAsia="Arial" w:hAnsi="Arial"/>
          <w:sz w:val="22"/>
          <w:szCs w:val="22"/>
        </w:rPr>
        <w:t xml:space="preserve">Authors et al., "Research on Electric Vehicle Charging Load Forecasting Method Based on Improved LSTM Neural Network," World Electric Vehicle Journal, vol. 16, no. 5, p. 265, May 2025. [Online]. Available: </w:t>
      </w:r>
      <w:hyperlink w:history="1" r:id="rIdpffuizubpwqhr28ohb8pl">
        <w:r>
          <w:rPr>
            <w:rFonts w:ascii="Arial" w:cs="Arial" w:eastAsia="Arial" w:hAnsi="Arial"/>
            <w:color w:val="1155CC"/>
            <w:sz w:val="22"/>
            <w:szCs w:val="22"/>
            <w:u w:val="single"/>
          </w:rPr>
          <w:t xml:space="preserve">https://www.mdpi.com/2032-6653/16/5/265</w:t>
        </w:r>
      </w:hyperlink>
    </w:p>
    <w:p>
      <w:pPr>
        <w:spacing w:after="40"/>
      </w:pPr>
      <w:r>
        <w:rPr>
          <w:rFonts w:ascii="Arial" w:cs="Arial" w:eastAsia="Arial" w:hAnsi="Arial"/>
          <w:b/>
          <w:bCs/>
          <w:color w:val="375623"/>
          <w:sz w:val="22"/>
          <w:szCs w:val="22"/>
        </w:rPr>
        <w:t xml:space="preserve">[29] 🆕  </w:t>
      </w:r>
      <w:r>
        <w:rPr>
          <w:rFonts w:ascii="Arial" w:cs="Arial" w:eastAsia="Arial" w:hAnsi="Arial"/>
          <w:sz w:val="22"/>
          <w:szCs w:val="22"/>
        </w:rPr>
        <w:t xml:space="preserve">T. Qian et al., "V2Sim: An Open-Source Microscopic V2G Simulation Platform in Urban Power and Transportation Network," arXiv preprint arXiv:2412.09808, Dec. 2024. [Online]. Available: </w:t>
      </w:r>
      <w:hyperlink w:history="1" r:id="rIdhc0sqhs_pzu5grsmmffgf">
        <w:r>
          <w:rPr>
            <w:rFonts w:ascii="Arial" w:cs="Arial" w:eastAsia="Arial" w:hAnsi="Arial"/>
            <w:color w:val="1155CC"/>
            <w:sz w:val="22"/>
            <w:szCs w:val="22"/>
            <w:u w:val="single"/>
          </w:rPr>
          <w:t xml:space="preserve">https://arxiv.org/abs/2412.09808</w:t>
        </w:r>
      </w:hyperlink>
    </w:p>
    <w:p>
      <w:pPr>
        <w:spacing w:after="200"/>
      </w:pPr>
    </w:p>
    <w:p>
      <w:pPr>
        <w:pBdr>
          <w:bottom w:val="single" w:color="2E75B6" w:sz="8" w:space="1"/>
        </w:pBdr>
        <w:spacing w:after="160"/>
      </w:pPr>
    </w:p>
    <w:p>
      <w:pPr>
        <w:pStyle w:val="Heading1"/>
        <w:spacing w:after="120" w:before="320"/>
      </w:pPr>
      <w:r>
        <w:rPr>
          <w:rFonts w:ascii="Arial" w:cs="Arial" w:eastAsia="Arial" w:hAnsi="Arial"/>
          <w:b/>
          <w:bCs/>
          <w:color w:val="1F4E79"/>
          <w:sz w:val="32"/>
          <w:szCs w:val="32"/>
        </w:rPr>
        <w:t xml:space="preserve">5. Summary of Actions Required</w:t>
      </w:r>
    </w:p>
    <w:p>
      <w:pPr>
        <w:spacing w:after="80"/>
      </w:pPr>
      <w:r>
        <w:rPr>
          <w:rFonts w:ascii="Arial" w:cs="Arial" w:eastAsia="Arial" w:hAnsi="Arial"/>
          <w:b/>
          <w:bCs/>
          <w:color w:val="C00000"/>
          <w:sz w:val="24"/>
          <w:szCs w:val="24"/>
        </w:rPr>
        <w:t xml:space="preserve">Must Fix (Before Submission)</w:t>
      </w:r>
    </w:p>
    <w:p>
      <w:pPr>
        <w:spacing w:after="60"/>
        <w:ind w:left="360"/>
      </w:pPr>
      <w:r>
        <w:rPr>
          <w:rFonts w:ascii="Arial" w:cs="Arial" w:eastAsia="Arial" w:hAnsi="Arial"/>
          <w:sz w:val="22"/>
          <w:szCs w:val="22"/>
        </w:rPr>
        <w:t xml:space="preserve">1. Fix typo on page 15: 'Tayeb' → 'Taieb' (author name for reference [18]).</w:t>
      </w:r>
    </w:p>
    <w:p>
      <w:pPr>
        <w:spacing w:after="60"/>
        <w:ind w:left="360"/>
      </w:pPr>
      <w:r>
        <w:rPr>
          <w:rFonts w:ascii="Arial" w:cs="Arial" w:eastAsia="Arial" w:hAnsi="Arial"/>
          <w:sz w:val="22"/>
          <w:szCs w:val="22"/>
        </w:rPr>
        <w:t xml:space="preserve">2. Fix typo on page 15: 'Triber' → 'Treiber' (author name for reference [20]).</w:t>
      </w:r>
    </w:p>
    <w:p>
      <w:pPr>
        <w:spacing w:after="60"/>
        <w:ind w:left="360"/>
      </w:pPr>
      <w:r>
        <w:rPr>
          <w:rFonts w:ascii="Arial" w:cs="Arial" w:eastAsia="Arial" w:hAnsi="Arial"/>
          <w:sz w:val="22"/>
          <w:szCs w:val="22"/>
        </w:rPr>
        <w:t xml:space="preserve">3. Update reference [1] to the IEA Global EV Outlook 2025 (available April 2025).</w:t>
      </w:r>
    </w:p>
    <w:p>
      <w:pPr>
        <w:spacing w:after="80" w:before="160"/>
      </w:pPr>
      <w:r>
        <w:rPr>
          <w:rFonts w:ascii="Arial" w:cs="Arial" w:eastAsia="Arial" w:hAnsi="Arial"/>
          <w:b/>
          <w:bCs/>
          <w:color w:val="7F3F00"/>
          <w:sz w:val="24"/>
          <w:szCs w:val="24"/>
        </w:rPr>
        <w:t xml:space="preserve">Strongly Recommended</w:t>
      </w:r>
    </w:p>
    <w:p>
      <w:pPr>
        <w:spacing w:after="60"/>
        <w:ind w:left="360"/>
      </w:pPr>
      <w:r>
        <w:rPr>
          <w:rFonts w:ascii="Arial" w:cs="Arial" w:eastAsia="Arial" w:hAnsi="Arial"/>
          <w:sz w:val="22"/>
          <w:szCs w:val="22"/>
        </w:rPr>
        <w:t xml:space="preserve">4. Add [21][22][23] — Bangladesh-specific EV infrastructure references to strengthen Chapter 1.</w:t>
      </w:r>
    </w:p>
    <w:p>
      <w:pPr>
        <w:spacing w:after="60"/>
        <w:ind w:left="360"/>
      </w:pPr>
      <w:r>
        <w:rPr>
          <w:rFonts w:ascii="Arial" w:cs="Arial" w:eastAsia="Arial" w:hAnsi="Arial"/>
          <w:sz w:val="22"/>
          <w:szCs w:val="22"/>
        </w:rPr>
        <w:t xml:space="preserve">5. Add [24] — Current SUMO documentation as a supplement to reference [11].</w:t>
      </w:r>
    </w:p>
    <w:p>
      <w:pPr>
        <w:spacing w:after="60"/>
        <w:ind w:left="360"/>
      </w:pPr>
      <w:r>
        <w:rPr>
          <w:rFonts w:ascii="Arial" w:cs="Arial" w:eastAsia="Arial" w:hAnsi="Arial"/>
          <w:sz w:val="22"/>
          <w:szCs w:val="22"/>
        </w:rPr>
        <w:t xml:space="preserve">6. Add [26] — The 2026 ML comparison paper is extremely relevant to your Chapter 4 analysis.</w:t>
      </w:r>
    </w:p>
    <w:p>
      <w:pPr>
        <w:spacing w:after="60"/>
        <w:ind w:left="360"/>
      </w:pPr>
      <w:r>
        <w:rPr>
          <w:rFonts w:ascii="Arial" w:cs="Arial" w:eastAsia="Arial" w:hAnsi="Arial"/>
          <w:sz w:val="22"/>
          <w:szCs w:val="22"/>
        </w:rPr>
        <w:t xml:space="preserve">7. Add [27][28] — 2025 explainable ML and improved LSTM papers to strengthen the literature review.</w:t>
      </w:r>
    </w:p>
    <w:p>
      <w:pPr>
        <w:spacing w:after="80" w:before="160"/>
      </w:pPr>
      <w:r>
        <w:rPr>
          <w:rFonts w:ascii="Arial" w:cs="Arial" w:eastAsia="Arial" w:hAnsi="Arial"/>
          <w:b/>
          <w:bCs/>
          <w:color w:val="375623"/>
          <w:sz w:val="24"/>
          <w:szCs w:val="24"/>
        </w:rPr>
        <w:t xml:space="preserve">Optional (To Further Strengthen)</w:t>
      </w:r>
    </w:p>
    <w:p>
      <w:pPr>
        <w:spacing w:after="60"/>
        <w:ind w:left="360"/>
      </w:pPr>
      <w:r>
        <w:rPr>
          <w:rFonts w:ascii="Arial" w:cs="Arial" w:eastAsia="Arial" w:hAnsi="Arial"/>
          <w:sz w:val="22"/>
          <w:szCs w:val="22"/>
        </w:rPr>
        <w:t xml:space="preserve">8. Add [25] (SUMO DRL framework) and [29] (V2Sim) to Section 2.3.</w:t>
      </w:r>
    </w:p>
    <w:p>
      <w:pPr>
        <w:spacing w:after="60"/>
        <w:ind w:left="360"/>
      </w:pPr>
      <w:r>
        <w:rPr>
          <w:rFonts w:ascii="Arial" w:cs="Arial" w:eastAsia="Arial" w:hAnsi="Arial"/>
          <w:sz w:val="22"/>
          <w:szCs w:val="22"/>
        </w:rPr>
        <w:t xml:space="preserve">9. Clarify or replace reference [13] (Ding et al.) with a direct queue management reference.</w:t>
      </w:r>
    </w:p>
    <w:p>
      <w:pPr>
        <w:spacing w:after="120"/>
      </w:pPr>
    </w:p>
    <w:p>
      <w:pPr>
        <w:pBdr>
          <w:bottom w:val="single" w:color="2E75B6" w:sz="8" w:space="1"/>
        </w:pBdr>
        <w:spacing w:after="160"/>
      </w:pPr>
    </w:p>
    <w:p>
      <w:pPr>
        <w:spacing w:after="0"/>
        <w:jc w:val="center"/>
      </w:pPr>
      <w:r>
        <w:rPr>
          <w:rFonts w:ascii="Arial" w:cs="Arial" w:eastAsia="Arial" w:hAnsi="Arial"/>
          <w:i/>
          <w:iCs/>
          <w:color w:val="888888"/>
          <w:sz w:val="20"/>
          <w:szCs w:val="20"/>
        </w:rPr>
        <w:t xml:space="preserve">End of Reference Review  |  Rakesh Biswas — Thesis, JUST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vqhjawswk_6esueshjwa" Type="http://schemas.openxmlformats.org/officeDocument/2006/relationships/hyperlink" Target="https://www.iea.org/reports/global-ev-outlook-2025" TargetMode="External"/><Relationship Id="rIdwupyj9vdpkj8t4j6i4ehp" Type="http://schemas.openxmlformats.org/officeDocument/2006/relationships/hyperlink" Target="https://www.dhakatribune.com/bangladesh/350558/electric-vehicle-boom-stalls-as-charging" TargetMode="External"/><Relationship Id="rIdniacnsckbnhjcwsag4whf" Type="http://schemas.openxmlformats.org/officeDocument/2006/relationships/hyperlink" Target="https://www.thedailystar.net/tech-startup/news/why-ev-infrastructure-investment-crucial-bangladeshs-green-future-3922971" TargetMode="External"/><Relationship Id="rIdyc1yzfgknsfwf1wzfjjij" Type="http://schemas.openxmlformats.org/officeDocument/2006/relationships/hyperlink" Target="https://lightcastlepartners.com/insights/2025/12/ev-adoption-bangladesh-market-dynamics-energy-readiness/" TargetMode="External"/><Relationship Id="rIds-eoxe78vynqnnkfa9l74" Type="http://schemas.openxmlformats.org/officeDocument/2006/relationships/hyperlink" Target="https://sumo.dlr.de/docs/" TargetMode="External"/><Relationship Id="rIdfop2hc2ziggjydyy4yg35" Type="http://schemas.openxmlformats.org/officeDocument/2006/relationships/hyperlink" Target="https://arxiv.org/abs/2209.02921" TargetMode="External"/><Relationship Id="rIdlmjbh3fmbawxxpm5-edfn" Type="http://schemas.openxmlformats.org/officeDocument/2006/relationships/hyperlink" Target="https://arxiv.org/abs/2512.17257" TargetMode="External"/><Relationship Id="rIdagz1r4fpt5ffuahluqsjn" Type="http://schemas.openxmlformats.org/officeDocument/2006/relationships/hyperlink" Target="https://www.mdpi.com/2071-1050/17/9/4158" TargetMode="External"/><Relationship Id="rIdglkdo9k_d9cry2ere-y-w" Type="http://schemas.openxmlformats.org/officeDocument/2006/relationships/hyperlink" Target="https://www.mdpi.com/2032-6653/16/5/265" TargetMode="External"/><Relationship Id="rIdskckezdqjdaohpi3x4kwc" Type="http://schemas.openxmlformats.org/officeDocument/2006/relationships/hyperlink" Target="https://arxiv.org/abs/2412.09808" TargetMode="External"/><Relationship Id="rId9eiawozpityckoln98jdn" Type="http://schemas.openxmlformats.org/officeDocument/2006/relationships/hyperlink" Target="https://www.iea.org/reports/global-ev-outlook-2025" TargetMode="External"/><Relationship Id="rIdwewjkhaqnt1tvxh7_cxea" Type="http://schemas.openxmlformats.org/officeDocument/2006/relationships/hyperlink" Target="https://doi.org/10.1016/j.aej.2024.12.069" TargetMode="External"/><Relationship Id="rIdy3rx9gsafm2hbqajztwwb" Type="http://schemas.openxmlformats.org/officeDocument/2006/relationships/hyperlink" Target="https://www.dhakatribune.com/bangladesh/350558/electric-vehicle-boom-stalls-as-charging" TargetMode="External"/><Relationship Id="rIdg6sv8jedfvgkulbpm0bo0" Type="http://schemas.openxmlformats.org/officeDocument/2006/relationships/hyperlink" Target="https://www.thedailystar.net/tech-startup/news/why-ev-infrastructure-investment-crucial-bangladeshs-green-future-3922971" TargetMode="External"/><Relationship Id="rId2zbcgq9kspyvphkp4f-ml" Type="http://schemas.openxmlformats.org/officeDocument/2006/relationships/hyperlink" Target="https://lightcastlepartners.com/insights/2025/12/ev-adoption-bangladesh-market-dynamics-energy-readiness/" TargetMode="External"/><Relationship Id="rIdy4yv1jng2urgiackmphny" Type="http://schemas.openxmlformats.org/officeDocument/2006/relationships/hyperlink" Target="https://sumo.dlr.de/docs/" TargetMode="External"/><Relationship Id="rIdypxaqtwuu-pzb8a6w1bcl" Type="http://schemas.openxmlformats.org/officeDocument/2006/relationships/hyperlink" Target="https://arxiv.org/abs/2209.02921" TargetMode="External"/><Relationship Id="rId_wqy7nggqml57_0eya7cn" Type="http://schemas.openxmlformats.org/officeDocument/2006/relationships/hyperlink" Target="https://arxiv.org/abs/2512.17257" TargetMode="External"/><Relationship Id="rIdcl5ublqptb1w-ez4thctq" Type="http://schemas.openxmlformats.org/officeDocument/2006/relationships/hyperlink" Target="https://www.mdpi.com/2071-1050/17/9/4158" TargetMode="External"/><Relationship Id="rIdpffuizubpwqhr28ohb8pl" Type="http://schemas.openxmlformats.org/officeDocument/2006/relationships/hyperlink" Target="https://www.mdpi.com/2032-6653/16/5/265" TargetMode="External"/><Relationship Id="rIdhc0sqhs_pzu5grsmmffgf" Type="http://schemas.openxmlformats.org/officeDocument/2006/relationships/hyperlink" Target="https://arxiv.org/abs/2412.09808"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2026-05-05T04:00:32.561Z</dcterms:created>
  <dcterms:modified xsi:type="dcterms:W3CDTF">2026-05-05T04:00:32.563Z</dcterms:modified>
</cp:coreProperties>
</file>

<file path=docProps/custom.xml><?xml version="1.0" encoding="utf-8"?>
<Properties xmlns="http://schemas.openxmlformats.org/officeDocument/2006/custom-properties" xmlns:vt="http://schemas.openxmlformats.org/officeDocument/2006/docPropsVTypes"/>
</file>