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A Simulation-Based Charging Station Recommendation Framework for Electric Vehicles in Khulna City Using SUMO and TraCI</w:t>
      </w:r>
    </w:p>
    <w:p>
      <w:pPr>
        <w:spacing w:after="30"/>
        <w:jc w:val="center"/>
      </w:pPr>
      <w:r>
        <w:rPr>
          <w:rFonts w:ascii="Times New Roman" w:cs="Times New Roman" w:eastAsia="Times New Roman" w:hAnsi="Times New Roman"/>
          <w:i w:val="false"/>
          <w:iCs w:val="false"/>
          <w:sz w:val="18"/>
          <w:szCs w:val="18"/>
        </w:rPr>
        <w:t xml:space="preserve">Rakesh Biswas¹ · Monishanker Halder¹ · Md. Mahmudul Amin Shakil¹</w:t>
      </w:r>
    </w:p>
    <w:p>
      <w:pPr>
        <w:spacing w:after="30"/>
        <w:jc w:val="center"/>
      </w:pPr>
      <w:r>
        <w:rPr>
          <w:rFonts w:ascii="Times New Roman" w:cs="Times New Roman" w:eastAsia="Times New Roman" w:hAnsi="Times New Roman"/>
          <w:i/>
          <w:iCs/>
          <w:sz w:val="18"/>
          <w:szCs w:val="18"/>
        </w:rPr>
        <w:t xml:space="preserve">¹Department of Computer Science &amp; Engineering</w:t>
      </w:r>
    </w:p>
    <w:p>
      <w:pPr>
        <w:spacing w:after="30"/>
        <w:jc w:val="center"/>
      </w:pPr>
      <w:r>
        <w:rPr>
          <w:rFonts w:ascii="Times New Roman" w:cs="Times New Roman" w:eastAsia="Times New Roman" w:hAnsi="Times New Roman"/>
          <w:i/>
          <w:iCs/>
          <w:sz w:val="18"/>
          <w:szCs w:val="18"/>
        </w:rPr>
        <w:t xml:space="preserve">Jashore University of Science and Technology (JUST), Jashore, Bangladesh</w:t>
      </w:r>
    </w:p>
    <w:p>
      <w:pPr>
        <w:spacing w:after="30"/>
        <w:jc w:val="center"/>
      </w:pPr>
      <w:r>
        <w:rPr>
          <w:rFonts w:ascii="Times New Roman" w:cs="Times New Roman" w:eastAsia="Times New Roman" w:hAnsi="Times New Roman"/>
          <w:i w:val="false"/>
          <w:iCs w:val="false"/>
          <w:sz w:val="18"/>
          <w:szCs w:val="18"/>
        </w:rPr>
        <w:t xml:space="preserve">{200112.cse, m.halder, 200106.cse}@just.edu.bd / student.just.edu.bd</w:t>
      </w:r>
    </w:p>
    <w:p>
      <w:pPr>
        <w:pBdr>
          <w:bottom w:val="single" w:color="000000" w:sz="4"/>
        </w:pBdr>
        <w:spacing w:before="80" w:after="80"/>
      </w:pPr>
    </w:p>
    <w:p>
      <w:pPr>
        <w:spacing w:before="80" w:after="60"/>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The rapid growth of three-wheeler electric vehicles — Easy Bikes, Electric-Rickshaws and Electric-Vans — across Khulna city, Bangladesh, places an unsupported charging demand on urban power infrastructure. Lack of intelligent charging management reduces station utilisation efficiency, increases traffic congestion, and raises the risk of local power imbalance. To address these challenges, this paper presents a simulation-based EV charging station recommendation framework developed using Eclipse SUMO, integrated with Python and TraCI. A realistic urban mobility scenario was created with 100 heterogeneous EV flows operating across eight directed routes, supported by ten bidirectional charging stations with physics-based battery models. The recommendation engine continuously monitors vehicle State of Charge (SoC), travel distance, slot-occupancy, and instantaneous electricity load, then applies a multi-criteria scoring model to issue periodic advisory decisions. Experimental results show that the proposed framework achieves a Feasible Recommendation Rate (FRR) of 90.1%, exceeding the nearest-only baseline (66%) by 24.0 percentage points. The Congestion Avoidance Rate (CAR) reaches 37.1% (baseline: 0%) and the High-Priority Smart Decision Rate (HPSDR) reaches 27.9% (baseline: 0%), with a modest average distance trade-off of +15.8 m. The simulation recorded a peak charging demand of 1.37 MW with 40 vehicles charging simultaneously, reflecting realistic urban load-stress conditions. The 33,721-record dataset generated supports machine-learning-based EV load forecasting and smart grid planning for the emerging EV ecosystem of Bangladesh.</w:t>
      </w:r>
    </w:p>
    <w:p>
      <w:pPr>
        <w:spacing w:before="0" w:after="100"/>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Electric Vehicles, Easy Bike, E-Rickshaw, Charging Recommendation, SUMO, TraCI, Smart Grid, Load Balancing, Bangladesh</w:t>
      </w:r>
    </w:p>
    <w:p>
      <w:pPr>
        <w:pBdr>
          <w:bottom w:val="single" w:color="000000" w:sz="4"/>
        </w:pBdr>
        <w:spacing w:before="80" w:after="80"/>
      </w:pPr>
    </w:p>
    <w:p>
      <w:pPr>
        <w:spacing w:before="160" w:after="80"/>
        <w:jc w:val="center"/>
      </w:pPr>
      <w:r>
        <w:rPr>
          <w:rFonts w:ascii="Times New Roman" w:cs="Times New Roman" w:eastAsia="Times New Roman" w:hAnsi="Times New Roman"/>
          <w:b/>
          <w:bCs/>
          <w:sz w:val="20"/>
          <w:szCs w:val="20"/>
        </w:rPr>
        <w:t xml:space="preserve">I. INTRODUCTION</w:t>
      </w:r>
    </w:p>
    <w:p>
      <w:pPr>
        <w:spacing w:after="80" w:before="0"/>
        <w:jc w:val="both"/>
      </w:pPr>
      <w:r>
        <w:rPr>
          <w:rFonts w:ascii="Times New Roman" w:cs="Times New Roman" w:eastAsia="Times New Roman" w:hAnsi="Times New Roman"/>
          <w:b w:val="false"/>
          <w:bCs w:val="false"/>
          <w:i w:val="false"/>
          <w:iCs w:val="false"/>
          <w:sz w:val="20"/>
          <w:szCs w:val="20"/>
        </w:rPr>
        <w:t xml:space="preserve">The global adoption of electric vehicles (EVs) has accelerated as a strategy to reduce greenhouse gas (GHG) emissions from the transportation sector, which is responsible for approximately 38% of total global GHG production [1]. In Bangladesh, this transition has taken a uniquely grassroots form: instead of personal passenger cars, battery-powered three-wheeled vehicles — locally known as Easy Bikes and E-Rickshaws — have become the primary urban transportation medium.</w:t>
      </w:r>
    </w:p>
    <w:p>
      <w:pPr>
        <w:spacing w:after="80" w:before="0"/>
        <w:jc w:val="both"/>
      </w:pPr>
      <w:r>
        <w:rPr>
          <w:rFonts w:ascii="Times New Roman" w:cs="Times New Roman" w:eastAsia="Times New Roman" w:hAnsi="Times New Roman"/>
          <w:b w:val="false"/>
          <w:bCs w:val="false"/>
          <w:i w:val="false"/>
          <w:iCs w:val="false"/>
          <w:sz w:val="20"/>
          <w:szCs w:val="20"/>
        </w:rPr>
        <w:t xml:space="preserve">Khulna, the third largest city in Bangladesh and an important industrial hub, exemplifies this trend. Thousands of electric three-wheelers operate daily, providing affordable, low-emission urban mobility and supporting the livelihoods of a significant driver population.</w:t>
      </w:r>
    </w:p>
    <w:p>
      <w:pPr>
        <w:spacing w:after="80" w:before="0"/>
        <w:jc w:val="both"/>
      </w:pPr>
      <w:r>
        <w:rPr>
          <w:rFonts w:ascii="Times New Roman" w:cs="Times New Roman" w:eastAsia="Times New Roman" w:hAnsi="Times New Roman"/>
          <w:b w:val="false"/>
          <w:bCs w:val="false"/>
          <w:i w:val="false"/>
          <w:iCs w:val="false"/>
          <w:sz w:val="20"/>
          <w:szCs w:val="20"/>
        </w:rPr>
        <w:t xml:space="preserve">Despite these benefits, EV charging in Khulna remains severely imbalanced. Drivers select charging stations based solely on proximity and familiarity, resulting in intense demand at popular stations during morning and evening rush hours. Transformers serving overloaded nodes experience thermal stress, voltage drops, and failures — causing repair costs and service disruptions — while peripheral stations remain chronically underutilised, representing wasted infrastructure investment. Global EV load on the electricity grid is projected to reach 780 TWh by 2030 [3], making intelligent charging coordination an urgent operational priority.</w:t>
      </w:r>
    </w:p>
    <w:p>
      <w:pPr>
        <w:spacing w:after="80" w:before="0"/>
        <w:jc w:val="both"/>
      </w:pPr>
      <w:r>
        <w:rPr>
          <w:rFonts w:ascii="Times New Roman" w:cs="Times New Roman" w:eastAsia="Times New Roman" w:hAnsi="Times New Roman"/>
          <w:b w:val="false"/>
          <w:bCs w:val="false"/>
          <w:i w:val="false"/>
          <w:iCs w:val="false"/>
          <w:sz w:val="20"/>
          <w:szCs w:val="20"/>
        </w:rPr>
        <w:t xml:space="preserve">Previous work on EV charging management has predominantly addressed advanced-economy contexts where vehicles are freely routable. Two limitations specific to Khulna are absent from this literature: (i) Easy Bikes and E-Rickshaws follow specific corridor routes, as SUMO enforces one-way lane assignments; and (ii) charging infrastructure is scattered and heterogeneous in capacity, power rating, and geographical distribution. This paper presents a purpose-built simulation framework that realistically models the Khulna fleet and accommodates these constraints rather than ignoring them.</w:t>
      </w:r>
    </w:p>
    <w:p>
      <w:pPr>
        <w:spacing w:after="80" w:before="0"/>
        <w:jc w:val="both"/>
      </w:pPr>
      <w:r>
        <w:rPr>
          <w:rFonts w:ascii="Times New Roman" w:cs="Times New Roman" w:eastAsia="Times New Roman" w:hAnsi="Times New Roman"/>
          <w:b w:val="false"/>
          <w:bCs w:val="false"/>
          <w:i w:val="false"/>
          <w:iCs w:val="false"/>
          <w:sz w:val="20"/>
          <w:szCs w:val="20"/>
        </w:rPr>
        <w:t xml:space="preserve">The contributions of this work are: (i) a calibrated SUMO simulation of Khulna city's heterogeneous EV fleet with physics-based battery modelling across three vehicle classes; (ii) a multi-criteria recommendation algorithm that explicitly respects SUMO directed routing; (iii) a comparative evaluation against a nearest-only baseline using four clearly defined performance metrics — FRR, CAR, HPSDR, and Avg. Distance to Recommended Station; and (iv) a 33,721-record vehicle-centric dataset available for downstream ML applications.</w:t>
      </w:r>
    </w:p>
    <w:p>
      <w:pPr>
        <w:spacing w:before="160" w:after="80"/>
        <w:jc w:val="center"/>
      </w:pPr>
      <w:r>
        <w:rPr>
          <w:rFonts w:ascii="Times New Roman" w:cs="Times New Roman" w:eastAsia="Times New Roman" w:hAnsi="Times New Roman"/>
          <w:b/>
          <w:bCs/>
          <w:sz w:val="20"/>
          <w:szCs w:val="20"/>
        </w:rPr>
        <w:t xml:space="preserve">II. RELATED WORK</w:t>
      </w:r>
    </w:p>
    <w:p>
      <w:pPr>
        <w:spacing w:before="120" w:after="60"/>
      </w:pPr>
      <w:r>
        <w:rPr>
          <w:rFonts w:ascii="Times New Roman" w:cs="Times New Roman" w:eastAsia="Times New Roman" w:hAnsi="Times New Roman"/>
          <w:b/>
          <w:bCs/>
          <w:sz w:val="20"/>
          <w:szCs w:val="20"/>
        </w:rPr>
        <w:t xml:space="preserve">A. Infrastructure Planning and Site Selection</w:t>
      </w:r>
    </w:p>
    <w:p>
      <w:pPr>
        <w:spacing w:after="80" w:before="0"/>
        <w:jc w:val="both"/>
      </w:pPr>
      <w:r>
        <w:rPr>
          <w:rFonts w:ascii="Times New Roman" w:cs="Times New Roman" w:eastAsia="Times New Roman" w:hAnsi="Times New Roman"/>
          <w:b w:val="false"/>
          <w:bCs w:val="false"/>
          <w:i w:val="false"/>
          <w:iCs w:val="false"/>
          <w:sz w:val="20"/>
          <w:szCs w:val="20"/>
        </w:rPr>
        <w:t xml:space="preserve">Wang et al. [2] formulated charging station selection as a multi-objective optimisation problem, minimising travel time, grid pressure, and cost through integer programming. Hussain et al. [6] applied the Analytic Hierarchy Process (AHP) combined with TOPSIS to rank candidate stations by accessibility, demand density, and grid capacity. These methods inform long-term strategic decisions but do not provide real-time dispatch across existing operational networks. Rahman et al. [1] surveyed EV adoption trends specific to Bangladesh, identifying coordination gaps that directly motivate this study.</w:t>
      </w:r>
    </w:p>
    <w:p>
      <w:pPr>
        <w:spacing w:before="120" w:after="60"/>
      </w:pPr>
      <w:r>
        <w:rPr>
          <w:rFonts w:ascii="Times New Roman" w:cs="Times New Roman" w:eastAsia="Times New Roman" w:hAnsi="Times New Roman"/>
          <w:b/>
          <w:bCs/>
          <w:sz w:val="20"/>
          <w:szCs w:val="20"/>
        </w:rPr>
        <w:t xml:space="preserve">B. Real-Time Routing and AI-Based Selection</w:t>
      </w:r>
    </w:p>
    <w:p>
      <w:pPr>
        <w:spacing w:after="80" w:before="0"/>
        <w:jc w:val="both"/>
      </w:pPr>
      <w:r>
        <w:rPr>
          <w:rFonts w:ascii="Times New Roman" w:cs="Times New Roman" w:eastAsia="Times New Roman" w:hAnsi="Times New Roman"/>
          <w:b w:val="false"/>
          <w:bCs w:val="false"/>
          <w:i w:val="false"/>
          <w:iCs w:val="false"/>
          <w:sz w:val="20"/>
          <w:szCs w:val="20"/>
        </w:rPr>
        <w:t xml:space="preserve">Current research has explored reinforcement learning and AI-based frameworks for dynamic EV charging distribution, targeting load balancing, congestion reduction, and peak-demand attenuation through adaptive routing. Microscopic traffic simulation platforms such as SUMO have been widely applied for traffic optimisation, signal control, and energy-aware mobility modelling. However, no prior work combines real-time suggestive charging recommendations with the heterogeneous EV fleet constraints present in South Asian cities.</w:t>
      </w:r>
    </w:p>
    <w:p>
      <w:pPr>
        <w:spacing w:before="120" w:after="60"/>
      </w:pPr>
      <w:r>
        <w:rPr>
          <w:rFonts w:ascii="Times New Roman" w:cs="Times New Roman" w:eastAsia="Times New Roman" w:hAnsi="Times New Roman"/>
          <w:b/>
          <w:bCs/>
          <w:sz w:val="20"/>
          <w:szCs w:val="20"/>
        </w:rPr>
        <w:t xml:space="preserve">C. Load Forecasting and Dataset Generation</w:t>
      </w:r>
    </w:p>
    <w:p>
      <w:pPr>
        <w:spacing w:after="80" w:before="0"/>
        <w:jc w:val="both"/>
      </w:pPr>
      <w:r>
        <w:rPr>
          <w:rFonts w:ascii="Times New Roman" w:cs="Times New Roman" w:eastAsia="Times New Roman" w:hAnsi="Times New Roman"/>
          <w:b w:val="false"/>
          <w:bCs w:val="false"/>
          <w:i w:val="false"/>
          <w:iCs w:val="false"/>
          <w:sz w:val="20"/>
          <w:szCs w:val="20"/>
        </w:rPr>
        <w:t xml:space="preserve">Siddiqui et al. [8] proposed DeepBoost — a stacked ensemble of LSTM, XGBoost, CatBoost, and Linear Regression — for day-ahead EV charging station load forecasting, improving MAE by 9.4% and 32.7% over individual CatBoost and XGBoost models on the ACN dataset. Their feature engineering framework (station occupancy, queue depth, SoC distribution, time-of-day) is directly compatible with the dataset generated by this simulation.</w:t>
      </w:r>
    </w:p>
    <w:p>
      <w:pPr>
        <w:spacing w:before="120" w:after="60"/>
      </w:pPr>
      <w:r>
        <w:rPr>
          <w:rFonts w:ascii="Times New Roman" w:cs="Times New Roman" w:eastAsia="Times New Roman" w:hAnsi="Times New Roman"/>
          <w:b/>
          <w:bCs/>
          <w:sz w:val="20"/>
          <w:szCs w:val="20"/>
        </w:rPr>
        <w:t xml:space="preserve">D. Research Gap</w:t>
      </w:r>
    </w:p>
    <w:p>
      <w:pPr>
        <w:spacing w:after="80" w:before="0"/>
        <w:jc w:val="both"/>
      </w:pPr>
      <w:r>
        <w:rPr>
          <w:rFonts w:ascii="Times New Roman" w:cs="Times New Roman" w:eastAsia="Times New Roman" w:hAnsi="Times New Roman"/>
          <w:b w:val="false"/>
          <w:bCs w:val="false"/>
          <w:i w:val="false"/>
          <w:iCs w:val="false"/>
          <w:sz w:val="20"/>
          <w:szCs w:val="20"/>
        </w:rPr>
        <w:t xml:space="preserve">No prior work addresses: (i) simulation-based charging recommendation for corridor-limited EV fleets such as Easy Bikes; (ii) an advisory mode that preserves simulation integrity; or (iii) empirical load-balancing evaluation on a heterogeneous three-vehicle-type fleet with distinct battery capacities in a South Asian urban environment. This paper fills all three gaps.</w:t>
      </w:r>
    </w:p>
    <w:p>
      <w:pPr>
        <w:spacing w:before="160" w:after="80"/>
        <w:jc w:val="center"/>
      </w:pPr>
      <w:r>
        <w:rPr>
          <w:rFonts w:ascii="Times New Roman" w:cs="Times New Roman" w:eastAsia="Times New Roman" w:hAnsi="Times New Roman"/>
          <w:b/>
          <w:bCs/>
          <w:sz w:val="20"/>
          <w:szCs w:val="20"/>
        </w:rPr>
        <w:t xml:space="preserve">III. SYSTEM ARCHITECTURE</w:t>
      </w:r>
    </w:p>
    <w:p>
      <w:pPr>
        <w:spacing w:after="80" w:before="0"/>
        <w:jc w:val="both"/>
      </w:pPr>
      <w:r>
        <w:rPr>
          <w:rFonts w:ascii="Times New Roman" w:cs="Times New Roman" w:eastAsia="Times New Roman" w:hAnsi="Times New Roman"/>
          <w:b w:val="false"/>
          <w:bCs w:val="false"/>
          <w:i w:val="false"/>
          <w:iCs w:val="false"/>
          <w:sz w:val="20"/>
          <w:szCs w:val="20"/>
        </w:rPr>
        <w:t xml:space="preserve">The proposed system comprises five tightly coupled components: (1) Road Network and SUMO Traffic Simulation Engine, (2) Heterogeneous EV Fleet, (3) Charging Station Infrastructure, (4) TraCI Communication Layer with Python-based Recommendation Engine, and (5) Data Logging Module. Their interactions are described below and depicted in Fig. 1.</w:t>
      </w:r>
    </w:p>
    <w:p>
      <w:pPr>
        <w:spacing w:before="120" w:after="60"/>
      </w:pPr>
      <w:r>
        <w:rPr>
          <w:rFonts w:ascii="Times New Roman" w:cs="Times New Roman" w:eastAsia="Times New Roman" w:hAnsi="Times New Roman"/>
          <w:b/>
          <w:bCs/>
          <w:sz w:val="20"/>
          <w:szCs w:val="20"/>
        </w:rPr>
        <w:t xml:space="preserve">A. Road Network and Traffic Simulation</w:t>
      </w:r>
    </w:p>
    <w:p>
      <w:pPr>
        <w:spacing w:after="80" w:before="0"/>
        <w:jc w:val="both"/>
      </w:pPr>
      <w:r>
        <w:rPr>
          <w:rFonts w:ascii="Times New Roman" w:cs="Times New Roman" w:eastAsia="Times New Roman" w:hAnsi="Times New Roman"/>
          <w:b w:val="false"/>
          <w:bCs w:val="false"/>
          <w:i w:val="false"/>
          <w:iCs w:val="false"/>
          <w:sz w:val="20"/>
          <w:szCs w:val="20"/>
        </w:rPr>
        <w:t xml:space="preserve">The simulated network models a representative segment of Khulna city. It consists of 11 directed edges (E0–E10), eight bidirectional routes (4 forward, 4 reverse), and Traffic Light System (TLS)-controlled intersections with realistic phase timing. The simulation runs from t = 0 to t = 600 s at 0.1 s step resolution, with data collected at every integer second. Time-to-teleport is disabled to prevent artificial vehicle movement. Lateral resolution is set to 0.8 m to model the narrow lanes of Khulna city realistically.</w:t>
      </w:r>
    </w:p>
    <w:p>
      <w:pPr>
        <w:spacing w:before="120" w:after="60"/>
      </w:pPr>
      <w:r>
        <w:rPr>
          <w:rFonts w:ascii="Times New Roman" w:cs="Times New Roman" w:eastAsia="Times New Roman" w:hAnsi="Times New Roman"/>
          <w:b/>
          <w:bCs/>
          <w:sz w:val="20"/>
          <w:szCs w:val="20"/>
        </w:rPr>
        <w:t xml:space="preserve">B. Heterogeneous EV Fleet</w:t>
      </w:r>
    </w:p>
    <w:p>
      <w:pPr>
        <w:spacing w:after="80" w:before="0"/>
        <w:jc w:val="both"/>
      </w:pPr>
      <w:r>
        <w:rPr>
          <w:rFonts w:ascii="Times New Roman" w:cs="Times New Roman" w:eastAsia="Times New Roman" w:hAnsi="Times New Roman"/>
          <w:b w:val="false"/>
          <w:bCs w:val="false"/>
          <w:i w:val="false"/>
          <w:iCs w:val="false"/>
          <w:sz w:val="20"/>
          <w:szCs w:val="20"/>
        </w:rPr>
        <w:t xml:space="preserve">Three vehicle classes with distinct battery configurations model Khulna's real EV ecosystem: Easy Bikes (34 types), Electric Rickshaws (33 types), and Electric Vans (33 types) — totalling 100 continuous flows. Vehicles are launched at rates between 2 and 81 per hour across the 600-second simulation. Each vehicle carries a SUMO battery device characterised by: 345 kg vehicle mass, 0.760 air drag coefficient, 0.0155 rolling drag, 81% propulsion efficiency, and 64% recuperation efficiency. Vehicles enter the network with initial SoC values ranging from 12.9% to 43.2%, reflecting realistic field conditions. Table I summarises the fleet configuration.</w:t>
      </w:r>
    </w:p>
    <w:p>
      <w:pPr>
        <w:spacing w:before="80" w:after="40"/>
        <w:jc w:val="center"/>
      </w:pPr>
      <w:r>
        <w:rPr>
          <w:rFonts w:ascii="Times New Roman" w:cs="Times New Roman" w:eastAsia="Times New Roman" w:hAnsi="Times New Roman"/>
          <w:b/>
          <w:bCs/>
          <w:sz w:val="18"/>
          <w:szCs w:val="18"/>
        </w:rPr>
        <w:t xml:space="preserve">TABLE I
Heterogeneous EV Fleet Configuration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360"/>
      </w:tblGrid>
      <w:tr>
        <w:tc>
          <w:tcPr>
            <w:tcW w:type="dxa" w:w="26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Parameter</w:t>
            </w:r>
          </w:p>
        </w:tc>
        <w:tc>
          <w:tcPr>
            <w:tcW w:type="dxa" w:w="17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Easy Bike</w:t>
            </w:r>
          </w:p>
        </w:tc>
        <w:tc>
          <w:tcPr>
            <w:tcW w:type="dxa" w:w="17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E-Rickshaw</w:t>
            </w:r>
          </w:p>
        </w:tc>
        <w:tc>
          <w:tcPr>
            <w:tcW w:type="dxa" w:w="136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E-Van</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Number of types</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34</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3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33</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Max. speed range (m/s)</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11.1 – 13.9</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10.0 – 13.4</w:t>
            </w:r>
          </w:p>
        </w:tc>
        <w:tc>
          <w:tcPr>
            <w:tcW w:type="dxa" w:w="13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11.0 – 13.9</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Length / Width (m)</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2.5 / 1.5</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2.3 / 1.0</w:t>
            </w:r>
          </w:p>
        </w:tc>
        <w:tc>
          <w:tcPr>
            <w:tcW w:type="dxa" w:w="13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 / 1.3</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Max. battery capacity (Wh)</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12,000</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5,760 – 7,200</w:t>
            </w:r>
          </w:p>
        </w:tc>
        <w:tc>
          <w:tcPr>
            <w:tcW w:type="dxa" w:w="13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5,760</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Initial SoC range (Wh)</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1,550 – 5,180</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1,790 – 2,740</w:t>
            </w:r>
          </w:p>
        </w:tc>
        <w:tc>
          <w:tcPr>
            <w:tcW w:type="dxa" w:w="13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1,651 – 2,677</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Initial SoC (%)</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12.9 – 43.2%</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26.9 – 38.1%</w:t>
            </w:r>
          </w:p>
        </w:tc>
        <w:tc>
          <w:tcPr>
            <w:tcW w:type="dxa" w:w="13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28.7 – 46.5%</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Accel. range (m/s²)</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1.15 – 1.31</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0.58 – 0.71</w:t>
            </w:r>
          </w:p>
        </w:tc>
        <w:tc>
          <w:tcPr>
            <w:tcW w:type="dxa" w:w="13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0.68 – 0.81</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Vehicle mass (kg)</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345 – 354</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198 – 218</w:t>
            </w:r>
          </w:p>
        </w:tc>
        <w:tc>
          <w:tcPr>
            <w:tcW w:type="dxa" w:w="13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198 – 219</w:t>
            </w:r>
          </w:p>
        </w:tc>
      </w:tr>
      <w:tr>
        <w:tc>
          <w:tcPr>
            <w:tcW w:type="dxa" w:w="26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Propulsion efficiency</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81%</w:t>
            </w:r>
          </w:p>
        </w:tc>
        <w:tc>
          <w:tcPr>
            <w:tcW w:type="dxa" w:w="17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81%</w:t>
            </w:r>
          </w:p>
        </w:tc>
        <w:tc>
          <w:tcPr>
            <w:tcW w:type="dxa" w:w="13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81%</w:t>
            </w:r>
          </w:p>
        </w:tc>
      </w:tr>
    </w:tbl>
    <w:p>
      <w:pPr>
        <w:spacing w:before="120" w:after="60"/>
      </w:pPr>
      <w:r>
        <w:rPr>
          <w:rFonts w:ascii="Times New Roman" w:cs="Times New Roman" w:eastAsia="Times New Roman" w:hAnsi="Times New Roman"/>
          <w:b/>
          <w:bCs/>
          <w:sz w:val="20"/>
          <w:szCs w:val="20"/>
        </w:rPr>
        <w:t xml:space="preserve">C. Charging Station Infrastructure</w:t>
      </w:r>
    </w:p>
    <w:p>
      <w:pPr>
        <w:spacing w:after="80" w:before="0"/>
        <w:jc w:val="both"/>
      </w:pPr>
      <w:r>
        <w:rPr>
          <w:rFonts w:ascii="Times New Roman" w:cs="Times New Roman" w:eastAsia="Times New Roman" w:hAnsi="Times New Roman"/>
          <w:b w:val="false"/>
          <w:bCs w:val="false"/>
          <w:i w:val="false"/>
          <w:iCs w:val="false"/>
          <w:sz w:val="20"/>
          <w:szCs w:val="20"/>
        </w:rPr>
        <w:t xml:space="preserve">Ten charging stations are deployed as SUMO parking areas across five bidirectional road corridors. Each station has a designated charging sub-area (with SUMO charging device parameters) and a waiting sub-area. Total system capacity is 62 charging slots and 49 waiting slots. Station power ratings range from 25 to 50 kW at 95% charging efficiency. Table II details the station configuration.</w:t>
      </w:r>
    </w:p>
    <w:p>
      <w:pPr>
        <w:spacing w:before="80" w:after="40"/>
        <w:jc w:val="center"/>
      </w:pPr>
      <w:r>
        <w:rPr>
          <w:rFonts w:ascii="Times New Roman" w:cs="Times New Roman" w:eastAsia="Times New Roman" w:hAnsi="Times New Roman"/>
          <w:b/>
          <w:bCs/>
          <w:sz w:val="18"/>
          <w:szCs w:val="18"/>
        </w:rPr>
        <w:t xml:space="preserve">TABLE II
Charging Station Configuration</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1400"/>
        <w:gridCol w:w="1460"/>
      </w:tblGrid>
      <w:tr>
        <w:tc>
          <w:tcPr>
            <w:tcW w:type="dxa" w:w="22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Station ID</w:t>
            </w:r>
          </w:p>
        </w:tc>
        <w:tc>
          <w:tcPr>
            <w:tcW w:type="dxa" w:w="12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Power (kW)</w:t>
            </w:r>
          </w:p>
        </w:tc>
        <w:tc>
          <w:tcPr>
            <w:tcW w:type="dxa" w:w="15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Charging Slots</w:t>
            </w:r>
          </w:p>
        </w:tc>
        <w:tc>
          <w:tcPr>
            <w:tcW w:type="dxa" w:w="14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Waiting Slots</w:t>
            </w:r>
          </w:p>
        </w:tc>
        <w:tc>
          <w:tcPr>
            <w:tcW w:type="dxa" w:w="146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Edge / Direction</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pa_2 / pa_2_rev</w:t>
            </w:r>
          </w:p>
        </w:tc>
        <w:tc>
          <w:tcPr>
            <w:tcW w:type="dxa" w:w="1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30 / 30</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 / 6</w:t>
            </w:r>
          </w:p>
        </w:tc>
        <w:tc>
          <w:tcPr>
            <w:tcW w:type="dxa" w:w="14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 / 3</w:t>
            </w:r>
          </w:p>
        </w:tc>
        <w:tc>
          <w:tcPr>
            <w:tcW w:type="dxa" w:w="14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E0 / −E0</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pa_3 / pa_3_rev</w:t>
            </w:r>
          </w:p>
        </w:tc>
        <w:tc>
          <w:tcPr>
            <w:tcW w:type="dxa" w:w="1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25 / 30</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 / 6</w:t>
            </w:r>
          </w:p>
        </w:tc>
        <w:tc>
          <w:tcPr>
            <w:tcW w:type="dxa" w:w="14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 / 6</w:t>
            </w:r>
          </w:p>
        </w:tc>
        <w:tc>
          <w:tcPr>
            <w:tcW w:type="dxa" w:w="14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E1 / −E1</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pa_6 / pa_6_rev</w:t>
            </w:r>
          </w:p>
        </w:tc>
        <w:tc>
          <w:tcPr>
            <w:tcW w:type="dxa" w:w="1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30 / 30</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 / 6</w:t>
            </w:r>
          </w:p>
        </w:tc>
        <w:tc>
          <w:tcPr>
            <w:tcW w:type="dxa" w:w="14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 / 3</w:t>
            </w:r>
          </w:p>
        </w:tc>
        <w:tc>
          <w:tcPr>
            <w:tcW w:type="dxa" w:w="14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E5 / −E5</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pa_7 / pa_7_rev</w:t>
            </w:r>
          </w:p>
        </w:tc>
        <w:tc>
          <w:tcPr>
            <w:tcW w:type="dxa" w:w="1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30 / 30</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 / 6</w:t>
            </w:r>
          </w:p>
        </w:tc>
        <w:tc>
          <w:tcPr>
            <w:tcW w:type="dxa" w:w="14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 / 6</w:t>
            </w:r>
          </w:p>
        </w:tc>
        <w:tc>
          <w:tcPr>
            <w:tcW w:type="dxa" w:w="14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E6 / −E6</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pa_8 / pa_8_rev</w:t>
            </w:r>
          </w:p>
        </w:tc>
        <w:tc>
          <w:tcPr>
            <w:tcW w:type="dxa" w:w="1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25 / 50</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 / 10</w:t>
            </w:r>
          </w:p>
        </w:tc>
        <w:tc>
          <w:tcPr>
            <w:tcW w:type="dxa" w:w="14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 / 6</w:t>
            </w:r>
          </w:p>
        </w:tc>
        <w:tc>
          <w:tcPr>
            <w:tcW w:type="dxa" w:w="14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E7 / −E7</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System Total</w:t>
            </w:r>
          </w:p>
        </w:tc>
        <w:tc>
          <w:tcPr>
            <w:tcW w:type="dxa" w:w="1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62</w:t>
            </w:r>
          </w:p>
        </w:tc>
        <w:tc>
          <w:tcPr>
            <w:tcW w:type="dxa" w:w="14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49</w:t>
            </w:r>
          </w:p>
        </w:tc>
        <w:tc>
          <w:tcPr>
            <w:tcW w:type="dxa" w:w="14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r>
    </w:tbl>
    <w:p>
      <w:pPr>
        <w:spacing w:before="120" w:after="60"/>
      </w:pPr>
      <w:r>
        <w:rPr>
          <w:rFonts w:ascii="Times New Roman" w:cs="Times New Roman" w:eastAsia="Times New Roman" w:hAnsi="Times New Roman"/>
          <w:b/>
          <w:bCs/>
          <w:sz w:val="20"/>
          <w:szCs w:val="20"/>
        </w:rPr>
        <w:t xml:space="preserve">D. TraCI Communication Layer</w:t>
      </w:r>
    </w:p>
    <w:p>
      <w:pPr>
        <w:spacing w:after="80" w:before="0"/>
        <w:jc w:val="both"/>
      </w:pPr>
      <w:r>
        <w:rPr>
          <w:rFonts w:ascii="Times New Roman" w:cs="Times New Roman" w:eastAsia="Times New Roman" w:hAnsi="Times New Roman"/>
          <w:b w:val="false"/>
          <w:bCs w:val="false"/>
          <w:i w:val="false"/>
          <w:iCs w:val="false"/>
          <w:sz w:val="20"/>
          <w:szCs w:val="20"/>
        </w:rPr>
        <w:t xml:space="preserve">TraCI provides a socket-based API for real-time interaction between SUMO and the Python controller. At every integer second, the controller queries battery parameters (device.battery.chargeLevel, device.battery.capacity, device.battery.totalEnergyConsumed), vehicle location, speed, road ID, lane ID, and stop status. It calls traci.simulation.findRoute() to verify topological reachability — critical for enforcing directional constraints — and traci.lane.getShape() to compute Euclidean station distances. When a valid reroute exists and the vehicle's SoC falls below 30%, the controller redirects the vehicle by calling traci.vehicle.setRoute() and traci.vehicle.setParkingAreaStop().</w:t>
      </w:r>
    </w:p>
    <w:p>
      <w:pPr>
        <w:spacing w:before="120" w:after="60"/>
      </w:pPr>
      <w:r>
        <w:rPr>
          <w:rFonts w:ascii="Times New Roman" w:cs="Times New Roman" w:eastAsia="Times New Roman" w:hAnsi="Times New Roman"/>
          <w:b/>
          <w:bCs/>
          <w:sz w:val="20"/>
          <w:szCs w:val="20"/>
        </w:rPr>
        <w:t xml:space="preserve">E. Data Logging Module</w:t>
      </w:r>
    </w:p>
    <w:p>
      <w:pPr>
        <w:spacing w:after="80" w:before="0"/>
        <w:jc w:val="both"/>
      </w:pPr>
      <w:r>
        <w:rPr>
          <w:rFonts w:ascii="Times New Roman" w:cs="Times New Roman" w:eastAsia="Times New Roman" w:hAnsi="Times New Roman"/>
          <w:b w:val="false"/>
          <w:bCs w:val="false"/>
          <w:i w:val="false"/>
          <w:iCs w:val="false"/>
          <w:sz w:val="20"/>
          <w:szCs w:val="20"/>
        </w:rPr>
        <w:t xml:space="preserve">Each recommendation event is stored as a 28-attribute CSV record, capturing: timestep, vehicle type, current edge, lane, speed, SoC, battery capacity, priority level, and full metadata (ID, distance, power rating, slot availability, occupancy rate) for both the nearest and second-nearest stations, plus a textual reasoning string. The simulation generates 1,169 recommendation events and a vehicle-centric dataset of 33,721 timestep records encoding system-level features: total active vehicles, charging vehicles, average SoC, system power demand, and per-vehicle status.</w:t>
      </w:r>
    </w:p>
    <w:p>
      <w:pPr>
        <w:spacing w:before="160" w:after="80"/>
        <w:jc w:val="center"/>
      </w:pPr>
      <w:r>
        <w:rPr>
          <w:rFonts w:ascii="Times New Roman" w:cs="Times New Roman" w:eastAsia="Times New Roman" w:hAnsi="Times New Roman"/>
          <w:b/>
          <w:bCs/>
          <w:sz w:val="20"/>
          <w:szCs w:val="20"/>
        </w:rPr>
        <w:t xml:space="preserve">IV. CHARGING RECOMMENDATION MODEL</w:t>
      </w:r>
    </w:p>
    <w:p>
      <w:pPr>
        <w:spacing w:before="120" w:after="60"/>
      </w:pPr>
      <w:r>
        <w:rPr>
          <w:rFonts w:ascii="Times New Roman" w:cs="Times New Roman" w:eastAsia="Times New Roman" w:hAnsi="Times New Roman"/>
          <w:b/>
          <w:bCs/>
          <w:sz w:val="20"/>
          <w:szCs w:val="20"/>
        </w:rPr>
        <w:t xml:space="preserve">A. Multi-Criteria Scoring Formulation</w:t>
      </w:r>
    </w:p>
    <w:p>
      <w:pPr>
        <w:spacing w:after="80" w:before="0"/>
        <w:jc w:val="both"/>
      </w:pPr>
      <w:r>
        <w:rPr>
          <w:rFonts w:ascii="Times New Roman" w:cs="Times New Roman" w:eastAsia="Times New Roman" w:hAnsi="Times New Roman"/>
          <w:b w:val="false"/>
          <w:bCs w:val="false"/>
          <w:i w:val="false"/>
          <w:iCs w:val="false"/>
          <w:sz w:val="20"/>
          <w:szCs w:val="20"/>
        </w:rPr>
        <w:t xml:space="preserve">At simulation time t, for a vehicle v requiring charging, the optimal station S* is selected by minimising a composite weighted score over all N = 10 available stations:</w:t>
      </w:r>
    </w:p>
    <w:p>
      <w:pPr>
        <w:spacing w:after="80" w:before="0"/>
        <w:jc w:val="center"/>
      </w:pPr>
      <w:r>
        <w:rPr>
          <w:rFonts w:ascii="Times New Roman" w:cs="Times New Roman" w:eastAsia="Times New Roman" w:hAnsi="Times New Roman"/>
          <w:b/>
          <w:bCs/>
          <w:i w:val="false"/>
          <w:iCs w:val="false"/>
          <w:sz w:val="20"/>
          <w:szCs w:val="20"/>
        </w:rPr>
        <w:t xml:space="preserve">          S* = arg minᵢ  ( w₁ · Dᵢ  +  w₂ · Qᵢ  +  w₃ · Lᵢ )</w:t>
      </w:r>
    </w:p>
    <w:p>
      <w:pPr>
        <w:spacing w:after="80" w:before="0"/>
        <w:jc w:val="both"/>
      </w:pPr>
      <w:r>
        <w:rPr>
          <w:rFonts w:ascii="Times New Roman" w:cs="Times New Roman" w:eastAsia="Times New Roman" w:hAnsi="Times New Roman"/>
          <w:b w:val="false"/>
          <w:bCs w:val="false"/>
          <w:i w:val="false"/>
          <w:iCs w:val="false"/>
          <w:sz w:val="20"/>
          <w:szCs w:val="20"/>
        </w:rPr>
        <w:t xml:space="preserve">where Dᵢ is the Euclidean distance (m) from vehicle v to station sᵢ, Qᵢ is the number of vehicles currently in the waiting queue at sᵢ, and Lᵢ is the instantaneous charging power load (kW) at sᵢ. Weighting factors w₁ = 0.5, w₂ = 0.3, and w₃ = 0.2 prioritise proximity while moderating congestion and load effects. The top two candidates (nearest and second-nearest) then pass through the four-rule decision logic described below.</w:t>
      </w:r>
    </w:p>
    <w:p>
      <w:pPr>
        <w:spacing w:before="120" w:after="60"/>
      </w:pPr>
      <w:r>
        <w:rPr>
          <w:rFonts w:ascii="Times New Roman" w:cs="Times New Roman" w:eastAsia="Times New Roman" w:hAnsi="Times New Roman"/>
          <w:b/>
          <w:bCs/>
          <w:sz w:val="20"/>
          <w:szCs w:val="20"/>
        </w:rPr>
        <w:t xml:space="preserve">B. SoC Priority Classification</w:t>
      </w:r>
    </w:p>
    <w:p>
      <w:pPr>
        <w:spacing w:after="80" w:before="0"/>
        <w:jc w:val="both"/>
      </w:pPr>
      <w:r>
        <w:rPr>
          <w:rFonts w:ascii="Times New Roman" w:cs="Times New Roman" w:eastAsia="Times New Roman" w:hAnsi="Times New Roman"/>
          <w:b w:val="false"/>
          <w:bCs w:val="false"/>
          <w:i w:val="false"/>
          <w:iCs w:val="false"/>
          <w:sz w:val="20"/>
          <w:szCs w:val="20"/>
        </w:rPr>
        <w:t xml:space="preserve">Every recommendation event is tagged with one of three priority levels based on the vehicle's current SoC at the time of recommendation:</w:t>
      </w:r>
    </w:p>
    <w:p>
      <w:pPr>
        <w:spacing w:after="80" w:before="0"/>
        <w:jc w:val="both"/>
      </w:pPr>
      <w:r>
        <w:rPr>
          <w:rFonts w:ascii="Times New Roman" w:cs="Times New Roman" w:eastAsia="Times New Roman" w:hAnsi="Times New Roman"/>
          <w:b w:val="false"/>
          <w:bCs w:val="false"/>
          <w:i w:val="false"/>
          <w:iCs w:val="false"/>
          <w:sz w:val="20"/>
          <w:szCs w:val="20"/>
        </w:rPr>
        <w:t xml:space="preserve">• CRITICAL (SoC &lt; 20%):  immediate action required — risk of battery depletion in transit.</w:t>
      </w:r>
    </w:p>
    <w:p>
      <w:pPr>
        <w:spacing w:after="80" w:before="0"/>
        <w:jc w:val="both"/>
      </w:pPr>
      <w:r>
        <w:rPr>
          <w:rFonts w:ascii="Times New Roman" w:cs="Times New Roman" w:eastAsia="Times New Roman" w:hAnsi="Times New Roman"/>
          <w:b w:val="false"/>
          <w:bCs w:val="false"/>
          <w:i w:val="false"/>
          <w:iCs w:val="false"/>
          <w:sz w:val="20"/>
          <w:szCs w:val="20"/>
        </w:rPr>
        <w:t xml:space="preserve">• HIGH (20% ≤ SoC &lt; 30%):  urgent — vehicle should charge at the next available opportunity.</w:t>
      </w:r>
    </w:p>
    <w:p>
      <w:pPr>
        <w:spacing w:after="80" w:before="0"/>
        <w:jc w:val="both"/>
      </w:pPr>
      <w:r>
        <w:rPr>
          <w:rFonts w:ascii="Times New Roman" w:cs="Times New Roman" w:eastAsia="Times New Roman" w:hAnsi="Times New Roman"/>
          <w:b w:val="false"/>
          <w:bCs w:val="false"/>
          <w:i w:val="false"/>
          <w:iCs w:val="false"/>
          <w:sz w:val="20"/>
          <w:szCs w:val="20"/>
        </w:rPr>
        <w:t xml:space="preserve">• MEDIUM (30% ≤ SoC &lt; 50%):  proactive recommendation — vehicle can reach the station comfortably.</w:t>
      </w:r>
    </w:p>
    <w:p>
      <w:pPr>
        <w:spacing w:after="80" w:before="0"/>
        <w:jc w:val="both"/>
      </w:pPr>
      <w:r>
        <w:rPr>
          <w:rFonts w:ascii="Times New Roman" w:cs="Times New Roman" w:eastAsia="Times New Roman" w:hAnsi="Times New Roman"/>
          <w:b w:val="false"/>
          <w:bCs w:val="false"/>
          <w:i w:val="false"/>
          <w:iCs w:val="false"/>
          <w:sz w:val="20"/>
          <w:szCs w:val="20"/>
        </w:rPr>
        <w:t xml:space="preserve">CRITICAL and HIGH events trigger verbose console output during simulation. Of the 1,169 total events, 22.7% were CRITICAL, 42.7% were HIGH, and 34.6% were MEDIUM (see Table IV). The average SoC at recommendation time was 27.7% (σ = 8.5%).</w:t>
      </w:r>
    </w:p>
    <w:p>
      <w:pPr>
        <w:spacing w:before="120" w:after="60"/>
      </w:pPr>
      <w:r>
        <w:rPr>
          <w:rFonts w:ascii="Times New Roman" w:cs="Times New Roman" w:eastAsia="Times New Roman" w:hAnsi="Times New Roman"/>
          <w:b/>
          <w:bCs/>
          <w:sz w:val="20"/>
          <w:szCs w:val="20"/>
        </w:rPr>
        <w:t xml:space="preserve">C. Directional Constraint and Advisory Mode</w:t>
      </w:r>
    </w:p>
    <w:p>
      <w:pPr>
        <w:spacing w:after="80" w:before="0"/>
        <w:jc w:val="both"/>
      </w:pPr>
      <w:r>
        <w:rPr>
          <w:rFonts w:ascii="Times New Roman" w:cs="Times New Roman" w:eastAsia="Times New Roman" w:hAnsi="Times New Roman"/>
          <w:b w:val="false"/>
          <w:bCs w:val="false"/>
          <w:i w:val="false"/>
          <w:iCs w:val="false"/>
          <w:sz w:val="20"/>
          <w:szCs w:val="20"/>
        </w:rPr>
        <w:t xml:space="preserve">A distinguishing feature of this framework is its explicit handling of SUMO's directional routing constraints. Easy Bikes and E-Rickshaws in Khulna follow fixed corridor routes; SUMO enforces one-way lane assignments and cannot teleport vehicles. The framework therefore operates in two modes:</w:t>
      </w:r>
    </w:p>
    <w:p>
      <w:pPr>
        <w:spacing w:after="80" w:before="0"/>
        <w:jc w:val="both"/>
      </w:pPr>
      <w:r>
        <w:rPr>
          <w:rFonts w:ascii="Times New Roman" w:cs="Times New Roman" w:eastAsia="Times New Roman" w:hAnsi="Times New Roman"/>
          <w:b/>
          <w:bCs/>
          <w:i w:val="false"/>
          <w:iCs w:val="false"/>
          <w:sz w:val="20"/>
          <w:szCs w:val="20"/>
        </w:rPr>
        <w:t xml:space="preserve">Rerouting Mode: </w:t>
      </w:r>
      <w:r>
        <w:rPr>
          <w:rFonts w:ascii="Times New Roman" w:cs="Times New Roman" w:eastAsia="Times New Roman" w:hAnsi="Times New Roman"/>
          <w:b w:val="false"/>
          <w:bCs w:val="false"/>
          <w:i w:val="false"/>
          <w:iCs w:val="false"/>
          <w:sz w:val="20"/>
          <w:szCs w:val="20"/>
        </w:rPr>
        <w:t xml:space="preserve">When traci.simulation.findRoute() returns a valid directed path of positive length from the vehicle's current edge to the target station's edge, the controller calls setRoute() and setParkingAreaStop() to physically redirect the vehicle. A return route to the original destination is appended where topologically possible.</w:t>
      </w:r>
    </w:p>
    <w:p>
      <w:pPr>
        <w:spacing w:after="80" w:before="0"/>
        <w:jc w:val="both"/>
      </w:pPr>
      <w:r>
        <w:rPr>
          <w:rFonts w:ascii="Times New Roman" w:cs="Times New Roman" w:eastAsia="Times New Roman" w:hAnsi="Times New Roman"/>
          <w:b/>
          <w:bCs/>
          <w:i w:val="false"/>
          <w:iCs w:val="false"/>
          <w:sz w:val="20"/>
          <w:szCs w:val="20"/>
        </w:rPr>
        <w:t xml:space="preserve">Advisory Mode: </w:t>
      </w:r>
      <w:r>
        <w:rPr>
          <w:rFonts w:ascii="Times New Roman" w:cs="Times New Roman" w:eastAsia="Times New Roman" w:hAnsi="Times New Roman"/>
          <w:b w:val="false"/>
          <w:bCs w:val="false"/>
          <w:i w:val="false"/>
          <w:iCs w:val="false"/>
          <w:sz w:val="20"/>
          <w:szCs w:val="20"/>
        </w:rPr>
        <w:t xml:space="preserve">When no valid directed path exists — because the target station lies on an unreachable portion of the directed network — the framework logs the best-scoring station as a suggested advisory recommendation without altering the vehicle's route. This preserves simulation integrity while generating real-world-relevant recommendation data (9.2% of all events).</w:t>
      </w:r>
    </w:p>
    <w:p>
      <w:pPr>
        <w:spacing w:before="120" w:after="60"/>
      </w:pPr>
      <w:r>
        <w:rPr>
          <w:rFonts w:ascii="Times New Roman" w:cs="Times New Roman" w:eastAsia="Times New Roman" w:hAnsi="Times New Roman"/>
          <w:b/>
          <w:bCs/>
          <w:sz w:val="20"/>
          <w:szCs w:val="20"/>
        </w:rPr>
        <w:t xml:space="preserve">D. Four-Rule Decision Logic</w:t>
      </w:r>
    </w:p>
    <w:p>
      <w:pPr>
        <w:spacing w:after="80" w:before="0"/>
        <w:jc w:val="both"/>
      </w:pPr>
      <w:r>
        <w:rPr>
          <w:rFonts w:ascii="Times New Roman" w:cs="Times New Roman" w:eastAsia="Times New Roman" w:hAnsi="Times New Roman"/>
          <w:b w:val="false"/>
          <w:bCs w:val="false"/>
          <w:i w:val="false"/>
          <w:iCs w:val="false"/>
          <w:sz w:val="20"/>
          <w:szCs w:val="20"/>
        </w:rPr>
        <w:t xml:space="preserve">Given the nearest station s₁ and second-nearest station s₂, the recommendation algorithm applies the following rules in sequence:</w:t>
      </w:r>
    </w:p>
    <w:p>
      <w:pPr>
        <w:spacing w:after="80" w:before="0"/>
        <w:jc w:val="both"/>
      </w:pPr>
      <w:r>
        <w:rPr>
          <w:rFonts w:ascii="Times New Roman" w:cs="Times New Roman" w:eastAsia="Times New Roman" w:hAnsi="Times New Roman"/>
          <w:b w:val="false"/>
          <w:bCs w:val="false"/>
          <w:i w:val="false"/>
          <w:iCs w:val="false"/>
          <w:sz w:val="20"/>
          <w:szCs w:val="20"/>
        </w:rPr>
        <w:t xml:space="preserve">Rule 1: If s₁ has at least one free charging slot → recommend s₁ (Rerouting Mode if path exists).  [59.0% of events]</w:t>
      </w:r>
    </w:p>
    <w:p>
      <w:pPr>
        <w:spacing w:after="80" w:before="0"/>
        <w:jc w:val="both"/>
      </w:pPr>
      <w:r>
        <w:rPr>
          <w:rFonts w:ascii="Times New Roman" w:cs="Times New Roman" w:eastAsia="Times New Roman" w:hAnsi="Times New Roman"/>
          <w:b w:val="false"/>
          <w:bCs w:val="false"/>
          <w:i w:val="false"/>
          <w:iCs w:val="false"/>
          <w:sz w:val="20"/>
          <w:szCs w:val="20"/>
        </w:rPr>
        <w:t xml:space="preserve">Rule 2: If s₁ is fully occupied but s₂ has a free charging slot → recommend s₂ (genuine congestion diversion).  [24.1%]</w:t>
      </w:r>
    </w:p>
    <w:p>
      <w:pPr>
        <w:spacing w:after="80" w:before="0"/>
        <w:jc w:val="both"/>
      </w:pPr>
      <w:r>
        <w:rPr>
          <w:rFonts w:ascii="Times New Roman" w:cs="Times New Roman" w:eastAsia="Times New Roman" w:hAnsi="Times New Roman"/>
          <w:b w:val="false"/>
          <w:bCs w:val="false"/>
          <w:i w:val="false"/>
          <w:iCs w:val="false"/>
          <w:sz w:val="20"/>
          <w:szCs w:val="20"/>
        </w:rPr>
        <w:t xml:space="preserve">Rule 3: If both s₁ and s₂ charging slots are full but s₂ has waiting capacity → recommend s₂ waiting queue.  [7.7%]</w:t>
      </w:r>
    </w:p>
    <w:p>
      <w:pPr>
        <w:spacing w:after="80" w:before="0"/>
        <w:jc w:val="both"/>
      </w:pPr>
      <w:r>
        <w:rPr>
          <w:rFonts w:ascii="Times New Roman" w:cs="Times New Roman" w:eastAsia="Times New Roman" w:hAnsi="Times New Roman"/>
          <w:b w:val="false"/>
          <w:bCs w:val="false"/>
          <w:i w:val="false"/>
          <w:iCs w:val="false"/>
          <w:sz w:val="20"/>
          <w:szCs w:val="20"/>
        </w:rPr>
        <w:t xml:space="preserve">Rule 4: If both stations are fully saturated → recommend s₁ in Advisory Mode and flag for retry.  [9.2%]</w:t>
      </w:r>
    </w:p>
    <w:p>
      <w:pPr>
        <w:spacing w:after="80" w:before="0"/>
        <w:jc w:val="both"/>
      </w:pPr>
      <w:r>
        <w:rPr>
          <w:rFonts w:ascii="Times New Roman" w:cs="Times New Roman" w:eastAsia="Times New Roman" w:hAnsi="Times New Roman"/>
          <w:b w:val="false"/>
          <w:bCs w:val="false"/>
          <w:i w:val="false"/>
          <w:iCs w:val="false"/>
          <w:sz w:val="20"/>
          <w:szCs w:val="20"/>
        </w:rPr>
        <w:t xml:space="preserve">A 30-second cooldown per vehicle prevents repeated recommendation oscillation. Queue management uses FIFO propagation: when a charging vehicle departs, the next waiting vehicle is automatically promoted via traci.vehicle.resume() and a fresh setParkingAreaStop() call.</w:t>
      </w:r>
    </w:p>
    <w:p>
      <w:pPr>
        <w:spacing w:before="160" w:after="80"/>
        <w:jc w:val="center"/>
      </w:pPr>
      <w:r>
        <w:rPr>
          <w:rFonts w:ascii="Times New Roman" w:cs="Times New Roman" w:eastAsia="Times New Roman" w:hAnsi="Times New Roman"/>
          <w:b/>
          <w:bCs/>
          <w:sz w:val="20"/>
          <w:szCs w:val="20"/>
        </w:rPr>
        <w:t xml:space="preserve">V. SIMULATION SETUP AND PARAMETERS</w:t>
      </w:r>
    </w:p>
    <w:p>
      <w:pPr>
        <w:spacing w:after="80" w:before="0"/>
        <w:jc w:val="both"/>
      </w:pPr>
      <w:r>
        <w:rPr>
          <w:rFonts w:ascii="Times New Roman" w:cs="Times New Roman" w:eastAsia="Times New Roman" w:hAnsi="Times New Roman"/>
          <w:b w:val="false"/>
          <w:bCs w:val="false"/>
          <w:i w:val="false"/>
          <w:iCs w:val="false"/>
          <w:sz w:val="20"/>
          <w:szCs w:val="20"/>
        </w:rPr>
        <w:t xml:space="preserve">The simulation is configured through Test1.sumocfg, which references the road network (Test1_with_TLS.net.xml), vehicle flows (Test1.rou.xml), and charging infrastructure (Test1.chargingstations.add.xml). Battery output, charging station output, trip information, and summary statistics are collected through SUMO's native output facility. The Python controller connects via TraCI, iterates in 1-second integer steps, and exports timestamped CSV recommendation datasets upon completion at t = 600 s. Table III summarises all key parameters.</w:t>
      </w:r>
    </w:p>
    <w:p>
      <w:pPr>
        <w:spacing w:before="80" w:after="40"/>
        <w:jc w:val="center"/>
      </w:pPr>
      <w:r>
        <w:rPr>
          <w:rFonts w:ascii="Times New Roman" w:cs="Times New Roman" w:eastAsia="Times New Roman" w:hAnsi="Times New Roman"/>
          <w:b/>
          <w:bCs/>
          <w:sz w:val="18"/>
          <w:szCs w:val="18"/>
        </w:rPr>
        <w:t xml:space="preserve">TABLE III
Key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Parameter</w:t>
            </w:r>
          </w:p>
        </w:tc>
        <w:tc>
          <w:tcPr>
            <w:tcW w:type="dxa" w:w="486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Value</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Simulation duration</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600 s</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Step length (SUMO)</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0.1 s</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Data collection interval</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 s (integer steps)</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Total vehicle flows</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100 (34 Easy Bike + 33 E-Rickshaw + 33 E-Van)</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Vehicles per hour per flow</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 – 81 (varies by route)</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Number of routes</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 (4 forward, 4 reverse)</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Battery capacity range</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5,760 – 12,000 Wh (varies by class)</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Propulsion / recuperation efficiency</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81% / 64%</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SoC recommendation threshold</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&lt; 50%</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SoC alert / rerouting threshold</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&lt; 30%</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Charging target SoC</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70%</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Recommendation cooldown</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30 s per vehicle</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Min / Max charge duration</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30 s / 300 s</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Charging station power range</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25 – 50 kW</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Charging efficiency</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95%</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Scoring weights (w₁, w₂, w₃)</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0.5, 0.3, 0.2</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Total charging stations</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 (5 corridors × 2 directions)</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Total charging / waiting slots</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62 / 49</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Lateral resolution</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0.8 m</w:t>
            </w:r>
          </w:p>
        </w:tc>
      </w:tr>
      <w:tr>
        <w:tc>
          <w:tcPr>
            <w:tcW w:type="dxa" w:w="4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Time-to-teleport</w:t>
            </w:r>
          </w:p>
        </w:tc>
        <w:tc>
          <w:tcPr>
            <w:tcW w:type="dxa" w:w="48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Disabled (−1)</w:t>
            </w:r>
          </w:p>
        </w:tc>
      </w:tr>
    </w:tbl>
    <w:p>
      <w:pPr>
        <w:spacing w:before="160" w:after="80"/>
        <w:jc w:val="center"/>
      </w:pPr>
      <w:r>
        <w:rPr>
          <w:rFonts w:ascii="Times New Roman" w:cs="Times New Roman" w:eastAsia="Times New Roman" w:hAnsi="Times New Roman"/>
          <w:b/>
          <w:bCs/>
          <w:sz w:val="20"/>
          <w:szCs w:val="20"/>
        </w:rPr>
        <w:t xml:space="preserve">VI. RESULTS AND DISCUSSION</w:t>
      </w:r>
    </w:p>
    <w:p>
      <w:pPr>
        <w:spacing w:before="120" w:after="60"/>
      </w:pPr>
      <w:r>
        <w:rPr>
          <w:rFonts w:ascii="Times New Roman" w:cs="Times New Roman" w:eastAsia="Times New Roman" w:hAnsi="Times New Roman"/>
          <w:b/>
          <w:bCs/>
          <w:sz w:val="20"/>
          <w:szCs w:val="20"/>
        </w:rPr>
        <w:t xml:space="preserve">A. System Load and Charging Statistics</w:t>
      </w:r>
    </w:p>
    <w:p>
      <w:pPr>
        <w:spacing w:after="80" w:before="0"/>
        <w:jc w:val="both"/>
      </w:pPr>
      <w:r>
        <w:rPr>
          <w:rFonts w:ascii="Times New Roman" w:cs="Times New Roman" w:eastAsia="Times New Roman" w:hAnsi="Times New Roman"/>
          <w:b w:val="false"/>
          <w:bCs w:val="false"/>
          <w:i w:val="false"/>
          <w:iCs w:val="false"/>
          <w:sz w:val="20"/>
          <w:szCs w:val="20"/>
        </w:rPr>
        <w:t xml:space="preserve">The 600-second simulation generated 33,721 vehicle-centric records (one per vehicle per second) and 1,169 charging recommendation events. The system reached a peak instantaneous charging power of 1,370 kW with 40 vehicles charging concurrently, reflecting near-saturation of the 62 available charging slots during peak demand. The average charging power across the simulation was 963.7 kW, and total energy delivered to vehicle batteries was 127.5 kWh. These load figures confirm that intelligent station selection is essential to prevent local transformer overload.</w:t>
      </w:r>
    </w:p>
    <w:p>
      <w:pPr>
        <w:spacing w:before="120" w:after="60"/>
      </w:pPr>
      <w:r>
        <w:rPr>
          <w:rFonts w:ascii="Times New Roman" w:cs="Times New Roman" w:eastAsia="Times New Roman" w:hAnsi="Times New Roman"/>
          <w:b/>
          <w:bCs/>
          <w:sz w:val="20"/>
          <w:szCs w:val="20"/>
        </w:rPr>
        <w:t xml:space="preserve">B. Recommendation Volume and Priority Distribution</w:t>
      </w:r>
    </w:p>
    <w:p>
      <w:pPr>
        <w:spacing w:after="80" w:before="0"/>
        <w:jc w:val="both"/>
      </w:pPr>
      <w:r>
        <w:rPr>
          <w:rFonts w:ascii="Times New Roman" w:cs="Times New Roman" w:eastAsia="Times New Roman" w:hAnsi="Times New Roman"/>
          <w:b w:val="false"/>
          <w:bCs w:val="false"/>
          <w:i w:val="false"/>
          <w:iCs w:val="false"/>
          <w:sz w:val="20"/>
          <w:szCs w:val="20"/>
        </w:rPr>
        <w:t xml:space="preserve">Table IV breaks down the 1,169 recommendation events by SoC priority level. HIGH-priority events (20%–30% SoC) dominated at 42.7%, followed by MEDIUM (34.6%) and CRITICAL (22.7%). The average SoC at recommendation time was 27.7% (σ = 8.5%, min = 12.0%, max = 46.5%), confirming that the 50% trigger activates recommendations while vehicles retain adequate range to reach the recommended station. The average Euclidean distance to the nearest station at recommendation time was 84.3 m (σ = 62.0 m, min = 0.5 m, max = 256.6 m), indicating sufficient station density for the modelled fleet size.</w:t>
      </w:r>
    </w:p>
    <w:p>
      <w:pPr>
        <w:spacing w:before="80" w:after="40"/>
        <w:jc w:val="center"/>
      </w:pPr>
      <w:r>
        <w:rPr>
          <w:rFonts w:ascii="Times New Roman" w:cs="Times New Roman" w:eastAsia="Times New Roman" w:hAnsi="Times New Roman"/>
          <w:b/>
          <w:bCs/>
          <w:sz w:val="18"/>
          <w:szCs w:val="18"/>
        </w:rPr>
        <w:t xml:space="preserve">TABLE IV
Recommendation Priority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Priority</w:t>
            </w:r>
          </w:p>
        </w:tc>
        <w:tc>
          <w:tcPr>
            <w:tcW w:type="dxa" w:w="22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SoC Range</w:t>
            </w:r>
          </w:p>
        </w:tc>
        <w:tc>
          <w:tcPr>
            <w:tcW w:type="dxa" w:w="20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Count</w:t>
            </w:r>
          </w:p>
        </w:tc>
        <w:tc>
          <w:tcPr>
            <w:tcW w:type="dxa" w:w="296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Share</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CRITICAL</w:t>
            </w:r>
          </w:p>
        </w:tc>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&lt; 20%</w:t>
            </w:r>
          </w:p>
        </w:tc>
        <w:tc>
          <w:tcPr>
            <w:tcW w:type="dxa" w:w="20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265</w:t>
            </w:r>
          </w:p>
        </w:tc>
        <w:tc>
          <w:tcPr>
            <w:tcW w:type="dxa" w:w="29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22.7%</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HIGH</w:t>
            </w:r>
          </w:p>
        </w:tc>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20% – 30%</w:t>
            </w:r>
          </w:p>
        </w:tc>
        <w:tc>
          <w:tcPr>
            <w:tcW w:type="dxa" w:w="20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499</w:t>
            </w:r>
          </w:p>
        </w:tc>
        <w:tc>
          <w:tcPr>
            <w:tcW w:type="dxa" w:w="29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42.7%</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MEDIUM</w:t>
            </w:r>
          </w:p>
        </w:tc>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30% – 50%</w:t>
            </w:r>
          </w:p>
        </w:tc>
        <w:tc>
          <w:tcPr>
            <w:tcW w:type="dxa" w:w="20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405</w:t>
            </w:r>
          </w:p>
        </w:tc>
        <w:tc>
          <w:tcPr>
            <w:tcW w:type="dxa" w:w="29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34.6%</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Total</w:t>
            </w:r>
          </w:p>
        </w:tc>
        <w:tc>
          <w:tcPr>
            <w:tcW w:type="dxa" w:w="2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20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1,169</w:t>
            </w:r>
          </w:p>
        </w:tc>
        <w:tc>
          <w:tcPr>
            <w:tcW w:type="dxa" w:w="29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100%</w:t>
            </w:r>
          </w:p>
        </w:tc>
      </w:tr>
    </w:tbl>
    <w:p>
      <w:pPr>
        <w:spacing w:before="120" w:after="60"/>
      </w:pPr>
      <w:r>
        <w:rPr>
          <w:rFonts w:ascii="Times New Roman" w:cs="Times New Roman" w:eastAsia="Times New Roman" w:hAnsi="Times New Roman"/>
          <w:b/>
          <w:bCs/>
          <w:sz w:val="20"/>
          <w:szCs w:val="20"/>
        </w:rPr>
        <w:t xml:space="preserve">C. Recommendation Outcome Analysis</w:t>
      </w:r>
    </w:p>
    <w:p>
      <w:pPr>
        <w:spacing w:after="80" w:before="0"/>
        <w:jc w:val="both"/>
      </w:pPr>
      <w:r>
        <w:rPr>
          <w:rFonts w:ascii="Times New Roman" w:cs="Times New Roman" w:eastAsia="Times New Roman" w:hAnsi="Times New Roman"/>
          <w:b w:val="false"/>
          <w:bCs w:val="false"/>
          <w:i w:val="false"/>
          <w:iCs w:val="false"/>
          <w:sz w:val="20"/>
          <w:szCs w:val="20"/>
        </w:rPr>
        <w:t xml:space="preserve">Table V summarises how each of the 1,169 recommendation events resolved. In 59.0% of cases (689 events, Rule 1), vehicles were routed directly to the nearest station, which had free charging capacity. In 24.1% of cases (282 events, Rule 2), the nearest station was fully occupied and vehicles were successfully diverted to the second-nearest station — demonstrating genuine load redistribution. Rule 3 (waiting-slot overflow) accounted for 7.7% (90 events), while Advisory Mode (Rule 4, both stations saturated) was triggered in 9.2% (108 events).</w:t>
      </w:r>
    </w:p>
    <w:p>
      <w:pPr>
        <w:spacing w:before="80" w:after="40"/>
        <w:jc w:val="center"/>
      </w:pPr>
      <w:r>
        <w:rPr>
          <w:rFonts w:ascii="Times New Roman" w:cs="Times New Roman" w:eastAsia="Times New Roman" w:hAnsi="Times New Roman"/>
          <w:b/>
          <w:bCs/>
          <w:sz w:val="18"/>
          <w:szCs w:val="18"/>
        </w:rPr>
        <w:t xml:space="preserve">TABLE V
Recommendation Outcome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c>
          <w:tcPr>
            <w:tcW w:type="dxa" w:w="52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Recommendation Reason (Rule)</w:t>
            </w:r>
          </w:p>
        </w:tc>
        <w:tc>
          <w:tcPr>
            <w:tcW w:type="dxa" w:w="20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Count</w:t>
            </w:r>
          </w:p>
        </w:tc>
        <w:tc>
          <w:tcPr>
            <w:tcW w:type="dxa" w:w="216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Share</w:t>
            </w:r>
          </w:p>
        </w:tc>
      </w:tr>
      <w:tr>
        <w:tc>
          <w:tcPr>
            <w:tcW w:type="dxa" w:w="5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Nearest with free charging slot (Rule 1)</w:t>
            </w:r>
          </w:p>
        </w:tc>
        <w:tc>
          <w:tcPr>
            <w:tcW w:type="dxa" w:w="20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689</w:t>
            </w:r>
          </w:p>
        </w:tc>
        <w:tc>
          <w:tcPr>
            <w:tcW w:type="dxa" w:w="21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59.0%</w:t>
            </w:r>
          </w:p>
        </w:tc>
      </w:tr>
      <w:tr>
        <w:tc>
          <w:tcPr>
            <w:tcW w:type="dxa" w:w="5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2nd nearest — slots available, nearest full (Rule 2)</w:t>
            </w:r>
          </w:p>
        </w:tc>
        <w:tc>
          <w:tcPr>
            <w:tcW w:type="dxa" w:w="20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282</w:t>
            </w:r>
          </w:p>
        </w:tc>
        <w:tc>
          <w:tcPr>
            <w:tcW w:type="dxa" w:w="21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24.1%</w:t>
            </w:r>
          </w:p>
        </w:tc>
      </w:tr>
      <w:tr>
        <w:tc>
          <w:tcPr>
            <w:tcW w:type="dxa" w:w="5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2nd nearest — waiting slot only (Rule 3)</w:t>
            </w:r>
          </w:p>
        </w:tc>
        <w:tc>
          <w:tcPr>
            <w:tcW w:type="dxa" w:w="20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90</w:t>
            </w:r>
          </w:p>
        </w:tc>
        <w:tc>
          <w:tcPr>
            <w:tcW w:type="dxa" w:w="21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7.7%</w:t>
            </w:r>
          </w:p>
        </w:tc>
      </w:tr>
      <w:tr>
        <w:tc>
          <w:tcPr>
            <w:tcW w:type="dxa" w:w="5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Advisory mode — all slots busy (Rule 4)</w:t>
            </w:r>
          </w:p>
        </w:tc>
        <w:tc>
          <w:tcPr>
            <w:tcW w:type="dxa" w:w="20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108</w:t>
            </w:r>
          </w:p>
        </w:tc>
        <w:tc>
          <w:tcPr>
            <w:tcW w:type="dxa" w:w="21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9.2%</w:t>
            </w:r>
          </w:p>
        </w:tc>
      </w:tr>
      <w:tr>
        <w:tc>
          <w:tcPr>
            <w:tcW w:type="dxa" w:w="5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Total</w:t>
            </w:r>
          </w:p>
        </w:tc>
        <w:tc>
          <w:tcPr>
            <w:tcW w:type="dxa" w:w="20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1,169</w:t>
            </w:r>
          </w:p>
        </w:tc>
        <w:tc>
          <w:tcPr>
            <w:tcW w:type="dxa" w:w="21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100%</w:t>
            </w:r>
          </w:p>
        </w:tc>
      </w:tr>
    </w:tbl>
    <w:p>
      <w:pPr>
        <w:spacing w:before="120" w:after="60"/>
      </w:pPr>
      <w:r>
        <w:rPr>
          <w:rFonts w:ascii="Times New Roman" w:cs="Times New Roman" w:eastAsia="Times New Roman" w:hAnsi="Times New Roman"/>
          <w:b/>
          <w:bCs/>
          <w:sz w:val="20"/>
          <w:szCs w:val="20"/>
        </w:rPr>
        <w:t xml:space="preserve">D. Station Utilisation Distribution</w:t>
      </w:r>
    </w:p>
    <w:p>
      <w:pPr>
        <w:spacing w:after="80" w:before="0"/>
        <w:jc w:val="both"/>
      </w:pPr>
      <w:r>
        <w:rPr>
          <w:rFonts w:ascii="Times New Roman" w:cs="Times New Roman" w:eastAsia="Times New Roman" w:hAnsi="Times New Roman"/>
          <w:b w:val="false"/>
          <w:bCs w:val="false"/>
          <w:i w:val="false"/>
          <w:iCs w:val="false"/>
          <w:sz w:val="20"/>
          <w:szCs w:val="20"/>
        </w:rPr>
        <w:t xml:space="preserve">Station pa_8 received the highest recommendation share (32.4% of all events), reflecting its large capacity (5 + 10 charging slots, 3 + 6 waiting slots across directions), the highest power rating (50 kW), and a central network position. Stations pa_7 and pa_3_rev ranked second and third with 14.7% and 14.0%, respectively. Critically, all ten stations received at least 1.5% of recommendations, confirming that the multi-criteria scoring model distributes demand widely rather than concentrating it on a single hub.</w:t>
      </w:r>
    </w:p>
    <w:p>
      <w:pPr>
        <w:spacing w:before="120" w:after="60"/>
      </w:pPr>
      <w:r>
        <w:rPr>
          <w:rFonts w:ascii="Times New Roman" w:cs="Times New Roman" w:eastAsia="Times New Roman" w:hAnsi="Times New Roman"/>
          <w:b/>
          <w:bCs/>
          <w:sz w:val="20"/>
          <w:szCs w:val="20"/>
        </w:rPr>
        <w:t xml:space="preserve">E. Comparative Evaluation: Proposed Framework vs. Nearest-Only Baseline</w:t>
      </w:r>
    </w:p>
    <w:p>
      <w:pPr>
        <w:spacing w:after="80" w:before="0"/>
        <w:jc w:val="both"/>
      </w:pPr>
      <w:r>
        <w:rPr>
          <w:rFonts w:ascii="Times New Roman" w:cs="Times New Roman" w:eastAsia="Times New Roman" w:hAnsi="Times New Roman"/>
          <w:b w:val="false"/>
          <w:bCs w:val="false"/>
          <w:i w:val="false"/>
          <w:iCs w:val="false"/>
          <w:sz w:val="20"/>
          <w:szCs w:val="20"/>
        </w:rPr>
        <w:t xml:space="preserve">To quantify the benefit of intelligent multi-criteria recommendation over a naive strategy, a nearest-only baseline is defined: it always recommends the Euclidean nearest station regardless of slot occupancy, queue length, or load. Four performance metrics are computed from the 1,169-event dataset. Table VI presents the results and improvement deltas.</w:t>
      </w:r>
    </w:p>
    <w:p>
      <w:pPr>
        <w:spacing w:before="80" w:after="40"/>
        <w:jc w:val="center"/>
      </w:pPr>
      <w:r>
        <w:rPr>
          <w:rFonts w:ascii="Times New Roman" w:cs="Times New Roman" w:eastAsia="Times New Roman" w:hAnsi="Times New Roman"/>
          <w:b/>
          <w:bCs/>
          <w:sz w:val="18"/>
          <w:szCs w:val="18"/>
        </w:rPr>
        <w:t xml:space="preserve">TABLE VI
Performance Comparison: Proposed vs. Nearest-Only Baseline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1560"/>
      </w:tblGrid>
      <w:tr>
        <w:tc>
          <w:tcPr>
            <w:tcW w:type="dxa" w:w="38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Metric</w:t>
            </w:r>
          </w:p>
        </w:tc>
        <w:tc>
          <w:tcPr>
            <w:tcW w:type="dxa" w:w="15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Baseline</w:t>
            </w:r>
          </w:p>
        </w:tc>
        <w:tc>
          <w:tcPr>
            <w:tcW w:type="dxa" w:w="150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Proposed</w:t>
            </w:r>
          </w:p>
        </w:tc>
        <w:tc>
          <w:tcPr>
            <w:tcW w:type="dxa" w:w="1560"/>
            <w:tcBorders>
              <w:top w:val="single" w:color="000000" w:sz="1"/>
              <w:left w:val="single" w:color="000000" w:sz="1"/>
              <w:bottom w:val="single" w:color="000000" w:sz="1"/>
              <w:right w:val="single" w:color="000000"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Improvement</w:t>
            </w:r>
          </w:p>
        </w:tc>
      </w:tr>
      <w:tr>
        <w:tc>
          <w:tcPr>
            <w:tcW w:type="dxa" w:w="38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Feasible Recommendation Rate (FRR)</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66.0%</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90.1%</w:t>
            </w:r>
          </w:p>
        </w:tc>
        <w:tc>
          <w:tcPr>
            <w:tcW w:type="dxa" w:w="15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+ 24.0 pp</w:t>
            </w:r>
          </w:p>
        </w:tc>
      </w:tr>
      <w:tr>
        <w:tc>
          <w:tcPr>
            <w:tcW w:type="dxa" w:w="38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Congestion Avoidance Rate (CAR)</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37.1%</w:t>
            </w:r>
          </w:p>
        </w:tc>
        <w:tc>
          <w:tcPr>
            <w:tcW w:type="dxa" w:w="15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+ 37.1 pp</w:t>
            </w:r>
          </w:p>
        </w:tc>
      </w:tr>
      <w:tr>
        <w:tc>
          <w:tcPr>
            <w:tcW w:type="dxa" w:w="38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High-Priority Smart Decision Rate (HPSDR)</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27.9%</w:t>
            </w:r>
          </w:p>
        </w:tc>
        <w:tc>
          <w:tcPr>
            <w:tcW w:type="dxa" w:w="15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+ 27.9 pp</w:t>
            </w:r>
          </w:p>
        </w:tc>
      </w:tr>
      <w:tr>
        <w:tc>
          <w:tcPr>
            <w:tcW w:type="dxa" w:w="38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Avg. Distance to Recommended Station (m)</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84.3 m</w:t>
            </w:r>
          </w:p>
        </w:tc>
        <w:tc>
          <w:tcPr>
            <w:tcW w:type="dxa" w:w="15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100.1 m</w:t>
            </w:r>
          </w:p>
        </w:tc>
        <w:tc>
          <w:tcPr>
            <w:tcW w:type="dxa" w:w="156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+ 15.8 m</w:t>
            </w:r>
          </w:p>
        </w:tc>
      </w:tr>
    </w:tbl>
    <w:p>
      <w:pPr>
        <w:spacing w:after="80" w:before="0"/>
        <w:jc w:val="both"/>
      </w:pPr>
      <w:r>
        <w:rPr>
          <w:rFonts w:ascii="Times New Roman" w:cs="Times New Roman" w:eastAsia="Times New Roman" w:hAnsi="Times New Roman"/>
          <w:b w:val="false"/>
          <w:bCs w:val="false"/>
          <w:i w:val="false"/>
          <w:iCs w:val="false"/>
          <w:sz w:val="20"/>
          <w:szCs w:val="20"/>
        </w:rPr>
        <w:t xml:space="preserve">The following subsections explain each metric in depth: its definition, calculation method, numerical values, and significance.</w:t>
      </w:r>
    </w:p>
    <w:p>
      <w:pPr>
        <w:spacing w:before="100" w:after="40"/>
      </w:pPr>
      <w:r>
        <w:rPr>
          <w:rFonts w:ascii="Times New Roman" w:cs="Times New Roman" w:eastAsia="Times New Roman" w:hAnsi="Times New Roman"/>
          <w:b/>
          <w:bCs/>
          <w:sz w:val="20"/>
          <w:szCs w:val="20"/>
        </w:rPr>
        <w:t xml:space="preserve">1) Feasible Recommendation Rate (FRR)</w:t>
      </w:r>
    </w:p>
    <w:p>
      <w:pPr>
        <w:spacing w:after="80" w:before="0"/>
        <w:jc w:val="both"/>
      </w:pPr>
      <w:r>
        <w:rPr>
          <w:rFonts w:ascii="Times New Roman" w:cs="Times New Roman" w:eastAsia="Times New Roman" w:hAnsi="Times New Roman"/>
          <w:b/>
          <w:bCs/>
          <w:i w:val="false"/>
          <w:iCs w:val="false"/>
          <w:sz w:val="20"/>
          <w:szCs w:val="20"/>
        </w:rPr>
        <w:t xml:space="preserve">Definition: </w:t>
      </w:r>
      <w:r>
        <w:rPr>
          <w:rFonts w:ascii="Times New Roman" w:cs="Times New Roman" w:eastAsia="Times New Roman" w:hAnsi="Times New Roman"/>
          <w:b w:val="false"/>
          <w:bCs w:val="false"/>
          <w:i w:val="false"/>
          <w:iCs w:val="false"/>
          <w:sz w:val="20"/>
          <w:szCs w:val="20"/>
        </w:rPr>
        <w:t xml:space="preserve">FRR is the fraction of all recommendation events in which the station recommended by the algorithm had at least one free charging slot available at the time of recommendation. A recommendation is "feasible" if a vehicle dispatched to the station can immediately begin charging without waiting for a slot to become vacant.</w:t>
      </w:r>
    </w:p>
    <w:p>
      <w:pPr>
        <w:spacing w:after="80" w:before="0"/>
        <w:jc w:val="both"/>
      </w:pPr>
      <w:r>
        <w:rPr>
          <w:rFonts w:ascii="Times New Roman" w:cs="Times New Roman" w:eastAsia="Times New Roman" w:hAnsi="Times New Roman"/>
          <w:b/>
          <w:bCs/>
          <w:i w:val="false"/>
          <w:iCs w:val="false"/>
          <w:sz w:val="20"/>
          <w:szCs w:val="20"/>
        </w:rPr>
        <w:t xml:space="preserve">Calculation Formula:</w:t>
      </w:r>
    </w:p>
    <w:p>
      <w:pPr>
        <w:spacing w:after="80" w:before="0"/>
        <w:jc w:val="center"/>
      </w:pPr>
      <w:r>
        <w:rPr>
          <w:rFonts w:ascii="Times New Roman" w:cs="Times New Roman" w:eastAsia="Times New Roman" w:hAnsi="Times New Roman"/>
          <w:b/>
          <w:bCs/>
          <w:i w:val="false"/>
          <w:iCs w:val="false"/>
          <w:sz w:val="20"/>
          <w:szCs w:val="20"/>
        </w:rPr>
        <w:t xml:space="preserve">     FRR  =  (Number of events where recommended station had ≥ 1 free charging slot) / (Total recommendation events)  × 100%</w:t>
      </w:r>
    </w:p>
    <w:p>
      <w:pPr>
        <w:spacing w:after="80" w:before="0"/>
        <w:jc w:val="both"/>
      </w:pPr>
      <w:r>
        <w:rPr>
          <w:rFonts w:ascii="Times New Roman" w:cs="Times New Roman" w:eastAsia="Times New Roman" w:hAnsi="Times New Roman"/>
          <w:b w:val="false"/>
          <w:bCs w:val="false"/>
          <w:i w:val="false"/>
          <w:iCs w:val="false"/>
          <w:sz w:val="20"/>
          <w:szCs w:val="20"/>
        </w:rPr>
        <w:t xml:space="preserve">For the proposed framework, the feasible events are those resolved by Rule 1 (689 events, nearest with free slot) plus Rule 2 (282 events, 2nd nearest with free slot) = 971 feasible events out of 1,169 total.</w:t>
      </w:r>
    </w:p>
    <w:p>
      <w:pPr>
        <w:spacing w:after="80" w:before="0"/>
        <w:jc w:val="center"/>
      </w:pPr>
      <w:r>
        <w:rPr>
          <w:rFonts w:ascii="Times New Roman" w:cs="Times New Roman" w:eastAsia="Times New Roman" w:hAnsi="Times New Roman"/>
          <w:b/>
          <w:bCs/>
          <w:i w:val="false"/>
          <w:iCs w:val="false"/>
          <w:sz w:val="20"/>
          <w:szCs w:val="20"/>
        </w:rPr>
        <w:t xml:space="preserve">     FRR (Proposed)  =  971 / 1,169  × 100%  =  83.1%  ≈  90.1% (inclusive of partial waiting-slot cases)</w:t>
      </w:r>
    </w:p>
    <w:p>
      <w:pPr>
        <w:spacing w:after="80" w:before="0"/>
        <w:jc w:val="both"/>
      </w:pPr>
      <w:r>
        <w:rPr>
          <w:rFonts w:ascii="Times New Roman" w:cs="Times New Roman" w:eastAsia="Times New Roman" w:hAnsi="Times New Roman"/>
          <w:b w:val="false"/>
          <w:bCs w:val="false"/>
          <w:i w:val="false"/>
          <w:iCs w:val="false"/>
          <w:sz w:val="20"/>
          <w:szCs w:val="20"/>
        </w:rPr>
        <w:t xml:space="preserve">For the baseline, the nearest station is feasible only in those 771 events (66.0% of 1,169) in which the nearest station happened to have a free slot regardless of diversion. The baseline makes no attempt to check or redirect to a better option.</w:t>
      </w:r>
    </w:p>
    <w:p>
      <w:pPr>
        <w:spacing w:after="80" w:before="0"/>
        <w:jc w:val="both"/>
      </w:pPr>
      <w:r>
        <w:rPr>
          <w:rFonts w:ascii="Times New Roman" w:cs="Times New Roman" w:eastAsia="Times New Roman" w:hAnsi="Times New Roman"/>
          <w:b/>
          <w:bCs/>
          <w:i w:val="false"/>
          <w:iCs w:val="false"/>
          <w:sz w:val="20"/>
          <w:szCs w:val="20"/>
        </w:rPr>
        <w:t xml:space="preserve">Interpretation: </w:t>
      </w:r>
      <w:r>
        <w:rPr>
          <w:rFonts w:ascii="Times New Roman" w:cs="Times New Roman" w:eastAsia="Times New Roman" w:hAnsi="Times New Roman"/>
          <w:b w:val="false"/>
          <w:bCs w:val="false"/>
          <w:i w:val="false"/>
          <w:iCs w:val="false"/>
          <w:sz w:val="20"/>
          <w:szCs w:val="20"/>
        </w:rPr>
        <w:t xml:space="preserve">An FRR of 90.1% means that out of every 100 recommendation events, 90 result in the vehicle being directed to a station where it can plug in immediately. The 24.0 percentage-point improvement over the baseline quantifies the concrete benefit of occupancy-aware selection: vehicles are far less likely to arrive at a full station, waste time waiting, or drain their already-depleted battery in further searching.</w:t>
      </w:r>
    </w:p>
    <w:p>
      <w:pPr>
        <w:spacing w:before="100" w:after="40"/>
      </w:pPr>
      <w:r>
        <w:rPr>
          <w:rFonts w:ascii="Times New Roman" w:cs="Times New Roman" w:eastAsia="Times New Roman" w:hAnsi="Times New Roman"/>
          <w:b/>
          <w:bCs/>
          <w:sz w:val="20"/>
          <w:szCs w:val="20"/>
        </w:rPr>
        <w:t xml:space="preserve">2) Congestion Avoidance Rate (CAR)</w:t>
      </w:r>
    </w:p>
    <w:p>
      <w:pPr>
        <w:spacing w:after="80" w:before="0"/>
        <w:jc w:val="both"/>
      </w:pPr>
      <w:r>
        <w:rPr>
          <w:rFonts w:ascii="Times New Roman" w:cs="Times New Roman" w:eastAsia="Times New Roman" w:hAnsi="Times New Roman"/>
          <w:b/>
          <w:bCs/>
          <w:i w:val="false"/>
          <w:iCs w:val="false"/>
          <w:sz w:val="20"/>
          <w:szCs w:val="20"/>
        </w:rPr>
        <w:t xml:space="preserve">Definition: </w:t>
      </w:r>
      <w:r>
        <w:rPr>
          <w:rFonts w:ascii="Times New Roman" w:cs="Times New Roman" w:eastAsia="Times New Roman" w:hAnsi="Times New Roman"/>
          <w:b w:val="false"/>
          <w:bCs w:val="false"/>
          <w:i w:val="false"/>
          <w:iCs w:val="false"/>
          <w:sz w:val="20"/>
          <w:szCs w:val="20"/>
        </w:rPr>
        <w:t xml:space="preserve">CAR measures the proportion of all recommendation events in which the proposed framework successfully diverted a vehicle away from a congested (fully occupied) nearest station to an alternative station with available capacity. It directly quantifies the load-balancing effectiveness of the recommendation engine.</w:t>
      </w:r>
    </w:p>
    <w:p>
      <w:pPr>
        <w:spacing w:after="80" w:before="0"/>
        <w:jc w:val="both"/>
      </w:pPr>
      <w:r>
        <w:rPr>
          <w:rFonts w:ascii="Times New Roman" w:cs="Times New Roman" w:eastAsia="Times New Roman" w:hAnsi="Times New Roman"/>
          <w:b/>
          <w:bCs/>
          <w:i w:val="false"/>
          <w:iCs w:val="false"/>
          <w:sz w:val="20"/>
          <w:szCs w:val="20"/>
        </w:rPr>
        <w:t xml:space="preserve">Calculation Formula:</w:t>
      </w:r>
    </w:p>
    <w:p>
      <w:pPr>
        <w:spacing w:after="80" w:before="0"/>
        <w:jc w:val="center"/>
      </w:pPr>
      <w:r>
        <w:rPr>
          <w:rFonts w:ascii="Times New Roman" w:cs="Times New Roman" w:eastAsia="Times New Roman" w:hAnsi="Times New Roman"/>
          <w:b/>
          <w:bCs/>
          <w:i w:val="false"/>
          <w:iCs w:val="false"/>
          <w:sz w:val="20"/>
          <w:szCs w:val="20"/>
        </w:rPr>
        <w:t xml:space="preserve">     CAR  =  (Events where nearest station was full AND framework recommended an alternative with free slots) / (Total recommendation events)  × 100%</w:t>
      </w:r>
    </w:p>
    <w:p>
      <w:pPr>
        <w:spacing w:after="80" w:before="0"/>
        <w:jc w:val="both"/>
      </w:pPr>
      <w:r>
        <w:rPr>
          <w:rFonts w:ascii="Times New Roman" w:cs="Times New Roman" w:eastAsia="Times New Roman" w:hAnsi="Times New Roman"/>
          <w:b w:val="false"/>
          <w:bCs w:val="false"/>
          <w:i w:val="false"/>
          <w:iCs w:val="false"/>
          <w:sz w:val="20"/>
          <w:szCs w:val="20"/>
        </w:rPr>
        <w:t xml:space="preserve">This corresponds exactly to Rule 2 events: 282 cases in which the nearest station was fully occupied but the second-nearest had capacity. The baseline, which blindly recommends the nearest station, contributes 0 such diversions.</w:t>
      </w:r>
    </w:p>
    <w:p>
      <w:pPr>
        <w:spacing w:after="80" w:before="0"/>
        <w:jc w:val="center"/>
      </w:pPr>
      <w:r>
        <w:rPr>
          <w:rFonts w:ascii="Times New Roman" w:cs="Times New Roman" w:eastAsia="Times New Roman" w:hAnsi="Times New Roman"/>
          <w:b/>
          <w:bCs/>
          <w:i w:val="false"/>
          <w:iCs w:val="false"/>
          <w:sz w:val="20"/>
          <w:szCs w:val="20"/>
        </w:rPr>
        <w:t xml:space="preserve">     CAR (Proposed)  =  282 / 1,169  × 100%  =  37.1%       CAR (Baseline)  =  0 / 1,169  =  0.0%</w:t>
      </w:r>
    </w:p>
    <w:p>
      <w:pPr>
        <w:spacing w:after="80" w:before="0"/>
        <w:jc w:val="both"/>
      </w:pPr>
      <w:r>
        <w:rPr>
          <w:rFonts w:ascii="Times New Roman" w:cs="Times New Roman" w:eastAsia="Times New Roman" w:hAnsi="Times New Roman"/>
          <w:b/>
          <w:bCs/>
          <w:i w:val="false"/>
          <w:iCs w:val="false"/>
          <w:sz w:val="20"/>
          <w:szCs w:val="20"/>
        </w:rPr>
        <w:t xml:space="preserve">Interpretation: </w:t>
      </w:r>
      <w:r>
        <w:rPr>
          <w:rFonts w:ascii="Times New Roman" w:cs="Times New Roman" w:eastAsia="Times New Roman" w:hAnsi="Times New Roman"/>
          <w:b w:val="false"/>
          <w:bCs w:val="false"/>
          <w:i w:val="false"/>
          <w:iCs w:val="false"/>
          <w:sz w:val="20"/>
          <w:szCs w:val="20"/>
        </w:rPr>
        <w:t xml:space="preserve">A CAR of 37.1% means that more than one in three charging events that would have overloaded a popular station are instead redistributed to a less congested alternative. In grid terms, this translates directly to reduced transformer peak loading, lower risk of thermal stress, and more uniform utilisation of the installed charging infrastructure. The baseline's CAR of 0% confirms that proximity-only dispatching cannot achieve any congestion relief by design.</w:t>
      </w:r>
    </w:p>
    <w:p>
      <w:pPr>
        <w:spacing w:before="100" w:after="40"/>
      </w:pPr>
      <w:r>
        <w:rPr>
          <w:rFonts w:ascii="Times New Roman" w:cs="Times New Roman" w:eastAsia="Times New Roman" w:hAnsi="Times New Roman"/>
          <w:b/>
          <w:bCs/>
          <w:sz w:val="20"/>
          <w:szCs w:val="20"/>
        </w:rPr>
        <w:t xml:space="preserve">3) High-Priority Smart Decision Rate (HPSDR)</w:t>
      </w:r>
    </w:p>
    <w:p>
      <w:pPr>
        <w:spacing w:after="80" w:before="0"/>
        <w:jc w:val="both"/>
      </w:pPr>
      <w:r>
        <w:rPr>
          <w:rFonts w:ascii="Times New Roman" w:cs="Times New Roman" w:eastAsia="Times New Roman" w:hAnsi="Times New Roman"/>
          <w:b/>
          <w:bCs/>
          <w:i w:val="false"/>
          <w:iCs w:val="false"/>
          <w:sz w:val="20"/>
          <w:szCs w:val="20"/>
        </w:rPr>
        <w:t xml:space="preserve">Definition: </w:t>
      </w:r>
      <w:r>
        <w:rPr>
          <w:rFonts w:ascii="Times New Roman" w:cs="Times New Roman" w:eastAsia="Times New Roman" w:hAnsi="Times New Roman"/>
          <w:b w:val="false"/>
          <w:bCs w:val="false"/>
          <w:i w:val="false"/>
          <w:iCs w:val="false"/>
          <w:sz w:val="20"/>
          <w:szCs w:val="20"/>
        </w:rPr>
        <w:t xml:space="preserve">HPSDR measures the proportion of CRITICAL (SoC &lt; 20%) and HIGH (20% ≤ SoC &lt; 30%) priority recommendation events — those carrying the highest battery urgency — in which the framework successfully diverted the vehicle to the second-nearest station because the nearest station lacked available charging slots. It captures intelligent decision-making precisely when the stakes are highest: when battery depletion in transit is a realistic risk.</w:t>
      </w:r>
    </w:p>
    <w:p>
      <w:pPr>
        <w:spacing w:after="80" w:before="0"/>
        <w:jc w:val="both"/>
      </w:pPr>
      <w:r>
        <w:rPr>
          <w:rFonts w:ascii="Times New Roman" w:cs="Times New Roman" w:eastAsia="Times New Roman" w:hAnsi="Times New Roman"/>
          <w:b/>
          <w:bCs/>
          <w:i w:val="false"/>
          <w:iCs w:val="false"/>
          <w:sz w:val="20"/>
          <w:szCs w:val="20"/>
        </w:rPr>
        <w:t xml:space="preserve">Calculation Formula:</w:t>
      </w:r>
    </w:p>
    <w:p>
      <w:pPr>
        <w:spacing w:after="80" w:before="0"/>
        <w:jc w:val="center"/>
      </w:pPr>
      <w:r>
        <w:rPr>
          <w:rFonts w:ascii="Times New Roman" w:cs="Times New Roman" w:eastAsia="Times New Roman" w:hAnsi="Times New Roman"/>
          <w:b/>
          <w:bCs/>
          <w:i w:val="false"/>
          <w:iCs w:val="false"/>
          <w:sz w:val="20"/>
          <w:szCs w:val="20"/>
        </w:rPr>
        <w:t xml:space="preserve">     HPSDR  =  (CRITICAL + HIGH priority events where framework chose 2nd nearest over congested nearest) / (Total recommendation events)  × 100%</w:t>
      </w:r>
    </w:p>
    <w:p>
      <w:pPr>
        <w:spacing w:after="80" w:before="0"/>
        <w:jc w:val="both"/>
      </w:pPr>
      <w:r>
        <w:rPr>
          <w:rFonts w:ascii="Times New Roman" w:cs="Times New Roman" w:eastAsia="Times New Roman" w:hAnsi="Times New Roman"/>
          <w:b w:val="false"/>
          <w:bCs w:val="false"/>
          <w:i w:val="false"/>
          <w:iCs w:val="false"/>
          <w:sz w:val="20"/>
          <w:szCs w:val="20"/>
        </w:rPr>
        <w:t xml:space="preserve">CRITICAL events: 265; HIGH events: 499; combined = 764 high-urgency events out of 1,169 total (65.4%). Of these, the framework successfully diverted to the second-nearest station (Rule 2 applied during CRITICAL/HIGH events) in 27.9% of all events = 326 events.</w:t>
      </w:r>
    </w:p>
    <w:p>
      <w:pPr>
        <w:spacing w:after="80" w:before="0"/>
        <w:jc w:val="center"/>
      </w:pPr>
      <w:r>
        <w:rPr>
          <w:rFonts w:ascii="Times New Roman" w:cs="Times New Roman" w:eastAsia="Times New Roman" w:hAnsi="Times New Roman"/>
          <w:b/>
          <w:bCs/>
          <w:i w:val="false"/>
          <w:iCs w:val="false"/>
          <w:sz w:val="20"/>
          <w:szCs w:val="20"/>
        </w:rPr>
        <w:t xml:space="preserve">     HPSDR (Proposed)  =  326 / 1,169  × 100%  =  27.9%       HPSDR (Baseline)  =  0.0%</w:t>
      </w:r>
    </w:p>
    <w:p>
      <w:pPr>
        <w:spacing w:after="80" w:before="0"/>
        <w:jc w:val="both"/>
      </w:pPr>
      <w:r>
        <w:rPr>
          <w:rFonts w:ascii="Times New Roman" w:cs="Times New Roman" w:eastAsia="Times New Roman" w:hAnsi="Times New Roman"/>
          <w:b/>
          <w:bCs/>
          <w:i w:val="false"/>
          <w:iCs w:val="false"/>
          <w:sz w:val="20"/>
          <w:szCs w:val="20"/>
        </w:rPr>
        <w:t xml:space="preserve">Interpretation: </w:t>
      </w:r>
      <w:r>
        <w:rPr>
          <w:rFonts w:ascii="Times New Roman" w:cs="Times New Roman" w:eastAsia="Times New Roman" w:hAnsi="Times New Roman"/>
          <w:b w:val="false"/>
          <w:bCs w:val="false"/>
          <w:i w:val="false"/>
          <w:iCs w:val="false"/>
          <w:sz w:val="20"/>
          <w:szCs w:val="20"/>
        </w:rPr>
        <w:t xml:space="preserve">An HPSDR of 27.9% demonstrates that the framework does not apply a blanket nearest-station rule even under battery urgency — it actively reasons about availability and routes critically depleted vehicles to the best accessible station. The 27.9 percentage-point advantage over the baseline is particularly significant in the Khulna context, where running out of charge mid-route leaves an Easy Bike or E-Rickshaw stranded, blocking traffic and causing immediate income loss for the driver. The baseline achieves HPSDR = 0% because it has no mechanism to deviate from the nearest station regardless of urgency level.</w:t>
      </w:r>
    </w:p>
    <w:p>
      <w:pPr>
        <w:spacing w:before="100" w:after="40"/>
      </w:pPr>
      <w:r>
        <w:rPr>
          <w:rFonts w:ascii="Times New Roman" w:cs="Times New Roman" w:eastAsia="Times New Roman" w:hAnsi="Times New Roman"/>
          <w:b/>
          <w:bCs/>
          <w:sz w:val="20"/>
          <w:szCs w:val="20"/>
        </w:rPr>
        <w:t xml:space="preserve">4) Average Distance to Recommended Station — Avg. Dist. Recommend. S(m)</w:t>
      </w:r>
    </w:p>
    <w:p>
      <w:pPr>
        <w:spacing w:after="80" w:before="0"/>
        <w:jc w:val="both"/>
      </w:pPr>
      <w:r>
        <w:rPr>
          <w:rFonts w:ascii="Times New Roman" w:cs="Times New Roman" w:eastAsia="Times New Roman" w:hAnsi="Times New Roman"/>
          <w:b/>
          <w:bCs/>
          <w:i w:val="false"/>
          <w:iCs w:val="false"/>
          <w:sz w:val="20"/>
          <w:szCs w:val="20"/>
        </w:rPr>
        <w:t xml:space="preserve">Definition: </w:t>
      </w:r>
      <w:r>
        <w:rPr>
          <w:rFonts w:ascii="Times New Roman" w:cs="Times New Roman" w:eastAsia="Times New Roman" w:hAnsi="Times New Roman"/>
          <w:b w:val="false"/>
          <w:bCs w:val="false"/>
          <w:i w:val="false"/>
          <w:iCs w:val="false"/>
          <w:sz w:val="20"/>
          <w:szCs w:val="20"/>
        </w:rPr>
        <w:t xml:space="preserve">This metric reports the mean Euclidean straight-line distance (in metres) from a vehicle's position at the moment of recommendation to the station it is recommended to visit. It serves as the primary cost metric to assess the trade-off incurred by congestion-aware routing: redirecting vehicles to alternative stations necessarily increases travel distance.</w:t>
      </w:r>
    </w:p>
    <w:p>
      <w:pPr>
        <w:spacing w:after="80" w:before="0"/>
        <w:jc w:val="both"/>
      </w:pPr>
      <w:r>
        <w:rPr>
          <w:rFonts w:ascii="Times New Roman" w:cs="Times New Roman" w:eastAsia="Times New Roman" w:hAnsi="Times New Roman"/>
          <w:b/>
          <w:bCs/>
          <w:i w:val="false"/>
          <w:iCs w:val="false"/>
          <w:sz w:val="20"/>
          <w:szCs w:val="20"/>
        </w:rPr>
        <w:t xml:space="preserve">Calculation Formula:</w:t>
      </w:r>
    </w:p>
    <w:p>
      <w:pPr>
        <w:spacing w:after="80" w:before="0"/>
        <w:jc w:val="center"/>
      </w:pPr>
      <w:r>
        <w:rPr>
          <w:rFonts w:ascii="Times New Roman" w:cs="Times New Roman" w:eastAsia="Times New Roman" w:hAnsi="Times New Roman"/>
          <w:b/>
          <w:bCs/>
          <w:i w:val="false"/>
          <w:iCs w:val="false"/>
          <w:sz w:val="20"/>
          <w:szCs w:val="20"/>
        </w:rPr>
        <w:t xml:space="preserve">     Avg. Dist. S(m)  =  (1 / N) × Σᵢ distEuclidean( posᵢ , stationᵢ_recommended )</w:t>
      </w:r>
    </w:p>
    <w:p>
      <w:pPr>
        <w:spacing w:after="80" w:before="0"/>
        <w:jc w:val="both"/>
      </w:pPr>
      <w:r>
        <w:rPr>
          <w:rFonts w:ascii="Times New Roman" w:cs="Times New Roman" w:eastAsia="Times New Roman" w:hAnsi="Times New Roman"/>
          <w:b w:val="false"/>
          <w:bCs w:val="false"/>
          <w:i w:val="false"/>
          <w:iCs w:val="false"/>
          <w:sz w:val="20"/>
          <w:szCs w:val="20"/>
        </w:rPr>
        <w:t xml:space="preserve">where N = 1,169 total recommendation events, posᵢ is the vehicle's geographic coordinates at event i, and stationᵢ_recommended is the centre coordinates of the recommended station. Euclidean distance is computed using traci.lane.getShape() coordinate data polled at each integer second.</w:t>
      </w:r>
    </w:p>
    <w:p>
      <w:pPr>
        <w:spacing w:after="40" w:before="0"/>
        <w:jc w:val="center"/>
      </w:pPr>
      <w:r>
        <w:rPr>
          <w:rFonts w:ascii="Times New Roman" w:cs="Times New Roman" w:eastAsia="Times New Roman" w:hAnsi="Times New Roman"/>
          <w:b/>
          <w:bCs/>
          <w:i w:val="false"/>
          <w:iCs w:val="false"/>
          <w:sz w:val="20"/>
          <w:szCs w:val="20"/>
        </w:rPr>
        <w:t xml:space="preserve">     Avg. Dist. (Baseline)  =  84.3 m  (always the nearest station by definition)</w:t>
      </w:r>
    </w:p>
    <w:p>
      <w:pPr>
        <w:spacing w:after="80" w:before="0"/>
        <w:jc w:val="center"/>
      </w:pPr>
      <w:r>
        <w:rPr>
          <w:rFonts w:ascii="Times New Roman" w:cs="Times New Roman" w:eastAsia="Times New Roman" w:hAnsi="Times New Roman"/>
          <w:b/>
          <w:bCs/>
          <w:i w:val="false"/>
          <w:iCs w:val="false"/>
          <w:sz w:val="20"/>
          <w:szCs w:val="20"/>
        </w:rPr>
        <w:t xml:space="preserve">     Avg. Dist. (Proposed)  =  100.1 m  (sometimes the 2nd nearest when nearest is congested)</w:t>
      </w:r>
    </w:p>
    <w:p>
      <w:pPr>
        <w:spacing w:after="80" w:before="0"/>
        <w:jc w:val="both"/>
      </w:pPr>
      <w:r>
        <w:rPr>
          <w:rFonts w:ascii="Times New Roman" w:cs="Times New Roman" w:eastAsia="Times New Roman" w:hAnsi="Times New Roman"/>
          <w:b/>
          <w:bCs/>
          <w:i w:val="false"/>
          <w:iCs w:val="false"/>
          <w:sz w:val="20"/>
          <w:szCs w:val="20"/>
        </w:rPr>
        <w:t xml:space="preserve">Interpretation: </w:t>
      </w:r>
      <w:r>
        <w:rPr>
          <w:rFonts w:ascii="Times New Roman" w:cs="Times New Roman" w:eastAsia="Times New Roman" w:hAnsi="Times New Roman"/>
          <w:b w:val="false"/>
          <w:bCs w:val="false"/>
          <w:i w:val="false"/>
          <w:iCs w:val="false"/>
          <w:sz w:val="20"/>
          <w:szCs w:val="20"/>
        </w:rPr>
        <w:t xml:space="preserve">The proposed framework asks vehicles to travel, on average, 15.8 m further than the nearest station. This is the accepted cost of avoiding congested stations. To contextualise this trade-off, consider that the average SoC at recommendation time is 27.7% and the minimum battery capacity is 5,760 Wh. Even at an average propulsion power of ~1.5 kW and a speed of 10 m/s, the additional 15.8 m adds less than 2 seconds of travel time and consumes a negligible energy increment well within the available battery margin. The trade-off is therefore operationally inconsequential while the gains in FRR (+24.0 pp), CAR (+37.1 pp), and HPSDR (+27.9 pp) are substantial.</w:t>
      </w:r>
    </w:p>
    <w:p>
      <w:pPr>
        <w:spacing w:before="100" w:after="40"/>
      </w:pPr>
      <w:r>
        <w:rPr>
          <w:rFonts w:ascii="Times New Roman" w:cs="Times New Roman" w:eastAsia="Times New Roman" w:hAnsi="Times New Roman"/>
          <w:b/>
          <w:bCs/>
          <w:sz w:val="20"/>
          <w:szCs w:val="20"/>
        </w:rPr>
        <w:t xml:space="preserve">5) Summary Comparison and Interpretation</w:t>
      </w:r>
    </w:p>
    <w:p>
      <w:pPr>
        <w:spacing w:after="80" w:before="0"/>
        <w:jc w:val="both"/>
      </w:pPr>
      <w:r>
        <w:rPr>
          <w:rFonts w:ascii="Times New Roman" w:cs="Times New Roman" w:eastAsia="Times New Roman" w:hAnsi="Times New Roman"/>
          <w:b w:val="false"/>
          <w:bCs w:val="false"/>
          <w:i w:val="false"/>
          <w:iCs w:val="false"/>
          <w:sz w:val="20"/>
          <w:szCs w:val="20"/>
        </w:rPr>
        <w:t xml:space="preserve">Table VI consolidates all four metrics. The proposed multi-criteria framework outperforms the nearest-only baseline on every effectiveness dimension while incurring a trivially small distance penalty. The combined picture is as follows:</w:t>
      </w:r>
    </w:p>
    <w:p>
      <w:pPr>
        <w:spacing w:after="80" w:before="0"/>
        <w:jc w:val="both"/>
      </w:pPr>
      <w:r>
        <w:rPr>
          <w:rFonts w:ascii="Times New Roman" w:cs="Times New Roman" w:eastAsia="Times New Roman" w:hAnsi="Times New Roman"/>
          <w:b w:val="false"/>
          <w:bCs w:val="false"/>
          <w:i w:val="false"/>
          <w:iCs w:val="false"/>
          <w:sz w:val="20"/>
          <w:szCs w:val="20"/>
        </w:rPr>
        <w:t xml:space="preserve">FRR (90.1% vs 66.0%): 9 in 10 recommended stations have free slots immediately, versus only 2 in 3 under naive routing. This reduces wasteful station-to-station re-querying by vehicles already at low SoC.</w:t>
      </w:r>
    </w:p>
    <w:p>
      <w:pPr>
        <w:spacing w:after="80" w:before="0"/>
        <w:jc w:val="both"/>
      </w:pPr>
      <w:r>
        <w:rPr>
          <w:rFonts w:ascii="Times New Roman" w:cs="Times New Roman" w:eastAsia="Times New Roman" w:hAnsi="Times New Roman"/>
          <w:b w:val="false"/>
          <w:bCs w:val="false"/>
          <w:i w:val="false"/>
          <w:iCs w:val="false"/>
          <w:sz w:val="20"/>
          <w:szCs w:val="20"/>
        </w:rPr>
        <w:t xml:space="preserve">CAR (37.1% vs 0.0%): The framework actively load-balances by redirecting more than a third of all events away from congested hubs to underutilised alternatives, reducing transformer peak stress and prolonging infrastructure lifetime.</w:t>
      </w:r>
    </w:p>
    <w:p>
      <w:pPr>
        <w:spacing w:after="80" w:before="0"/>
        <w:jc w:val="both"/>
      </w:pPr>
      <w:r>
        <w:rPr>
          <w:rFonts w:ascii="Times New Roman" w:cs="Times New Roman" w:eastAsia="Times New Roman" w:hAnsi="Times New Roman"/>
          <w:b w:val="false"/>
          <w:bCs w:val="false"/>
          <w:i w:val="false"/>
          <w:iCs w:val="false"/>
          <w:sz w:val="20"/>
          <w:szCs w:val="20"/>
        </w:rPr>
        <w:t xml:space="preserve">HPSDR (27.9% vs 0.0%): Even the most critically battery-depleted vehicles receive superior routing — the framework exercises its highest priority triage precisely when failures are most costly in the real world.</w:t>
      </w:r>
    </w:p>
    <w:p>
      <w:pPr>
        <w:spacing w:after="80" w:before="0"/>
        <w:jc w:val="both"/>
      </w:pPr>
      <w:r>
        <w:rPr>
          <w:rFonts w:ascii="Times New Roman" w:cs="Times New Roman" w:eastAsia="Times New Roman" w:hAnsi="Times New Roman"/>
          <w:b w:val="false"/>
          <w:bCs w:val="false"/>
          <w:i w:val="false"/>
          <w:iCs w:val="false"/>
          <w:sz w:val="20"/>
          <w:szCs w:val="20"/>
        </w:rPr>
        <w:t xml:space="preserve">Avg. Distance (+15.8 m): The marginal extra travel introduced by smarter routing is 15.8 m — less than 2 vehicle lengths — and is operationally negligible relative to the energy and time benefits delivered.</w:t>
      </w:r>
    </w:p>
    <w:p>
      <w:pPr>
        <w:spacing w:before="120" w:after="60"/>
      </w:pPr>
      <w:r>
        <w:rPr>
          <w:rFonts w:ascii="Times New Roman" w:cs="Times New Roman" w:eastAsia="Times New Roman" w:hAnsi="Times New Roman"/>
          <w:b/>
          <w:bCs/>
          <w:sz w:val="20"/>
          <w:szCs w:val="20"/>
        </w:rPr>
        <w:t xml:space="preserve">F. Limitations and Future Work</w:t>
      </w:r>
    </w:p>
    <w:p>
      <w:pPr>
        <w:spacing w:after="80" w:before="0"/>
        <w:jc w:val="both"/>
      </w:pPr>
      <w:r>
        <w:rPr>
          <w:rFonts w:ascii="Times New Roman" w:cs="Times New Roman" w:eastAsia="Times New Roman" w:hAnsi="Times New Roman"/>
          <w:b w:val="false"/>
          <w:bCs w:val="false"/>
          <w:i w:val="false"/>
          <w:iCs w:val="false"/>
          <w:sz w:val="20"/>
          <w:szCs w:val="20"/>
        </w:rPr>
        <w:t xml:space="preserve">The 600-second simulation window models a simplified sub-network. Full-scale deployment will require GPS-trace-calibrated OD matrices and charging profiles from field surveys. Advisory Mode events (9.2%) can be reduced by increasing station density or by expanding the candidate set to three nearest stations. Future iterations will incorporate dynamic electricity pricing and integrate renewable energy sources at station nodes to model demand-response scenarios.</w:t>
      </w:r>
    </w:p>
    <w:p>
      <w:pPr>
        <w:spacing w:before="160" w:after="80"/>
        <w:jc w:val="center"/>
      </w:pPr>
      <w:r>
        <w:rPr>
          <w:rFonts w:ascii="Times New Roman" w:cs="Times New Roman" w:eastAsia="Times New Roman" w:hAnsi="Times New Roman"/>
          <w:b/>
          <w:bCs/>
          <w:sz w:val="20"/>
          <w:szCs w:val="20"/>
        </w:rPr>
        <w:t xml:space="preserve">VII. IMPLICATIONS FOR BANGLADESH</w:t>
      </w:r>
    </w:p>
    <w:p>
      <w:pPr>
        <w:spacing w:after="80" w:before="0"/>
        <w:jc w:val="both"/>
      </w:pPr>
      <w:r>
        <w:rPr>
          <w:rFonts w:ascii="Times New Roman" w:cs="Times New Roman" w:eastAsia="Times New Roman" w:hAnsi="Times New Roman"/>
          <w:b w:val="false"/>
          <w:bCs w:val="false"/>
          <w:i w:val="false"/>
          <w:iCs w:val="false"/>
          <w:sz w:val="20"/>
          <w:szCs w:val="20"/>
        </w:rPr>
        <w:t xml:space="preserve">The 37.1% Congestion Avoidance Rate implies that approximately one in three charging events that would otherwise overload a popular station is redistributed under the proposed framework. This reduction in peak transformer loading can meaningfully extend the operational lifetime of distribution equipment in cities like Khulna, where transformer replacement and repair costs are significant operational burdens for the utility provider.</w:t>
      </w:r>
    </w:p>
    <w:p>
      <w:pPr>
        <w:spacing w:after="80" w:before="0"/>
        <w:jc w:val="both"/>
      </w:pPr>
      <w:r>
        <w:rPr>
          <w:rFonts w:ascii="Times New Roman" w:cs="Times New Roman" w:eastAsia="Times New Roman" w:hAnsi="Times New Roman"/>
          <w:b w:val="false"/>
          <w:bCs w:val="false"/>
          <w:i w:val="false"/>
          <w:iCs w:val="false"/>
          <w:sz w:val="20"/>
          <w:szCs w:val="20"/>
        </w:rPr>
        <w:t xml:space="preserve">The per-station recommendation distribution reveals that pa_8 and pa_7 corridors absorb disproportionately high demand, providing directly actionable information for capacity planning: adding slots to pa_8 or deploying a new station on the E7 corridor would yield the greatest system-wide benefit. The open SUMO+Python architecture enables city planners to test alternative station placements by modifying XML configuration files without requiring specialised optimisation expertise.</w:t>
      </w:r>
    </w:p>
    <w:p>
      <w:pPr>
        <w:spacing w:after="80" w:before="0"/>
        <w:jc w:val="both"/>
      </w:pPr>
      <w:r>
        <w:rPr>
          <w:rFonts w:ascii="Times New Roman" w:cs="Times New Roman" w:eastAsia="Times New Roman" w:hAnsi="Times New Roman"/>
          <w:b w:val="false"/>
          <w:bCs w:val="false"/>
          <w:i w:val="false"/>
          <w:iCs w:val="false"/>
          <w:sz w:val="20"/>
          <w:szCs w:val="20"/>
        </w:rPr>
        <w:t xml:space="preserve">The 33,721-record vehicle-centric dataset, with its rich feature space (SoC, queue depth, occupancy rate, time-of-day, station load), is directly compatible with models such as DeepBoost [8] for day-ahead load forecasting. This dataset therefore serves a dual purpose: supporting operational recommendation and enabling predictive grid management for the emerging EV ecosystem of Bangladesh.</w:t>
      </w:r>
    </w:p>
    <w:p>
      <w:pPr>
        <w:spacing w:before="160" w:after="80"/>
        <w:jc w:val="center"/>
      </w:pPr>
      <w:r>
        <w:rPr>
          <w:rFonts w:ascii="Times New Roman" w:cs="Times New Roman" w:eastAsia="Times New Roman" w:hAnsi="Times New Roman"/>
          <w:b/>
          <w:bCs/>
          <w:sz w:val="20"/>
          <w:szCs w:val="20"/>
        </w:rPr>
        <w:t xml:space="preserve">VIII. CONCLUSION</w:t>
      </w:r>
    </w:p>
    <w:p>
      <w:pPr>
        <w:spacing w:after="80" w:before="0"/>
        <w:jc w:val="both"/>
      </w:pPr>
      <w:r>
        <w:rPr>
          <w:rFonts w:ascii="Times New Roman" w:cs="Times New Roman" w:eastAsia="Times New Roman" w:hAnsi="Times New Roman"/>
          <w:b w:val="false"/>
          <w:bCs w:val="false"/>
          <w:i w:val="false"/>
          <w:iCs w:val="false"/>
          <w:sz w:val="20"/>
          <w:szCs w:val="20"/>
        </w:rPr>
        <w:t xml:space="preserve">This paper presented a SUMO+TraCI simulation-based charging station recommendation framework for a heterogeneous EV fleet in Khulna city, Bangladesh. A 600-second simulation with 100 vehicle flows across three vehicle classes (Easy Bikes: 12,000 Wh batteries; E-Rickshaws and E-Vans: 5,760–7,200 Wh), eight bidirectional routes, and ten bidirectional charging stations generated 1,169 recommendation events, a peak charging power record of 1,370 kW with 40 simultaneous charging vehicles, and 127.5 kWh of total energy delivered.</w:t>
      </w:r>
    </w:p>
    <w:p>
      <w:pPr>
        <w:spacing w:after="80" w:before="0"/>
        <w:jc w:val="both"/>
      </w:pPr>
      <w:r>
        <w:rPr>
          <w:rFonts w:ascii="Times New Roman" w:cs="Times New Roman" w:eastAsia="Times New Roman" w:hAnsi="Times New Roman"/>
          <w:b w:val="false"/>
          <w:bCs w:val="false"/>
          <w:i w:val="false"/>
          <w:iCs w:val="false"/>
          <w:sz w:val="20"/>
          <w:szCs w:val="20"/>
        </w:rPr>
        <w:t xml:space="preserve">The four performance metrics introduced — FRR, CAR, HPSDR, and Avg. Dist. Recommend. S(m) — provide a comprehensive evaluation framework for charging recommendation systems. The proposed multi-criteria framework achieves: FRR = 90.1% (+24.0 pp over baseline), demonstrating that nine in ten recommendations lead to an immediately available charging slot; CAR = 37.1% (+37.1 pp), quantifying its substantial load-balancing effect; HPSDR = 27.9% (+27.9 pp), confirming intelligent triage for the most critically battery-depleted vehicles; and an average distance increase of only +15.8 m — an operationally negligible cost relative to the achieved gains.</w:t>
      </w:r>
    </w:p>
    <w:p>
      <w:pPr>
        <w:spacing w:after="80" w:before="0"/>
        <w:jc w:val="both"/>
      </w:pPr>
      <w:r>
        <w:rPr>
          <w:rFonts w:ascii="Times New Roman" w:cs="Times New Roman" w:eastAsia="Times New Roman" w:hAnsi="Times New Roman"/>
          <w:b w:val="false"/>
          <w:bCs w:val="false"/>
          <w:i w:val="false"/>
          <w:iCs w:val="false"/>
          <w:sz w:val="20"/>
          <w:szCs w:val="20"/>
        </w:rPr>
        <w:t xml:space="preserve">Main contributions are: (1) a physics-calibrated SUMO heterogeneous fleet model with distinct battery configurations across three vehicle classes; (2) a directionally-aware multi-criteria recommendation algorithm with Rerouting and Advisory dual-mode operation; (3) a rigorous four-metric comparative evaluation against a nearest-only baseline; and (4) two complementary open datasets (33,721 vehicle-centric records + 1,169 recommendation events) suitable for ML-based EV load forecasting.</w:t>
      </w:r>
    </w:p>
    <w:p>
      <w:pPr>
        <w:spacing w:after="80" w:before="0"/>
        <w:jc w:val="both"/>
      </w:pPr>
      <w:r>
        <w:rPr>
          <w:rFonts w:ascii="Times New Roman" w:cs="Times New Roman" w:eastAsia="Times New Roman" w:hAnsi="Times New Roman"/>
          <w:b w:val="false"/>
          <w:bCs w:val="false"/>
          <w:i w:val="false"/>
          <w:iCs w:val="false"/>
          <w:sz w:val="20"/>
          <w:szCs w:val="20"/>
        </w:rPr>
        <w:t xml:space="preserve">Future work will expand the simulation to the full Khulna road graph with GPS-trace-calibrated demand, integrate dynamic electricity pricing and renewable energy generation at station nodes, and evaluate demand-response schedules aligned with Bangladesh's National Energy Policy.</w:t>
      </w:r>
    </w:p>
    <w:p>
      <w:pPr>
        <w:pBdr>
          <w:bottom w:val="single" w:color="000000" w:sz="4"/>
        </w:pBdr>
        <w:spacing w:before="80" w:after="80"/>
      </w:pPr>
    </w:p>
    <w:p>
      <w:pPr>
        <w:spacing w:before="80" w:after="60"/>
      </w:pPr>
      <w:r>
        <w:rPr>
          <w:rFonts w:ascii="Times New Roman" w:cs="Times New Roman" w:eastAsia="Times New Roman" w:hAnsi="Times New Roman"/>
          <w:b/>
          <w:bCs/>
          <w:sz w:val="20"/>
          <w:szCs w:val="20"/>
        </w:rPr>
        <w:t xml:space="preserve">REFERENCES</w:t>
      </w:r>
    </w:p>
    <w:p>
      <w:pPr>
        <w:spacing w:after="40"/>
        <w:ind w:left="360" w:hanging="360"/>
      </w:pPr>
      <w:r>
        <w:rPr>
          <w:rFonts w:ascii="Times New Roman" w:cs="Times New Roman" w:eastAsia="Times New Roman" w:hAnsi="Times New Roman"/>
          <w:sz w:val="18"/>
          <w:szCs w:val="18"/>
        </w:rPr>
        <w:t xml:space="preserve">[1] M. A. Rahman, S. Islam, and A. H. Khan, "Electric vehicle adoption trends in Bangladesh: Opportunities and challenges," IEEE Access, vol. 9, pp. 145632–145645, 2021.</w:t>
      </w:r>
    </w:p>
    <w:p>
      <w:pPr>
        <w:spacing w:after="40"/>
        <w:ind w:left="360" w:hanging="360"/>
      </w:pPr>
      <w:r>
        <w:rPr>
          <w:rFonts w:ascii="Times New Roman" w:cs="Times New Roman" w:eastAsia="Times New Roman" w:hAnsi="Times New Roman"/>
          <w:sz w:val="18"/>
          <w:szCs w:val="18"/>
        </w:rPr>
        <w:t xml:space="preserve">[2] D. Wang, J. Guan, T. Wu, G. Zheng, and Y. Hu, "Intelligent charging station selection for electric vehicles using multi-objective optimization," IEEE Trans. Intell. Transport. Syst., vol. 23, no. 8, pp. 11234–11245, Aug. 2022.</w:t>
      </w:r>
    </w:p>
    <w:p>
      <w:pPr>
        <w:spacing w:after="40"/>
        <w:ind w:left="360" w:hanging="360"/>
      </w:pPr>
      <w:r>
        <w:rPr>
          <w:rFonts w:ascii="Times New Roman" w:cs="Times New Roman" w:eastAsia="Times New Roman" w:hAnsi="Times New Roman"/>
          <w:sz w:val="18"/>
          <w:szCs w:val="18"/>
        </w:rPr>
        <w:t xml:space="preserve">[3] C. Pascual, Global EV Outlook 2022, IEA, Paris, France, 2022. [Online]. Available: https://www.iea.org/reports/global-ev-outlook-2022</w:t>
      </w:r>
    </w:p>
    <w:p>
      <w:pPr>
        <w:spacing w:after="40"/>
        <w:ind w:left="360" w:hanging="360"/>
      </w:pPr>
      <w:r>
        <w:rPr>
          <w:rFonts w:ascii="Times New Roman" w:cs="Times New Roman" w:eastAsia="Times New Roman" w:hAnsi="Times New Roman"/>
          <w:sz w:val="18"/>
          <w:szCs w:val="18"/>
        </w:rPr>
        <w:t xml:space="preserve">[4] S. Chen, Y. Tong, and W. Hu, "TraCI-based real-time traffic control in SUMO simulation," J. Traffic Transport. Eng., vol. 7, no. 3, pp. 315–328, 2020.</w:t>
      </w:r>
    </w:p>
    <w:p>
      <w:pPr>
        <w:spacing w:after="40"/>
        <w:ind w:left="360" w:hanging="360"/>
      </w:pPr>
      <w:r>
        <w:rPr>
          <w:rFonts w:ascii="Times New Roman" w:cs="Times New Roman" w:eastAsia="Times New Roman" w:hAnsi="Times New Roman"/>
          <w:sz w:val="18"/>
          <w:szCs w:val="18"/>
        </w:rPr>
        <w:t xml:space="preserve">[5] X. Zhang, Q. Wang, and L. Li, "Load balancing strategies for electric vehicle charging stations using reinforcement learning," IEEE Trans. Smart Grid, vol. 13, no. 4, pp. 3124–3135, Jul. 2022.</w:t>
      </w:r>
    </w:p>
    <w:p>
      <w:pPr>
        <w:spacing w:after="40"/>
        <w:ind w:left="360" w:hanging="360"/>
      </w:pPr>
      <w:r>
        <w:rPr>
          <w:rFonts w:ascii="Times New Roman" w:cs="Times New Roman" w:eastAsia="Times New Roman" w:hAnsi="Times New Roman"/>
          <w:sz w:val="18"/>
          <w:szCs w:val="18"/>
        </w:rPr>
        <w:t xml:space="preserve">[6] A. Hussain, V. H. Bui, and H. M. Kim, "A multi-criteria decision-making approach for electric vehicle charging station location selection," Energies, vol. 13, no. 23, p. 6322, 2020.</w:t>
      </w:r>
    </w:p>
    <w:p>
      <w:pPr>
        <w:spacing w:after="40"/>
        <w:ind w:left="360" w:hanging="360"/>
      </w:pPr>
      <w:r>
        <w:rPr>
          <w:rFonts w:ascii="Times New Roman" w:cs="Times New Roman" w:eastAsia="Times New Roman" w:hAnsi="Times New Roman"/>
          <w:sz w:val="18"/>
          <w:szCs w:val="18"/>
        </w:rPr>
        <w:t xml:space="preserve">[7] P. A. Lopez et al., "Microscopic traffic simulation using SUMO," in Proc. 21st Int. Conf. Intell. Transport. Syst. (ITSC), Maui, HI, USA, 2018, pp. 2575–2582.</w:t>
      </w:r>
    </w:p>
    <w:p>
      <w:pPr>
        <w:spacing w:after="40"/>
        <w:ind w:left="360" w:hanging="360"/>
      </w:pPr>
      <w:r>
        <w:rPr>
          <w:rFonts w:ascii="Times New Roman" w:cs="Times New Roman" w:eastAsia="Times New Roman" w:hAnsi="Times New Roman"/>
          <w:sz w:val="18"/>
          <w:szCs w:val="18"/>
        </w:rPr>
        <w:t xml:space="preserve">[8] J. Siddiqui et al., "Electric vehicle charging station load forecasting with an integrated DeepBoost approach," Alexandria Eng. J., vol. 116, pp. 331–341, Jan. 2025.</w:t>
      </w:r>
    </w:p>
    <w:p>
      <w:pPr>
        <w:spacing w:after="40"/>
        <w:ind w:left="360" w:hanging="360"/>
      </w:pPr>
      <w:r>
        <w:rPr>
          <w:rFonts w:ascii="Times New Roman" w:cs="Times New Roman" w:eastAsia="Times New Roman" w:hAnsi="Times New Roman"/>
          <w:sz w:val="18"/>
          <w:szCs w:val="18"/>
        </w:rPr>
        <w:t xml:space="preserve">[9] M. R. Islam et al., "A review on energy management strategies for electric vehicles in developing countries: A case study of Bangladesh," Renew. Sustain. Energy Rev., vol. 141, p. 110803, 2021.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2026-02-22T09:11:38.959Z</dcterms:created>
  <dcterms:modified xsi:type="dcterms:W3CDTF">2026-02-22T09:11:38.961Z</dcterms:modified>
</cp:coreProperties>
</file>

<file path=docProps/custom.xml><?xml version="1.0" encoding="utf-8"?>
<Properties xmlns="http://schemas.openxmlformats.org/officeDocument/2006/custom-properties" xmlns:vt="http://schemas.openxmlformats.org/officeDocument/2006/docPropsVTypes"/>
</file>