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355"/>
          <w:sz w:val="32"/>
        </w:rPr>
        <w:t>DATALINK AI — LIVE DATA, PATTERN DETECTION AND DASHBOARD ARCHITECTURE</w:t>
      </w:r>
    </w:p>
    <w:p>
      <w:pPr>
        <w:jc w:val="center"/>
      </w:pPr>
      <w:r>
        <w:rPr>
          <w:i/>
          <w:sz w:val="19"/>
        </w:rPr>
        <w:t>How to get live uplink, downlink, OS, partition and fault data to the ground server and into the AI; how to find pattern issues and serious symptoms; and how to run the live flight-keyed dashboard.</w:t>
        <w:br/>
        <w:t>Companion to "Requirements-Anchored In-Service Datalink Conformance &amp; Root-Cause Platform" · 8 October 2026</w:t>
      </w:r>
    </w:p>
    <w:p>
      <w:pPr>
        <w:ind w:left="173"/>
        <w:pBdr>
          <w:top w:val="single" w:sz="6" w:space="5" w:color="BFA100"/>
          <w:bottom w:val="single" w:sz="6" w:space="5" w:color="BFA100"/>
          <w:left w:val="single" w:sz="6" w:space="5" w:color="BFA100"/>
          <w:right w:val="single" w:sz="6" w:space="5" w:color="BFA100"/>
        </w:pBdr>
        <w:shd w:fill="FFF4CE"/>
      </w:pPr>
      <w:r>
        <w:rPr>
          <w:sz w:val="19"/>
        </w:rPr>
        <w:t>Architectural rule that everything below obeys: the verdict engine is deterministic; the AI explains, correlates and predicts; the AI never writes a conformance verdict directly. Every AI output is an advisory hypothesis that is admitted, gated and recorded. This is what keeps the platform patentable and acceptable to an airworthiness authority.</w:t>
      </w:r>
    </w:p>
    <w:p>
      <w:pPr>
        <w:pStyle w:val="Heading1"/>
      </w:pPr>
      <w:r>
        <w:t>1. What "live data" realistically means — read this before designing anything</w:t>
      </w:r>
    </w:p>
    <w:p>
      <w:r>
        <w:rPr>
          <w:b w:val="0"/>
          <w:i w:val="0"/>
        </w:rPr>
        <w:t>There is a temptation to imagine a socket on the aircraft streaming operating-system and partition telemetry in real time. That socket does not exist on a certified aircraft, and no design should depend on it. What exists is a set of five real channels with different latencies and different fidelity. The architecture below uses all five and states honestly which verdicts can be produced at which latency.</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2088"/>
            <w:shd w:fill="DCE6F1"/>
          </w:tcPr>
          <w:p>
            <w:r/>
            <w:r>
              <w:rPr>
                <w:b/>
                <w:sz w:val="18"/>
              </w:rPr>
              <w:t>Channel</w:t>
            </w:r>
          </w:p>
        </w:tc>
        <w:tc>
          <w:tcPr>
            <w:tcW w:type="dxa" w:w="3888"/>
            <w:shd w:fill="DCE6F1"/>
          </w:tcPr>
          <w:p>
            <w:r/>
            <w:r>
              <w:rPr>
                <w:b/>
                <w:sz w:val="18"/>
              </w:rPr>
              <w:t>What it actually gives</w:t>
            </w:r>
          </w:p>
        </w:tc>
        <w:tc>
          <w:tcPr>
            <w:tcW w:type="dxa" w:w="1224"/>
            <w:shd w:fill="DCE6F1"/>
          </w:tcPr>
          <w:p>
            <w:r/>
            <w:r>
              <w:rPr>
                <w:b/>
                <w:sz w:val="18"/>
              </w:rPr>
              <w:t>Realistic latency</w:t>
            </w:r>
          </w:p>
        </w:tc>
        <w:tc>
          <w:tcPr>
            <w:tcW w:type="dxa" w:w="1224"/>
            <w:shd w:fill="DCE6F1"/>
          </w:tcPr>
          <w:p>
            <w:r/>
            <w:r>
              <w:rPr>
                <w:b/>
                <w:sz w:val="18"/>
              </w:rPr>
              <w:t>Fidelity</w:t>
            </w:r>
          </w:p>
        </w:tc>
        <w:tc>
          <w:tcPr>
            <w:tcW w:type="dxa" w:w="2880"/>
            <w:shd w:fill="DCE6F1"/>
          </w:tcPr>
          <w:p>
            <w:r/>
            <w:r>
              <w:rPr>
                <w:b/>
                <w:sz w:val="18"/>
              </w:rPr>
              <w:t>Can support</w:t>
            </w:r>
          </w:p>
        </w:tc>
      </w:tr>
      <w:tr>
        <w:tc>
          <w:tcPr>
            <w:tcW w:type="dxa" w:w="2088"/>
          </w:tcPr>
          <w:p>
            <w:pPr>
              <w:spacing w:after="40"/>
            </w:pPr>
            <w:r/>
            <w:r>
              <w:rPr>
                <w:sz w:val="18"/>
              </w:rPr>
              <w:t>1. Datalink message feed (CSP / airline AOC gateway)</w:t>
            </w:r>
          </w:p>
        </w:tc>
        <w:tc>
          <w:tcPr>
            <w:tcW w:type="dxa" w:w="3888"/>
          </w:tcPr>
          <w:p>
            <w:pPr>
              <w:spacing w:after="40"/>
            </w:pPr>
            <w:r/>
            <w:r>
              <w:rPr>
                <w:sz w:val="18"/>
              </w:rPr>
              <w:t>Every uplink and downlink record: CPDLC, ADS-C, AOC messages, with per-hop timestamps where the provider supplies them</w:t>
            </w:r>
          </w:p>
        </w:tc>
        <w:tc>
          <w:tcPr>
            <w:tcW w:type="dxa" w:w="1224"/>
          </w:tcPr>
          <w:p>
            <w:pPr>
              <w:spacing w:after="40"/>
            </w:pPr>
            <w:r/>
            <w:r>
              <w:rPr>
                <w:sz w:val="18"/>
              </w:rPr>
              <w:t>1–30 s</w:t>
            </w:r>
          </w:p>
        </w:tc>
        <w:tc>
          <w:tcPr>
            <w:tcW w:type="dxa" w:w="1224"/>
          </w:tcPr>
          <w:p>
            <w:pPr>
              <w:spacing w:after="40"/>
            </w:pPr>
            <w:r/>
            <w:r>
              <w:rPr>
                <w:sz w:val="18"/>
              </w:rPr>
              <w:t>Message-level, reliable</w:t>
            </w:r>
          </w:p>
        </w:tc>
        <w:tc>
          <w:tcPr>
            <w:tcW w:type="dxa" w:w="2880"/>
          </w:tcPr>
          <w:p>
            <w:pPr>
              <w:spacing w:after="40"/>
            </w:pPr>
            <w:r/>
            <w:r>
              <w:rPr>
                <w:sz w:val="18"/>
              </w:rPr>
              <w:t>Functional, message-flow, crew-response and end-to-end timing verdicts</w:t>
            </w:r>
          </w:p>
        </w:tc>
      </w:tr>
      <w:tr>
        <w:tc>
          <w:tcPr>
            <w:tcW w:type="dxa" w:w="2088"/>
          </w:tcPr>
          <w:p>
            <w:pPr>
              <w:spacing w:after="40"/>
            </w:pPr>
            <w:r/>
            <w:r>
              <w:rPr>
                <w:sz w:val="18"/>
              </w:rPr>
              <w:t>2. ACMS programmable reports (aircraft condition monitoring)</w:t>
            </w:r>
          </w:p>
        </w:tc>
        <w:tc>
          <w:tcPr>
            <w:tcW w:type="dxa" w:w="3888"/>
          </w:tcPr>
          <w:p>
            <w:pPr>
              <w:spacing w:after="40"/>
            </w:pPr>
            <w:r/>
            <w:r>
              <w:rPr>
                <w:sz w:val="18"/>
              </w:rPr>
              <w:t>Custom-defined parameter reports (triggered, requested or periodic) transmitted over the datalink: communications LRU status, counters, timing samples, fault flags — whatever the airline has an approved report definition for</w:t>
            </w:r>
          </w:p>
        </w:tc>
        <w:tc>
          <w:tcPr>
            <w:tcW w:type="dxa" w:w="1224"/>
          </w:tcPr>
          <w:p>
            <w:pPr>
              <w:spacing w:after="40"/>
            </w:pPr>
            <w:r/>
            <w:r>
              <w:rPr>
                <w:sz w:val="18"/>
              </w:rPr>
              <w:t>Seconds to minutes</w:t>
            </w:r>
          </w:p>
        </w:tc>
        <w:tc>
          <w:tcPr>
            <w:tcW w:type="dxa" w:w="1224"/>
          </w:tcPr>
          <w:p>
            <w:pPr>
              <w:spacing w:after="40"/>
            </w:pPr>
            <w:r/>
            <w:r>
              <w:rPr>
                <w:sz w:val="18"/>
              </w:rPr>
              <w:t>Selected parameters, engineered per report</w:t>
            </w:r>
          </w:p>
        </w:tc>
        <w:tc>
          <w:tcPr>
            <w:tcW w:type="dxa" w:w="2880"/>
          </w:tcPr>
          <w:p>
            <w:pPr>
              <w:spacing w:after="40"/>
            </w:pPr>
            <w:r/>
            <w:r>
              <w:rPr>
                <w:sz w:val="18"/>
              </w:rPr>
              <w:t>Host/platform, fault and resource verdicts in flight, at report cadence</w:t>
            </w:r>
          </w:p>
        </w:tc>
      </w:tr>
      <w:tr>
        <w:tc>
          <w:tcPr>
            <w:tcW w:type="dxa" w:w="2088"/>
          </w:tcPr>
          <w:p>
            <w:pPr>
              <w:spacing w:after="40"/>
            </w:pPr>
            <w:r/>
            <w:r>
              <w:rPr>
                <w:sz w:val="18"/>
              </w:rPr>
              <w:t>3. QAR / FDR offload at the gate</w:t>
            </w:r>
          </w:p>
        </w:tc>
        <w:tc>
          <w:tcPr>
            <w:tcW w:type="dxa" w:w="3888"/>
          </w:tcPr>
          <w:p>
            <w:pPr>
              <w:spacing w:after="40"/>
            </w:pPr>
            <w:r/>
            <w:r>
              <w:rPr>
                <w:sz w:val="18"/>
              </w:rPr>
              <w:t>The full parameter set for the entire flight, at full sample rate</w:t>
            </w:r>
          </w:p>
        </w:tc>
        <w:tc>
          <w:tcPr>
            <w:tcW w:type="dxa" w:w="1224"/>
          </w:tcPr>
          <w:p>
            <w:pPr>
              <w:spacing w:after="40"/>
            </w:pPr>
            <w:r/>
            <w:r>
              <w:rPr>
                <w:sz w:val="18"/>
              </w:rPr>
              <w:t>Post-flight (minutes after gate)</w:t>
            </w:r>
          </w:p>
        </w:tc>
        <w:tc>
          <w:tcPr>
            <w:tcW w:type="dxa" w:w="1224"/>
          </w:tcPr>
          <w:p>
            <w:pPr>
              <w:spacing w:after="40"/>
            </w:pPr>
            <w:r/>
            <w:r>
              <w:rPr>
                <w:sz w:val="18"/>
              </w:rPr>
              <w:t>Highest fidelity, complete</w:t>
            </w:r>
          </w:p>
        </w:tc>
        <w:tc>
          <w:tcPr>
            <w:tcW w:type="dxa" w:w="2880"/>
          </w:tcPr>
          <w:p>
            <w:pPr>
              <w:spacing w:after="40"/>
            </w:pPr>
            <w:r/>
            <w:r>
              <w:rPr>
                <w:sz w:val="18"/>
              </w:rPr>
              <w:t>Authoritative post-flight verdicts, margin baselines, not-exercised accounting, model training</w:t>
            </w:r>
          </w:p>
        </w:tc>
      </w:tr>
      <w:tr>
        <w:tc>
          <w:tcPr>
            <w:tcW w:type="dxa" w:w="2088"/>
          </w:tcPr>
          <w:p>
            <w:pPr>
              <w:spacing w:after="40"/>
            </w:pPr>
            <w:r/>
            <w:r>
              <w:rPr>
                <w:sz w:val="18"/>
              </w:rPr>
              <w:t>4. Aircraft Interface Device (read-only)</w:t>
            </w:r>
          </w:p>
        </w:tc>
        <w:tc>
          <w:tcPr>
            <w:tcW w:type="dxa" w:w="3888"/>
          </w:tcPr>
          <w:p>
            <w:pPr>
              <w:spacing w:after="40"/>
            </w:pPr>
            <w:r/>
            <w:r>
              <w:rPr>
                <w:sz w:val="18"/>
              </w:rPr>
              <w:t>ARINC 429 / Ethernet bus data, LRU status words, CMS fault pages; no write access</w:t>
            </w:r>
          </w:p>
        </w:tc>
        <w:tc>
          <w:tcPr>
            <w:tcW w:type="dxa" w:w="1224"/>
          </w:tcPr>
          <w:p>
            <w:pPr>
              <w:spacing w:after="40"/>
            </w:pPr>
            <w:r/>
            <w:r>
              <w:rPr>
                <w:sz w:val="18"/>
              </w:rPr>
              <w:t>On ground, or in flight if installed with a satcom backhaul</w:t>
            </w:r>
          </w:p>
        </w:tc>
        <w:tc>
          <w:tcPr>
            <w:tcW w:type="dxa" w:w="1224"/>
          </w:tcPr>
          <w:p>
            <w:pPr>
              <w:spacing w:after="40"/>
            </w:pPr>
            <w:r/>
            <w:r>
              <w:rPr>
                <w:sz w:val="18"/>
              </w:rPr>
              <w:t>Bus-level</w:t>
            </w:r>
          </w:p>
        </w:tc>
        <w:tc>
          <w:tcPr>
            <w:tcW w:type="dxa" w:w="2880"/>
          </w:tcPr>
          <w:p>
            <w:pPr>
              <w:spacing w:after="40"/>
            </w:pPr>
            <w:r/>
            <w:r>
              <w:rPr>
                <w:sz w:val="18"/>
              </w:rPr>
              <w:t>Ground diagnostics, fault confirmation, configuration read-back</w:t>
            </w:r>
          </w:p>
        </w:tc>
      </w:tr>
      <w:tr>
        <w:tc>
          <w:tcPr>
            <w:tcW w:type="dxa" w:w="2088"/>
          </w:tcPr>
          <w:p>
            <w:pPr>
              <w:spacing w:after="40"/>
            </w:pPr>
            <w:r/>
            <w:r>
              <w:rPr>
                <w:sz w:val="18"/>
              </w:rPr>
              <w:t>5. Ground-side network and ANSP telemetry</w:t>
            </w:r>
          </w:p>
        </w:tc>
        <w:tc>
          <w:tcPr>
            <w:tcW w:type="dxa" w:w="3888"/>
          </w:tcPr>
          <w:p>
            <w:pPr>
              <w:spacing w:after="40"/>
            </w:pPr>
            <w:r/>
            <w:r>
              <w:rPr>
                <w:sz w:val="18"/>
              </w:rPr>
              <w:t>CSP ground-station and subnetwork status, ATC-side CPDLC/ADS-C performance data, NOC feeds, ADS-B surveillance</w:t>
            </w:r>
          </w:p>
        </w:tc>
        <w:tc>
          <w:tcPr>
            <w:tcW w:type="dxa" w:w="1224"/>
          </w:tcPr>
          <w:p>
            <w:pPr>
              <w:spacing w:after="40"/>
            </w:pPr>
            <w:r/>
            <w:r>
              <w:rPr>
                <w:sz w:val="18"/>
              </w:rPr>
              <w:t>Seconds to minutes</w:t>
            </w:r>
          </w:p>
        </w:tc>
        <w:tc>
          <w:tcPr>
            <w:tcW w:type="dxa" w:w="1224"/>
          </w:tcPr>
          <w:p>
            <w:pPr>
              <w:spacing w:after="40"/>
            </w:pPr>
            <w:r/>
            <w:r>
              <w:rPr>
                <w:sz w:val="18"/>
              </w:rPr>
              <w:t>Network-level</w:t>
            </w:r>
          </w:p>
        </w:tc>
        <w:tc>
          <w:tcPr>
            <w:tcW w:type="dxa" w:w="2880"/>
          </w:tcPr>
          <w:p>
            <w:pPr>
              <w:spacing w:after="40"/>
            </w:pPr>
            <w:r/>
            <w:r>
              <w:rPr>
                <w:sz w:val="18"/>
              </w:rPr>
              <w:t>Network and link verdicts, airspace attribution, flight keying</w:t>
            </w:r>
          </w:p>
        </w:tc>
      </w:tr>
    </w:tbl>
    <w:p>
      <w:pPr>
        <w:spacing w:after="40"/>
      </w:pPr>
    </w:p>
    <w:p>
      <w:pPr>
        <w:ind w:left="173"/>
        <w:pBdr>
          <w:top w:val="single" w:sz="6" w:space="5" w:color="BFA100"/>
          <w:bottom w:val="single" w:sz="6" w:space="5" w:color="BFA100"/>
          <w:left w:val="single" w:sz="6" w:space="5" w:color="BFA100"/>
          <w:right w:val="single" w:sz="6" w:space="5" w:color="BFA100"/>
        </w:pBdr>
        <w:shd w:fill="FFF4CE"/>
      </w:pPr>
      <w:r>
        <w:rPr>
          <w:sz w:val="19"/>
        </w:rPr>
        <w:t>Consequence for the product: verdicts are near-real-time for message, crew and network requirements, and post-flight for the deepest host-platform requirements, with the dashboard showing per-stream freshness. Promising "live partition telemetry from a flying aircraft" without an OEM agreement is the fastest way to lose an airline pilot programme.</w:t>
      </w:r>
    </w:p>
    <w:p>
      <w:pPr>
        <w:pStyle w:val="Heading1"/>
      </w:pPr>
      <w:r>
        <w:t>2. How to get the data: source-by-source acquisition plan</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432"/>
            <w:shd w:fill="DCE6F1"/>
          </w:tcPr>
          <w:p>
            <w:r/>
            <w:r>
              <w:rPr>
                <w:b/>
                <w:sz w:val="18"/>
              </w:rPr>
              <w:t>#</w:t>
            </w:r>
          </w:p>
        </w:tc>
        <w:tc>
          <w:tcPr>
            <w:tcW w:type="dxa" w:w="1944"/>
            <w:shd w:fill="DCE6F1"/>
          </w:tcPr>
          <w:p>
            <w:r/>
            <w:r>
              <w:rPr>
                <w:b/>
                <w:sz w:val="18"/>
              </w:rPr>
              <w:t>Source</w:t>
            </w:r>
          </w:p>
        </w:tc>
        <w:tc>
          <w:tcPr>
            <w:tcW w:type="dxa" w:w="1800"/>
            <w:shd w:fill="DCE6F1"/>
          </w:tcPr>
          <w:p>
            <w:r/>
            <w:r>
              <w:rPr>
                <w:b/>
                <w:sz w:val="18"/>
              </w:rPr>
              <w:t>Owner / gatekeeper</w:t>
            </w:r>
          </w:p>
        </w:tc>
        <w:tc>
          <w:tcPr>
            <w:tcW w:type="dxa" w:w="3816"/>
            <w:shd w:fill="DCE6F1"/>
          </w:tcPr>
          <w:p>
            <w:r/>
            <w:r>
              <w:rPr>
                <w:b/>
                <w:sz w:val="18"/>
              </w:rPr>
              <w:t>Route to get it</w:t>
            </w:r>
          </w:p>
        </w:tc>
        <w:tc>
          <w:tcPr>
            <w:tcW w:type="dxa" w:w="2664"/>
            <w:shd w:fill="DCE6F1"/>
          </w:tcPr>
          <w:p>
            <w:r/>
            <w:r>
              <w:rPr>
                <w:b/>
                <w:sz w:val="18"/>
              </w:rPr>
              <w:t>Notes for the contract</w:t>
            </w:r>
          </w:p>
        </w:tc>
      </w:tr>
      <w:tr>
        <w:tc>
          <w:tcPr>
            <w:tcW w:type="dxa" w:w="432"/>
          </w:tcPr>
          <w:p>
            <w:pPr>
              <w:spacing w:after="40"/>
            </w:pPr>
            <w:r/>
            <w:r>
              <w:rPr>
                <w:sz w:val="18"/>
              </w:rPr>
              <w:t>S1</w:t>
            </w:r>
          </w:p>
        </w:tc>
        <w:tc>
          <w:tcPr>
            <w:tcW w:type="dxa" w:w="1944"/>
          </w:tcPr>
          <w:p>
            <w:pPr>
              <w:spacing w:after="40"/>
            </w:pPr>
            <w:r/>
            <w:r>
              <w:rPr>
                <w:sz w:val="18"/>
              </w:rPr>
              <w:t>ACARS / CPDLC / ADS-C message records</w:t>
            </w:r>
          </w:p>
        </w:tc>
        <w:tc>
          <w:tcPr>
            <w:tcW w:type="dxa" w:w="1800"/>
          </w:tcPr>
          <w:p>
            <w:pPr>
              <w:spacing w:after="40"/>
            </w:pPr>
            <w:r/>
            <w:r>
              <w:rPr>
                <w:sz w:val="18"/>
              </w:rPr>
              <w:t>CSP (SITA, ARINC/Collins, Viasat, Iridium) and the airline AOC gateway</w:t>
            </w:r>
          </w:p>
        </w:tc>
        <w:tc>
          <w:tcPr>
            <w:tcW w:type="dxa" w:w="3816"/>
          </w:tcPr>
          <w:p>
            <w:pPr>
              <w:spacing w:after="40"/>
            </w:pPr>
            <w:r/>
            <w:r>
              <w:rPr>
                <w:sz w:val="18"/>
              </w:rPr>
              <w:t>Subscribe to a CSP messaging feed (MQTT / AMQP / REST / drop), or integrate with the airline AOC gateway; start with a sandbox or a replay sample</w:t>
            </w:r>
          </w:p>
        </w:tc>
        <w:tc>
          <w:tcPr>
            <w:tcW w:type="dxa" w:w="2664"/>
          </w:tcPr>
          <w:p>
            <w:pPr>
              <w:spacing w:after="40"/>
            </w:pPr>
            <w:r/>
            <w:r>
              <w:rPr>
                <w:sz w:val="18"/>
              </w:rPr>
              <w:t>Data-use rights, retention limits, per-airline tenancy, prohibition on re-use across airlines without consent</w:t>
            </w:r>
          </w:p>
        </w:tc>
      </w:tr>
      <w:tr>
        <w:tc>
          <w:tcPr>
            <w:tcW w:type="dxa" w:w="432"/>
          </w:tcPr>
          <w:p>
            <w:pPr>
              <w:spacing w:after="40"/>
            </w:pPr>
            <w:r/>
            <w:r>
              <w:rPr>
                <w:sz w:val="18"/>
              </w:rPr>
              <w:t>S2</w:t>
            </w:r>
          </w:p>
        </w:tc>
        <w:tc>
          <w:tcPr>
            <w:tcW w:type="dxa" w:w="1944"/>
          </w:tcPr>
          <w:p>
            <w:pPr>
              <w:spacing w:after="40"/>
            </w:pPr>
            <w:r/>
            <w:r>
              <w:rPr>
                <w:sz w:val="18"/>
              </w:rPr>
              <w:t>ATC-side CPDLC / ADS-C performance data</w:t>
            </w:r>
          </w:p>
        </w:tc>
        <w:tc>
          <w:tcPr>
            <w:tcW w:type="dxa" w:w="1800"/>
          </w:tcPr>
          <w:p>
            <w:pPr>
              <w:spacing w:after="40"/>
            </w:pPr>
            <w:r/>
            <w:r>
              <w:rPr>
                <w:sz w:val="18"/>
              </w:rPr>
              <w:t>ANSP / EUROCONTROL DPMF-style services, FAA SWIM</w:t>
            </w:r>
          </w:p>
        </w:tc>
        <w:tc>
          <w:tcPr>
            <w:tcW w:type="dxa" w:w="3816"/>
          </w:tcPr>
          <w:p>
            <w:pPr>
              <w:spacing w:after="40"/>
            </w:pPr>
            <w:r/>
            <w:r>
              <w:rPr>
                <w:sz w:val="18"/>
              </w:rPr>
              <w:t>Feed subscription or periodic report ingestion</w:t>
            </w:r>
          </w:p>
        </w:tc>
        <w:tc>
          <w:tcPr>
            <w:tcW w:type="dxa" w:w="2664"/>
          </w:tcPr>
          <w:p>
            <w:pPr>
              <w:spacing w:after="40"/>
            </w:pPr>
            <w:r/>
            <w:r>
              <w:rPr>
                <w:sz w:val="18"/>
              </w:rPr>
              <w:t>Regional availability varies; low frequency is acceptable</w:t>
            </w:r>
          </w:p>
        </w:tc>
      </w:tr>
      <w:tr>
        <w:tc>
          <w:tcPr>
            <w:tcW w:type="dxa" w:w="432"/>
          </w:tcPr>
          <w:p>
            <w:pPr>
              <w:spacing w:after="40"/>
            </w:pPr>
            <w:r/>
            <w:r>
              <w:rPr>
                <w:sz w:val="18"/>
              </w:rPr>
              <w:t>S3</w:t>
            </w:r>
          </w:p>
        </w:tc>
        <w:tc>
          <w:tcPr>
            <w:tcW w:type="dxa" w:w="1944"/>
          </w:tcPr>
          <w:p>
            <w:pPr>
              <w:spacing w:after="40"/>
            </w:pPr>
            <w:r/>
            <w:r>
              <w:rPr>
                <w:sz w:val="18"/>
              </w:rPr>
              <w:t>ACMS programmable reports</w:t>
            </w:r>
          </w:p>
        </w:tc>
        <w:tc>
          <w:tcPr>
            <w:tcW w:type="dxa" w:w="1800"/>
          </w:tcPr>
          <w:p>
            <w:pPr>
              <w:spacing w:after="40"/>
            </w:pPr>
            <w:r/>
            <w:r>
              <w:rPr>
                <w:sz w:val="18"/>
              </w:rPr>
              <w:t>Airline engineering + OEM-approved report definitions</w:t>
            </w:r>
          </w:p>
        </w:tc>
        <w:tc>
          <w:tcPr>
            <w:tcW w:type="dxa" w:w="3816"/>
          </w:tcPr>
          <w:p>
            <w:pPr>
              <w:spacing w:after="40"/>
            </w:pPr>
            <w:r/>
            <w:r>
              <w:rPr>
                <w:sz w:val="18"/>
              </w:rPr>
              <w:t>Define the report parameter set with airline engineering; reports are transmitted on trigger or request over the existing datalink</w:t>
            </w:r>
          </w:p>
        </w:tc>
        <w:tc>
          <w:tcPr>
            <w:tcW w:type="dxa" w:w="2664"/>
          </w:tcPr>
          <w:p>
            <w:pPr>
              <w:spacing w:after="40"/>
            </w:pPr>
            <w:r/>
            <w:r>
              <w:rPr>
                <w:sz w:val="18"/>
              </w:rPr>
              <w:t>This is the practical in-flight route to host/platform evidence; treat report definition as a changeable configuration, not software</w:t>
            </w:r>
          </w:p>
        </w:tc>
      </w:tr>
      <w:tr>
        <w:tc>
          <w:tcPr>
            <w:tcW w:type="dxa" w:w="432"/>
          </w:tcPr>
          <w:p>
            <w:pPr>
              <w:spacing w:after="40"/>
            </w:pPr>
            <w:r/>
            <w:r>
              <w:rPr>
                <w:sz w:val="18"/>
              </w:rPr>
              <w:t>S4</w:t>
            </w:r>
          </w:p>
        </w:tc>
        <w:tc>
          <w:tcPr>
            <w:tcW w:type="dxa" w:w="1944"/>
          </w:tcPr>
          <w:p>
            <w:pPr>
              <w:spacing w:after="40"/>
            </w:pPr>
            <w:r/>
            <w:r>
              <w:rPr>
                <w:sz w:val="18"/>
              </w:rPr>
              <w:t>QAR / FDR data</w:t>
            </w:r>
          </w:p>
        </w:tc>
        <w:tc>
          <w:tcPr>
            <w:tcW w:type="dxa" w:w="1800"/>
          </w:tcPr>
          <w:p>
            <w:pPr>
              <w:spacing w:after="40"/>
            </w:pPr>
            <w:r/>
            <w:r>
              <w:rPr>
                <w:sz w:val="18"/>
              </w:rPr>
              <w:t>Airline reliability / flight data monitoring team</w:t>
            </w:r>
          </w:p>
        </w:tc>
        <w:tc>
          <w:tcPr>
            <w:tcW w:type="dxa" w:w="3816"/>
          </w:tcPr>
          <w:p>
            <w:pPr>
              <w:spacing w:after="40"/>
            </w:pPr>
            <w:r/>
            <w:r>
              <w:rPr>
                <w:sz w:val="18"/>
              </w:rPr>
              <w:t>Offload automatically at the gate (wireless ground link) or ingest the airline existing offload; reuse, do not duplicate</w:t>
            </w:r>
          </w:p>
        </w:tc>
        <w:tc>
          <w:tcPr>
            <w:tcW w:type="dxa" w:w="2664"/>
          </w:tcPr>
          <w:p>
            <w:pPr>
              <w:spacing w:after="40"/>
            </w:pPr>
            <w:r/>
            <w:r>
              <w:rPr>
                <w:sz w:val="18"/>
              </w:rPr>
              <w:t>FDM data is heavily governed: programme approval, crew de-identification rules, access logging</w:t>
            </w:r>
          </w:p>
        </w:tc>
      </w:tr>
      <w:tr>
        <w:tc>
          <w:tcPr>
            <w:tcW w:type="dxa" w:w="432"/>
          </w:tcPr>
          <w:p>
            <w:pPr>
              <w:spacing w:after="40"/>
            </w:pPr>
            <w:r/>
            <w:r>
              <w:rPr>
                <w:sz w:val="18"/>
              </w:rPr>
              <w:t>S5</w:t>
            </w:r>
          </w:p>
        </w:tc>
        <w:tc>
          <w:tcPr>
            <w:tcW w:type="dxa" w:w="1944"/>
          </w:tcPr>
          <w:p>
            <w:pPr>
              <w:spacing w:after="40"/>
            </w:pPr>
            <w:r/>
            <w:r>
              <w:rPr>
                <w:sz w:val="18"/>
              </w:rPr>
              <w:t>Aircraft Interface Device / CMS data</w:t>
            </w:r>
          </w:p>
        </w:tc>
        <w:tc>
          <w:tcPr>
            <w:tcW w:type="dxa" w:w="1800"/>
          </w:tcPr>
          <w:p>
            <w:pPr>
              <w:spacing w:after="40"/>
            </w:pPr>
            <w:r/>
            <w:r>
              <w:rPr>
                <w:sz w:val="18"/>
              </w:rPr>
              <w:t>OEM or STC holder</w:t>
            </w:r>
          </w:p>
        </w:tc>
        <w:tc>
          <w:tcPr>
            <w:tcW w:type="dxa" w:w="3816"/>
          </w:tcPr>
          <w:p>
            <w:pPr>
              <w:spacing w:after="40"/>
            </w:pPr>
            <w:r/>
            <w:r>
              <w:rPr>
                <w:sz w:val="18"/>
              </w:rPr>
              <w:t>OEM partnership for a read-only interface; or use the airline existing AID installation</w:t>
            </w:r>
          </w:p>
        </w:tc>
        <w:tc>
          <w:tcPr>
            <w:tcW w:type="dxa" w:w="2664"/>
          </w:tcPr>
          <w:p>
            <w:pPr>
              <w:spacing w:after="40"/>
            </w:pPr>
            <w:r/>
            <w:r>
              <w:rPr>
                <w:sz w:val="18"/>
              </w:rPr>
              <w:t>Long lead item; do not make the MVP depend on it</w:t>
            </w:r>
          </w:p>
        </w:tc>
      </w:tr>
      <w:tr>
        <w:tc>
          <w:tcPr>
            <w:tcW w:type="dxa" w:w="432"/>
          </w:tcPr>
          <w:p>
            <w:pPr>
              <w:spacing w:after="40"/>
            </w:pPr>
            <w:r/>
            <w:r>
              <w:rPr>
                <w:sz w:val="18"/>
              </w:rPr>
              <w:t>S6</w:t>
            </w:r>
          </w:p>
        </w:tc>
        <w:tc>
          <w:tcPr>
            <w:tcW w:type="dxa" w:w="1944"/>
          </w:tcPr>
          <w:p>
            <w:pPr>
              <w:spacing w:after="40"/>
            </w:pPr>
            <w:r/>
            <w:r>
              <w:rPr>
                <w:sz w:val="18"/>
              </w:rPr>
              <w:t>IMA partition health-monitor events</w:t>
            </w:r>
          </w:p>
        </w:tc>
        <w:tc>
          <w:tcPr>
            <w:tcW w:type="dxa" w:w="1800"/>
          </w:tcPr>
          <w:p>
            <w:pPr>
              <w:spacing w:after="40"/>
            </w:pPr>
            <w:r/>
            <w:r>
              <w:rPr>
                <w:sz w:val="18"/>
              </w:rPr>
              <w:t>Airframe / avionics OEM</w:t>
            </w:r>
          </w:p>
        </w:tc>
        <w:tc>
          <w:tcPr>
            <w:tcW w:type="dxa" w:w="3816"/>
          </w:tcPr>
          <w:p>
            <w:pPr>
              <w:spacing w:after="40"/>
            </w:pPr>
            <w:r/>
            <w:r>
              <w:rPr>
                <w:sz w:val="18"/>
              </w:rPr>
              <w:t>OEM collaboration to expose partition health events in an existing report or an approved data channel</w:t>
            </w:r>
          </w:p>
        </w:tc>
        <w:tc>
          <w:tcPr>
            <w:tcW w:type="dxa" w:w="2664"/>
          </w:tcPr>
          <w:p>
            <w:pPr>
              <w:spacing w:after="40"/>
            </w:pPr>
            <w:r/>
            <w:r>
              <w:rPr>
                <w:sz w:val="18"/>
              </w:rPr>
              <w:t>Highest value, hardest to obtain; the strategic partnership objective</w:t>
            </w:r>
          </w:p>
        </w:tc>
      </w:tr>
      <w:tr>
        <w:tc>
          <w:tcPr>
            <w:tcW w:type="dxa" w:w="432"/>
          </w:tcPr>
          <w:p>
            <w:pPr>
              <w:spacing w:after="40"/>
            </w:pPr>
            <w:r/>
            <w:r>
              <w:rPr>
                <w:sz w:val="18"/>
              </w:rPr>
              <w:t>S7</w:t>
            </w:r>
          </w:p>
        </w:tc>
        <w:tc>
          <w:tcPr>
            <w:tcW w:type="dxa" w:w="1944"/>
          </w:tcPr>
          <w:p>
            <w:pPr>
              <w:spacing w:after="40"/>
            </w:pPr>
            <w:r/>
            <w:r>
              <w:rPr>
                <w:sz w:val="18"/>
              </w:rPr>
              <w:t>Ground network and link status</w:t>
            </w:r>
          </w:p>
        </w:tc>
        <w:tc>
          <w:tcPr>
            <w:tcW w:type="dxa" w:w="1800"/>
          </w:tcPr>
          <w:p>
            <w:pPr>
              <w:spacing w:after="40"/>
            </w:pPr>
            <w:r/>
            <w:r>
              <w:rPr>
                <w:sz w:val="18"/>
              </w:rPr>
              <w:t>CSP, ANSP, own receivers</w:t>
            </w:r>
          </w:p>
        </w:tc>
        <w:tc>
          <w:tcPr>
            <w:tcW w:type="dxa" w:w="3816"/>
          </w:tcPr>
          <w:p>
            <w:pPr>
              <w:spacing w:after="40"/>
            </w:pPr>
            <w:r/>
            <w:r>
              <w:rPr>
                <w:sz w:val="18"/>
              </w:rPr>
              <w:t>CSP network status API plus own ground-station observability</w:t>
            </w:r>
          </w:p>
        </w:tc>
        <w:tc>
          <w:tcPr>
            <w:tcW w:type="dxa" w:w="2664"/>
          </w:tcPr>
          <w:p>
            <w:pPr>
              <w:spacing w:after="40"/>
            </w:pPr>
            <w:r/>
            <w:r>
              <w:rPr>
                <w:sz w:val="18"/>
              </w:rPr>
              <w:t>Combine with own VDL/ACARS reception where legal</w:t>
            </w:r>
          </w:p>
        </w:tc>
      </w:tr>
      <w:tr>
        <w:tc>
          <w:tcPr>
            <w:tcW w:type="dxa" w:w="432"/>
          </w:tcPr>
          <w:p>
            <w:pPr>
              <w:spacing w:after="40"/>
            </w:pPr>
            <w:r/>
            <w:r>
              <w:rPr>
                <w:sz w:val="18"/>
              </w:rPr>
              <w:t>S8</w:t>
            </w:r>
          </w:p>
        </w:tc>
        <w:tc>
          <w:tcPr>
            <w:tcW w:type="dxa" w:w="1944"/>
          </w:tcPr>
          <w:p>
            <w:pPr>
              <w:spacing w:after="40"/>
            </w:pPr>
            <w:r/>
            <w:r>
              <w:rPr>
                <w:sz w:val="18"/>
              </w:rPr>
              <w:t>Surveillance / flight keying</w:t>
            </w:r>
          </w:p>
        </w:tc>
        <w:tc>
          <w:tcPr>
            <w:tcW w:type="dxa" w:w="1800"/>
          </w:tcPr>
          <w:p>
            <w:pPr>
              <w:spacing w:after="40"/>
            </w:pPr>
            <w:r/>
            <w:r>
              <w:rPr>
                <w:sz w:val="18"/>
              </w:rPr>
              <w:t>ADS-B network or own receivers</w:t>
            </w:r>
          </w:p>
        </w:tc>
        <w:tc>
          <w:tcPr>
            <w:tcW w:type="dxa" w:w="3816"/>
          </w:tcPr>
          <w:p>
            <w:pPr>
              <w:spacing w:after="40"/>
            </w:pPr>
            <w:r/>
            <w:r>
              <w:rPr>
                <w:sz w:val="18"/>
              </w:rPr>
              <w:t>Own SDR receivers (for example dumpvdl2 / ACARS decoding for VDL Mode 2 and ACARS) plus a virtual radar feed</w:t>
            </w:r>
          </w:p>
        </w:tc>
        <w:tc>
          <w:tcPr>
            <w:tcW w:type="dxa" w:w="2664"/>
          </w:tcPr>
          <w:p>
            <w:pPr>
              <w:spacing w:after="40"/>
            </w:pPr>
            <w:r/>
            <w:r>
              <w:rPr>
                <w:sz w:val="18"/>
              </w:rPr>
              <w:t>Own receivers double as the interference observation source — very useful for the threat-model work</w:t>
            </w:r>
          </w:p>
        </w:tc>
      </w:tr>
      <w:tr>
        <w:tc>
          <w:tcPr>
            <w:tcW w:type="dxa" w:w="432"/>
          </w:tcPr>
          <w:p>
            <w:pPr>
              <w:spacing w:after="40"/>
            </w:pPr>
            <w:r/>
            <w:r>
              <w:rPr>
                <w:sz w:val="18"/>
              </w:rPr>
              <w:t>S9</w:t>
            </w:r>
          </w:p>
        </w:tc>
        <w:tc>
          <w:tcPr>
            <w:tcW w:type="dxa" w:w="1944"/>
          </w:tcPr>
          <w:p>
            <w:pPr>
              <w:spacing w:after="40"/>
            </w:pPr>
            <w:r/>
            <w:r>
              <w:rPr>
                <w:sz w:val="18"/>
              </w:rPr>
              <w:t>Flight identity and aircraft configuration</w:t>
            </w:r>
          </w:p>
        </w:tc>
        <w:tc>
          <w:tcPr>
            <w:tcW w:type="dxa" w:w="1800"/>
          </w:tcPr>
          <w:p>
            <w:pPr>
              <w:spacing w:after="40"/>
            </w:pPr>
            <w:r/>
            <w:r>
              <w:rPr>
                <w:sz w:val="18"/>
              </w:rPr>
              <w:t>Airline ops and engineering records</w:t>
            </w:r>
          </w:p>
        </w:tc>
        <w:tc>
          <w:tcPr>
            <w:tcW w:type="dxa" w:w="3816"/>
          </w:tcPr>
          <w:p>
            <w:pPr>
              <w:spacing w:after="40"/>
            </w:pPr>
            <w:r/>
            <w:r>
              <w:rPr>
                <w:sz w:val="18"/>
              </w:rPr>
              <w:t>OOOI / flight plan feed, and the tail configuration database: software part number, hardware part number, database versions, modem, subscription, route</w:t>
            </w:r>
          </w:p>
        </w:tc>
        <w:tc>
          <w:tcPr>
            <w:tcW w:type="dxa" w:w="2664"/>
          </w:tcPr>
          <w:p>
            <w:pPr>
              <w:spacing w:after="40"/>
            </w:pPr>
            <w:r/>
            <w:r>
              <w:rPr>
                <w:sz w:val="18"/>
              </w:rPr>
              <w:t>Configuration data is mandatory, not optional: without it the requirement monitors are instantiated against the wrong baseline</w:t>
            </w:r>
          </w:p>
        </w:tc>
      </w:tr>
    </w:tbl>
    <w:p>
      <w:pPr>
        <w:spacing w:after="40"/>
      </w:pPr>
    </w:p>
    <w:p>
      <w:r>
        <w:rPr>
          <w:b w:val="0"/>
          <w:i w:val="0"/>
        </w:rPr>
        <w:t>Sequence that works commercially: S1 + S2 + S9 first (no aircraft changes, one CSP and one airline relationship), then S3 (airline engineering), then S4 (reliability team), and S5–S6 as the strategic OEM track. S8 is free and can start immediately.</w:t>
      </w:r>
    </w:p>
    <w:p>
      <w:pPr>
        <w:pStyle w:val="Heading1"/>
      </w:pPr>
      <w:r>
        <w:t>3. Reference architecture: from aircraft and ground feeds to the AI and the dashboard</w:t>
      </w:r>
    </w:p>
    <w:p>
      <w:pPr>
        <w:spacing w:after="0" w:line="240" w:lineRule="auto"/>
        <w:ind w:left="173"/>
      </w:pPr>
      <w:r>
        <w:rPr>
          <w:rFonts w:ascii="Consolas" w:hAnsi="Consolas"/>
          <w:sz w:val="17"/>
        </w:rPr>
        <w:t xml:space="preserve">  AIRCRAFT                                    GROUND                                      CONSUMERS</w:t>
      </w:r>
    </w:p>
    <w:p>
      <w:pPr>
        <w:spacing w:after="0" w:line="240" w:lineRule="auto"/>
        <w:ind w:left="173"/>
      </w:pPr>
      <w:r>
        <w:rPr>
          <w:rFonts w:ascii="Consolas" w:hAnsi="Consolas"/>
          <w:sz w:val="17"/>
        </w:rPr>
        <w:t xml:space="preserve">  --------                                    ------                                      ---------</w:t>
      </w:r>
    </w:p>
    <w:p>
      <w:pPr>
        <w:spacing w:after="0" w:line="240" w:lineRule="auto"/>
        <w:ind w:left="173"/>
      </w:pPr>
      <w:r>
        <w:rPr>
          <w:rFonts w:ascii="Consolas" w:hAnsi="Consolas"/>
          <w:sz w:val="17"/>
        </w:rPr>
        <w:t xml:space="preserve">  CMU / ATSU ---(datalink)---&gt; CSP ground ---&gt; [1] CSP feed adapter  \</w:t>
      </w:r>
    </w:p>
    <w:p>
      <w:pPr>
        <w:spacing w:after="0" w:line="240" w:lineRule="auto"/>
        <w:ind w:left="173"/>
      </w:pPr>
      <w:r>
        <w:rPr>
          <w:rFonts w:ascii="Consolas" w:hAnsi="Consolas"/>
          <w:sz w:val="17"/>
        </w:rPr>
        <w:t xml:space="preserve">  ACMS reports -------------&gt; datalink ------&gt; [2] ACMS adapter       \</w:t>
      </w:r>
    </w:p>
    <w:p>
      <w:pPr>
        <w:spacing w:after="0" w:line="240" w:lineRule="auto"/>
        <w:ind w:left="173"/>
      </w:pPr>
      <w:r>
        <w:rPr>
          <w:rFonts w:ascii="Consolas" w:hAnsi="Consolas"/>
          <w:sz w:val="17"/>
        </w:rPr>
        <w:t xml:space="preserve">  QAR offload at gate ----------------------&gt; [3] QAR adapter         \</w:t>
      </w:r>
    </w:p>
    <w:p>
      <w:pPr>
        <w:spacing w:after="0" w:line="240" w:lineRule="auto"/>
        <w:ind w:left="173"/>
      </w:pPr>
      <w:r>
        <w:rPr>
          <w:rFonts w:ascii="Consolas" w:hAnsi="Consolas"/>
          <w:sz w:val="17"/>
        </w:rPr>
        <w:t xml:space="preserve">  AID / CMS (read-only) --------------------&gt; [4] AID adapter         |</w:t>
      </w:r>
    </w:p>
    <w:p>
      <w:pPr>
        <w:spacing w:after="0" w:line="240" w:lineRule="auto"/>
        <w:ind w:left="173"/>
      </w:pPr>
      <w:r>
        <w:rPr>
          <w:rFonts w:ascii="Consolas" w:hAnsi="Consolas"/>
          <w:sz w:val="17"/>
        </w:rPr>
        <w:t xml:space="preserve">  IMA health events (OEM) ------------------&gt; [5] OEM adapter         |</w:t>
      </w:r>
    </w:p>
    <w:p>
      <w:pPr>
        <w:spacing w:after="0" w:line="240" w:lineRule="auto"/>
        <w:ind w:left="173"/>
      </w:pPr>
      <w:r>
        <w:rPr>
          <w:rFonts w:ascii="Consolas" w:hAnsi="Consolas"/>
          <w:sz w:val="17"/>
        </w:rPr>
        <w:t xml:space="preserve">                                              [6] ANSP / NOC adapter  |</w:t>
      </w:r>
    </w:p>
    <w:p>
      <w:pPr>
        <w:spacing w:after="0" w:line="240" w:lineRule="auto"/>
        <w:ind w:left="173"/>
      </w:pPr>
      <w:r>
        <w:rPr>
          <w:rFonts w:ascii="Consolas" w:hAnsi="Consolas"/>
          <w:sz w:val="17"/>
        </w:rPr>
        <w:t xml:space="preserve">  own SDR receivers (VDL2/ACARS/ADS-B) -----&gt; [7] RF adapter          |</w:t>
      </w:r>
    </w:p>
    <w:p>
      <w:pPr>
        <w:spacing w:after="0" w:line="240" w:lineRule="auto"/>
        <w:ind w:left="173"/>
      </w:pPr>
      <w:r>
        <w:rPr>
          <w:rFonts w:ascii="Consolas" w:hAnsi="Consolas"/>
          <w:sz w:val="17"/>
        </w:rPr>
        <w:t xml:space="preserve">  airline OPS / configuration -------------&gt; [8] OPS + config adapter/</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v</w:t>
      </w:r>
    </w:p>
    <w:p>
      <w:pPr>
        <w:spacing w:after="0" w:line="240" w:lineRule="auto"/>
        <w:ind w:left="173"/>
      </w:pPr>
      <w:r>
        <w:rPr>
          <w:rFonts w:ascii="Consolas" w:hAnsi="Consolas"/>
          <w:sz w:val="17"/>
        </w:rPr>
        <w:t xml:space="preserve">              KAFKA / PULSAR  (raw topics, per-source retention, replayable)</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schema registry + validation + dedup + normalisation</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v</w:t>
      </w:r>
    </w:p>
    <w:p>
      <w:pPr>
        <w:spacing w:after="0" w:line="240" w:lineRule="auto"/>
        <w:ind w:left="173"/>
      </w:pPr>
      <w:r>
        <w:rPr>
          <w:rFonts w:ascii="Consolas" w:hAnsi="Consolas"/>
          <w:sz w:val="17"/>
        </w:rPr>
        <w:t xml:space="preserve">        TIME-ALIGNMENT SERVICE  (common reference + offset/uncertainty)</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v               v                v                     v</w:t>
      </w:r>
    </w:p>
    <w:p>
      <w:pPr>
        <w:spacing w:after="0" w:line="240" w:lineRule="auto"/>
        <w:ind w:left="173"/>
      </w:pPr>
      <w:r>
        <w:rPr>
          <w:rFonts w:ascii="Consolas" w:hAnsi="Consolas"/>
          <w:sz w:val="17"/>
        </w:rPr>
        <w:t xml:space="preserve">  VERDICT ENGINE   PATTERN ENGINE   SYMPTOM RULES        FEATURE STORE</w:t>
      </w:r>
    </w:p>
    <w:p>
      <w:pPr>
        <w:spacing w:after="0" w:line="240" w:lineRule="auto"/>
        <w:ind w:left="173"/>
      </w:pPr>
      <w:r>
        <w:rPr>
          <w:rFonts w:ascii="Consolas" w:hAnsi="Consolas"/>
          <w:sz w:val="17"/>
        </w:rPr>
        <w:t xml:space="preserve">  (deterministic,  (statistical +   (severity,          (per flight,</w:t>
      </w:r>
    </w:p>
    <w:p>
      <w:pPr>
        <w:spacing w:after="0" w:line="240" w:lineRule="auto"/>
        <w:ind w:left="173"/>
      </w:pPr>
      <w:r>
        <w:rPr>
          <w:rFonts w:ascii="Consolas" w:hAnsi="Consolas"/>
          <w:sz w:val="17"/>
        </w:rPr>
        <w:t xml:space="preserve">   per requirement) ML, advisory)    escalation)          per route)</w:t>
      </w:r>
    </w:p>
    <w:p>
      <w:pPr>
        <w:spacing w:after="0" w:line="240" w:lineRule="auto"/>
        <w:ind w:left="173"/>
      </w:pPr>
      <w:r>
        <w:rPr>
          <w:rFonts w:ascii="Consolas" w:hAnsi="Consolas"/>
          <w:sz w:val="17"/>
        </w:rPr>
        <w:t xml:space="preserve">        |               |                |                     |</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v</w:t>
      </w:r>
    </w:p>
    <w:p>
      <w:pPr>
        <w:spacing w:after="0" w:line="240" w:lineRule="auto"/>
        <w:ind w:left="173"/>
      </w:pPr>
      <w:r>
        <w:rPr>
          <w:rFonts w:ascii="Consolas" w:hAnsi="Consolas"/>
          <w:sz w:val="17"/>
        </w:rPr>
        <w:t xml:space="preserve">      STORES: hot time-series | object store (raw) | LEDGER (hash-chained)</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v</w:t>
      </w:r>
    </w:p>
    <w:p>
      <w:pPr>
        <w:spacing w:after="0" w:line="240" w:lineRule="auto"/>
        <w:ind w:left="173"/>
      </w:pPr>
      <w:r>
        <w:rPr>
          <w:rFonts w:ascii="Consolas" w:hAnsi="Consolas"/>
          <w:sz w:val="17"/>
        </w:rPr>
        <w:t xml:space="preserve">      SERVING APIs  --&gt;  LIVE DASHBOARD (WebSocket / SSE, flight-keyed)</w:t>
      </w:r>
    </w:p>
    <w:p>
      <w:pPr>
        <w:spacing w:after="0" w:line="240" w:lineRule="auto"/>
        <w:ind w:left="173"/>
      </w:pPr>
      <w:r>
        <w:rPr>
          <w:rFonts w:ascii="Consolas" w:hAnsi="Consolas"/>
          <w:sz w:val="17"/>
        </w:rPr>
        <w:t xml:space="preserve">                     --&gt;  ALERTS / NOC, maintenance work orders</w:t>
      </w:r>
    </w:p>
    <w:p>
      <w:pPr>
        <w:spacing w:after="0" w:line="240" w:lineRule="auto"/>
        <w:ind w:left="173"/>
      </w:pPr>
      <w:r>
        <w:rPr>
          <w:rFonts w:ascii="Consolas" w:hAnsi="Consolas"/>
          <w:sz w:val="17"/>
        </w:rPr>
        <w:t xml:space="preserve">                     --&gt;  CONFORMANCE RECORD + COVERAGE ACCOUNT exports</w:t>
      </w:r>
    </w:p>
    <w:p>
      <w:pPr>
        <w:spacing w:after="40"/>
      </w:pPr>
    </w:p>
    <w:p>
      <w:pPr>
        <w:pStyle w:val="Heading2"/>
      </w:pPr>
      <w:r>
        <w:t>3.1 Message bus and topics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800"/>
            <w:shd w:fill="DCE6F1"/>
          </w:tcPr>
          <w:p>
            <w:r/>
            <w:r>
              <w:rPr>
                <w:b/>
                <w:sz w:val="18"/>
              </w:rPr>
              <w:t>Topic</w:t>
            </w:r>
          </w:p>
        </w:tc>
        <w:tc>
          <w:tcPr>
            <w:tcW w:type="dxa" w:w="3744"/>
            <w:shd w:fill="DCE6F1"/>
          </w:tcPr>
          <w:p>
            <w:r/>
            <w:r>
              <w:rPr>
                <w:b/>
                <w:sz w:val="18"/>
              </w:rPr>
              <w:t>Content</w:t>
            </w:r>
          </w:p>
        </w:tc>
        <w:tc>
          <w:tcPr>
            <w:tcW w:type="dxa" w:w="1944"/>
            <w:shd w:fill="DCE6F1"/>
          </w:tcPr>
          <w:p>
            <w:r/>
            <w:r>
              <w:rPr>
                <w:b/>
                <w:sz w:val="18"/>
              </w:rPr>
              <w:t>Retention</w:t>
            </w:r>
          </w:p>
        </w:tc>
        <w:tc>
          <w:tcPr>
            <w:tcW w:type="dxa" w:w="3168"/>
            <w:shd w:fill="DCE6F1"/>
          </w:tcPr>
          <w:p>
            <w:r/>
            <w:r>
              <w:rPr>
                <w:b/>
                <w:sz w:val="18"/>
              </w:rPr>
              <w:t>Why</w:t>
            </w:r>
          </w:p>
        </w:tc>
      </w:tr>
      <w:tr>
        <w:tc>
          <w:tcPr>
            <w:tcW w:type="dxa" w:w="1800"/>
          </w:tcPr>
          <w:p>
            <w:pPr>
              <w:spacing w:after="40"/>
            </w:pPr>
            <w:r/>
            <w:r>
              <w:rPr>
                <w:sz w:val="18"/>
              </w:rPr>
              <w:t>raw.csp.messages</w:t>
            </w:r>
          </w:p>
        </w:tc>
        <w:tc>
          <w:tcPr>
            <w:tcW w:type="dxa" w:w="3744"/>
          </w:tcPr>
          <w:p>
            <w:pPr>
              <w:spacing w:after="40"/>
            </w:pPr>
            <w:r/>
            <w:r>
              <w:rPr>
                <w:sz w:val="18"/>
              </w:rPr>
              <w:t>Uplink and downlink records exactly as received</w:t>
            </w:r>
          </w:p>
        </w:tc>
        <w:tc>
          <w:tcPr>
            <w:tcW w:type="dxa" w:w="1944"/>
          </w:tcPr>
          <w:p>
            <w:pPr>
              <w:spacing w:after="40"/>
            </w:pPr>
            <w:r/>
            <w:r>
              <w:rPr>
                <w:sz w:val="18"/>
              </w:rPr>
              <w:t>7–30 days hot, archive to object store</w:t>
            </w:r>
          </w:p>
        </w:tc>
        <w:tc>
          <w:tcPr>
            <w:tcW w:type="dxa" w:w="3168"/>
          </w:tcPr>
          <w:p>
            <w:pPr>
              <w:spacing w:after="40"/>
            </w:pPr>
            <w:r/>
            <w:r>
              <w:rPr>
                <w:sz w:val="18"/>
              </w:rPr>
              <w:t>Deterministic replay; provider dispute evidence</w:t>
            </w:r>
          </w:p>
        </w:tc>
      </w:tr>
      <w:tr>
        <w:tc>
          <w:tcPr>
            <w:tcW w:type="dxa" w:w="1800"/>
          </w:tcPr>
          <w:p>
            <w:pPr>
              <w:spacing w:after="40"/>
            </w:pPr>
            <w:r/>
            <w:r>
              <w:rPr>
                <w:sz w:val="18"/>
              </w:rPr>
              <w:t>raw.acms.reports</w:t>
            </w:r>
          </w:p>
        </w:tc>
        <w:tc>
          <w:tcPr>
            <w:tcW w:type="dxa" w:w="3744"/>
          </w:tcPr>
          <w:p>
            <w:pPr>
              <w:spacing w:after="40"/>
            </w:pPr>
            <w:r/>
            <w:r>
              <w:rPr>
                <w:sz w:val="18"/>
              </w:rPr>
              <w:t>ACMS report payloads as decoded</w:t>
            </w:r>
          </w:p>
        </w:tc>
        <w:tc>
          <w:tcPr>
            <w:tcW w:type="dxa" w:w="1944"/>
          </w:tcPr>
          <w:p>
            <w:pPr>
              <w:spacing w:after="40"/>
            </w:pPr>
            <w:r/>
            <w:r>
              <w:rPr>
                <w:sz w:val="18"/>
              </w:rPr>
              <w:t>30 days</w:t>
            </w:r>
          </w:p>
        </w:tc>
        <w:tc>
          <w:tcPr>
            <w:tcW w:type="dxa" w:w="3168"/>
          </w:tcPr>
          <w:p>
            <w:pPr>
              <w:spacing w:after="40"/>
            </w:pPr>
            <w:r/>
            <w:r>
              <w:rPr>
                <w:sz w:val="18"/>
              </w:rPr>
              <w:t>Re-parse after decoder fixes</w:t>
            </w:r>
          </w:p>
        </w:tc>
      </w:tr>
      <w:tr>
        <w:tc>
          <w:tcPr>
            <w:tcW w:type="dxa" w:w="1800"/>
          </w:tcPr>
          <w:p>
            <w:pPr>
              <w:spacing w:after="40"/>
            </w:pPr>
            <w:r/>
            <w:r>
              <w:rPr>
                <w:sz w:val="18"/>
              </w:rPr>
              <w:t>raw.qar.offload</w:t>
            </w:r>
          </w:p>
        </w:tc>
        <w:tc>
          <w:tcPr>
            <w:tcW w:type="dxa" w:w="3744"/>
          </w:tcPr>
          <w:p>
            <w:pPr>
              <w:spacing w:after="40"/>
            </w:pPr>
            <w:r/>
            <w:r>
              <w:rPr>
                <w:sz w:val="18"/>
              </w:rPr>
              <w:t>QAR extracts per flight</w:t>
            </w:r>
          </w:p>
        </w:tc>
        <w:tc>
          <w:tcPr>
            <w:tcW w:type="dxa" w:w="1944"/>
          </w:tcPr>
          <w:p>
            <w:pPr>
              <w:spacing w:after="40"/>
            </w:pPr>
            <w:r/>
            <w:r>
              <w:rPr>
                <w:sz w:val="18"/>
              </w:rPr>
              <w:t>Policy-limited; archive</w:t>
            </w:r>
          </w:p>
        </w:tc>
        <w:tc>
          <w:tcPr>
            <w:tcW w:type="dxa" w:w="3168"/>
          </w:tcPr>
          <w:p>
            <w:pPr>
              <w:spacing w:after="40"/>
            </w:pPr>
            <w:r/>
            <w:r>
              <w:rPr>
                <w:sz w:val="18"/>
              </w:rPr>
              <w:t>Baseline and model training</w:t>
            </w:r>
          </w:p>
        </w:tc>
      </w:tr>
      <w:tr>
        <w:tc>
          <w:tcPr>
            <w:tcW w:type="dxa" w:w="1800"/>
          </w:tcPr>
          <w:p>
            <w:pPr>
              <w:spacing w:after="40"/>
            </w:pPr>
            <w:r/>
            <w:r>
              <w:rPr>
                <w:sz w:val="18"/>
              </w:rPr>
              <w:t>raw.ground.netstat</w:t>
            </w:r>
          </w:p>
        </w:tc>
        <w:tc>
          <w:tcPr>
            <w:tcW w:type="dxa" w:w="3744"/>
          </w:tcPr>
          <w:p>
            <w:pPr>
              <w:spacing w:after="40"/>
            </w:pPr>
            <w:r/>
            <w:r>
              <w:rPr>
                <w:sz w:val="18"/>
              </w:rPr>
              <w:t>Ground-station, subnetwork and network status</w:t>
            </w:r>
          </w:p>
        </w:tc>
        <w:tc>
          <w:tcPr>
            <w:tcW w:type="dxa" w:w="1944"/>
          </w:tcPr>
          <w:p>
            <w:pPr>
              <w:spacing w:after="40"/>
            </w:pPr>
            <w:r/>
            <w:r>
              <w:rPr>
                <w:sz w:val="18"/>
              </w:rPr>
              <w:t>30 days</w:t>
            </w:r>
          </w:p>
        </w:tc>
        <w:tc>
          <w:tcPr>
            <w:tcW w:type="dxa" w:w="3168"/>
          </w:tcPr>
          <w:p>
            <w:pPr>
              <w:spacing w:after="40"/>
            </w:pPr>
            <w:r/>
            <w:r>
              <w:rPr>
                <w:sz w:val="18"/>
              </w:rPr>
              <w:t>Network attribution</w:t>
            </w:r>
          </w:p>
        </w:tc>
      </w:tr>
      <w:tr>
        <w:tc>
          <w:tcPr>
            <w:tcW w:type="dxa" w:w="1800"/>
          </w:tcPr>
          <w:p>
            <w:pPr>
              <w:spacing w:after="40"/>
            </w:pPr>
            <w:r/>
            <w:r>
              <w:rPr>
                <w:sz w:val="18"/>
              </w:rPr>
              <w:t>raw.ops.flight</w:t>
            </w:r>
          </w:p>
        </w:tc>
        <w:tc>
          <w:tcPr>
            <w:tcW w:type="dxa" w:w="3744"/>
          </w:tcPr>
          <w:p>
            <w:pPr>
              <w:spacing w:after="40"/>
            </w:pPr>
            <w:r/>
            <w:r>
              <w:rPr>
                <w:sz w:val="18"/>
              </w:rPr>
              <w:t>OOOI, flight plan, configuration snapshots</w:t>
            </w:r>
          </w:p>
        </w:tc>
        <w:tc>
          <w:tcPr>
            <w:tcW w:type="dxa" w:w="1944"/>
          </w:tcPr>
          <w:p>
            <w:pPr>
              <w:spacing w:after="40"/>
            </w:pPr>
            <w:r/>
            <w:r>
              <w:rPr>
                <w:sz w:val="18"/>
              </w:rPr>
              <w:t>1 year</w:t>
            </w:r>
          </w:p>
        </w:tc>
        <w:tc>
          <w:tcPr>
            <w:tcW w:type="dxa" w:w="3168"/>
          </w:tcPr>
          <w:p>
            <w:pPr>
              <w:spacing w:after="40"/>
            </w:pPr>
            <w:r/>
            <w:r>
              <w:rPr>
                <w:sz w:val="18"/>
              </w:rPr>
              <w:t>Flight keying and monitor instantiation</w:t>
            </w:r>
          </w:p>
        </w:tc>
      </w:tr>
      <w:tr>
        <w:tc>
          <w:tcPr>
            <w:tcW w:type="dxa" w:w="1800"/>
          </w:tcPr>
          <w:p>
            <w:pPr>
              <w:spacing w:after="40"/>
            </w:pPr>
            <w:r/>
            <w:r>
              <w:rPr>
                <w:sz w:val="18"/>
              </w:rPr>
              <w:t>norm.transactions</w:t>
            </w:r>
          </w:p>
        </w:tc>
        <w:tc>
          <w:tcPr>
            <w:tcW w:type="dxa" w:w="3744"/>
          </w:tcPr>
          <w:p>
            <w:pPr>
              <w:spacing w:after="40"/>
            </w:pPr>
            <w:r/>
            <w:r>
              <w:rPr>
                <w:sz w:val="18"/>
              </w:rPr>
              <w:t>Normalised transaction legs with timestamps and sources</w:t>
            </w:r>
          </w:p>
        </w:tc>
        <w:tc>
          <w:tcPr>
            <w:tcW w:type="dxa" w:w="1944"/>
          </w:tcPr>
          <w:p>
            <w:pPr>
              <w:spacing w:after="40"/>
            </w:pPr>
            <w:r/>
            <w:r>
              <w:rPr>
                <w:sz w:val="18"/>
              </w:rPr>
              <w:t>90 days</w:t>
            </w:r>
          </w:p>
        </w:tc>
        <w:tc>
          <w:tcPr>
            <w:tcW w:type="dxa" w:w="3168"/>
          </w:tcPr>
          <w:p>
            <w:pPr>
              <w:spacing w:after="40"/>
            </w:pPr>
            <w:r/>
            <w:r>
              <w:rPr>
                <w:sz w:val="18"/>
              </w:rPr>
              <w:t>Verdict engine input</w:t>
            </w:r>
          </w:p>
        </w:tc>
      </w:tr>
      <w:tr>
        <w:tc>
          <w:tcPr>
            <w:tcW w:type="dxa" w:w="1800"/>
          </w:tcPr>
          <w:p>
            <w:pPr>
              <w:spacing w:after="40"/>
            </w:pPr>
            <w:r/>
            <w:r>
              <w:rPr>
                <w:sz w:val="18"/>
              </w:rPr>
              <w:t>norm.telemetry</w:t>
            </w:r>
          </w:p>
        </w:tc>
        <w:tc>
          <w:tcPr>
            <w:tcW w:type="dxa" w:w="3744"/>
          </w:tcPr>
          <w:p>
            <w:pPr>
              <w:spacing w:after="40"/>
            </w:pPr>
            <w:r/>
            <w:r>
              <w:rPr>
                <w:sz w:val="18"/>
              </w:rPr>
              <w:t>Normalised partition / OS / resource samples</w:t>
            </w:r>
          </w:p>
        </w:tc>
        <w:tc>
          <w:tcPr>
            <w:tcW w:type="dxa" w:w="1944"/>
          </w:tcPr>
          <w:p>
            <w:pPr>
              <w:spacing w:after="40"/>
            </w:pPr>
            <w:r/>
            <w:r>
              <w:rPr>
                <w:sz w:val="18"/>
              </w:rPr>
              <w:t>90 days</w:t>
            </w:r>
          </w:p>
        </w:tc>
        <w:tc>
          <w:tcPr>
            <w:tcW w:type="dxa" w:w="3168"/>
          </w:tcPr>
          <w:p>
            <w:pPr>
              <w:spacing w:after="40"/>
            </w:pPr>
            <w:r/>
            <w:r>
              <w:rPr>
                <w:sz w:val="18"/>
              </w:rPr>
              <w:t>Verdict engine input</w:t>
            </w:r>
          </w:p>
        </w:tc>
      </w:tr>
      <w:tr>
        <w:tc>
          <w:tcPr>
            <w:tcW w:type="dxa" w:w="1800"/>
          </w:tcPr>
          <w:p>
            <w:pPr>
              <w:spacing w:after="40"/>
            </w:pPr>
            <w:r/>
            <w:r>
              <w:rPr>
                <w:sz w:val="18"/>
              </w:rPr>
              <w:t>norm.faults</w:t>
            </w:r>
          </w:p>
        </w:tc>
        <w:tc>
          <w:tcPr>
            <w:tcW w:type="dxa" w:w="3744"/>
          </w:tcPr>
          <w:p>
            <w:pPr>
              <w:spacing w:after="40"/>
            </w:pPr>
            <w:r/>
            <w:r>
              <w:rPr>
                <w:sz w:val="18"/>
              </w:rPr>
              <w:t>Normalised fault and BITE observations</w:t>
            </w:r>
          </w:p>
        </w:tc>
        <w:tc>
          <w:tcPr>
            <w:tcW w:type="dxa" w:w="1944"/>
          </w:tcPr>
          <w:p>
            <w:pPr>
              <w:spacing w:after="40"/>
            </w:pPr>
            <w:r/>
            <w:r>
              <w:rPr>
                <w:sz w:val="18"/>
              </w:rPr>
              <w:t>1 year</w:t>
            </w:r>
          </w:p>
        </w:tc>
        <w:tc>
          <w:tcPr>
            <w:tcW w:type="dxa" w:w="3168"/>
          </w:tcPr>
          <w:p>
            <w:pPr>
              <w:spacing w:after="40"/>
            </w:pPr>
            <w:r/>
            <w:r>
              <w:rPr>
                <w:sz w:val="18"/>
              </w:rPr>
              <w:t>Robustness verdicts and maintenance</w:t>
            </w:r>
          </w:p>
        </w:tc>
      </w:tr>
      <w:tr>
        <w:tc>
          <w:tcPr>
            <w:tcW w:type="dxa" w:w="1800"/>
          </w:tcPr>
          <w:p>
            <w:pPr>
              <w:spacing w:after="40"/>
            </w:pPr>
            <w:r/>
            <w:r>
              <w:rPr>
                <w:sz w:val="18"/>
              </w:rPr>
              <w:t>verdicts.requirement</w:t>
            </w:r>
          </w:p>
        </w:tc>
        <w:tc>
          <w:tcPr>
            <w:tcW w:type="dxa" w:w="3744"/>
          </w:tcPr>
          <w:p>
            <w:pPr>
              <w:spacing w:after="40"/>
            </w:pPr>
            <w:r/>
            <w:r>
              <w:rPr>
                <w:sz w:val="18"/>
              </w:rPr>
              <w:t>Per-requirement verdicts, margins, evidence references, version</w:t>
            </w:r>
          </w:p>
        </w:tc>
        <w:tc>
          <w:tcPr>
            <w:tcW w:type="dxa" w:w="1944"/>
          </w:tcPr>
          <w:p>
            <w:pPr>
              <w:spacing w:after="40"/>
            </w:pPr>
            <w:r/>
            <w:r>
              <w:rPr>
                <w:sz w:val="18"/>
              </w:rPr>
              <w:t>Permanent (ledger-linked)</w:t>
            </w:r>
          </w:p>
        </w:tc>
        <w:tc>
          <w:tcPr>
            <w:tcW w:type="dxa" w:w="3168"/>
          </w:tcPr>
          <w:p>
            <w:pPr>
              <w:spacing w:after="40"/>
            </w:pPr>
            <w:r/>
            <w:r>
              <w:rPr>
                <w:sz w:val="18"/>
              </w:rPr>
              <w:t>The product</w:t>
            </w:r>
          </w:p>
        </w:tc>
      </w:tr>
      <w:tr>
        <w:tc>
          <w:tcPr>
            <w:tcW w:type="dxa" w:w="1800"/>
          </w:tcPr>
          <w:p>
            <w:pPr>
              <w:spacing w:after="40"/>
            </w:pPr>
            <w:r/>
            <w:r>
              <w:rPr>
                <w:sz w:val="18"/>
              </w:rPr>
              <w:t>alerts.symptoms</w:t>
            </w:r>
          </w:p>
        </w:tc>
        <w:tc>
          <w:tcPr>
            <w:tcW w:type="dxa" w:w="3744"/>
          </w:tcPr>
          <w:p>
            <w:pPr>
              <w:spacing w:after="40"/>
            </w:pPr>
            <w:r/>
            <w:r>
              <w:rPr>
                <w:sz w:val="18"/>
              </w:rPr>
              <w:t>Detected symptoms and pattern hypotheses</w:t>
            </w:r>
          </w:p>
        </w:tc>
        <w:tc>
          <w:tcPr>
            <w:tcW w:type="dxa" w:w="1944"/>
          </w:tcPr>
          <w:p>
            <w:pPr>
              <w:spacing w:after="40"/>
            </w:pPr>
            <w:r/>
            <w:r>
              <w:rPr>
                <w:sz w:val="18"/>
              </w:rPr>
              <w:t>1 year</w:t>
            </w:r>
          </w:p>
        </w:tc>
        <w:tc>
          <w:tcPr>
            <w:tcW w:type="dxa" w:w="3168"/>
          </w:tcPr>
          <w:p>
            <w:pPr>
              <w:spacing w:after="40"/>
            </w:pPr>
            <w:r/>
            <w:r>
              <w:rPr>
                <w:sz w:val="18"/>
              </w:rPr>
              <w:t>Operations</w:t>
            </w:r>
          </w:p>
        </w:tc>
      </w:tr>
    </w:tbl>
    <w:p>
      <w:pPr>
        <w:spacing w:after="40"/>
      </w:pPr>
    </w:p>
    <w:p>
      <w:pPr>
        <w:pStyle w:val="Heading2"/>
      </w:pPr>
      <w:r>
        <w:t>3.2 Data contracts (freeze these; they are your enablement insurance)</w:t>
      </w:r>
    </w:p>
    <w:p>
      <w:r>
        <w:rPr>
          <w:b w:val="0"/>
          <w:i/>
        </w:rPr>
        <w:t>Transaction record — the unit the verdict engine works on:</w:t>
      </w:r>
    </w:p>
    <w:p>
      <w:pPr>
        <w:spacing w:after="0" w:line="240" w:lineRule="auto"/>
        <w:ind w:left="173"/>
      </w:pPr>
      <w:r>
        <w:rPr>
          <w:rFonts w:ascii="Consolas" w:hAnsi="Consolas"/>
          <w:sz w:val="17"/>
        </w:rPr>
        <w:t>{</w:t>
      </w:r>
    </w:p>
    <w:p>
      <w:pPr>
        <w:spacing w:after="0" w:line="240" w:lineRule="auto"/>
        <w:ind w:left="173"/>
      </w:pPr>
      <w:r>
        <w:rPr>
          <w:rFonts w:ascii="Consolas" w:hAnsi="Consolas"/>
          <w:sz w:val="17"/>
        </w:rPr>
        <w:t xml:space="preserve">  "transaction_id": "T-2026-10-08-4f9a",</w:t>
      </w:r>
    </w:p>
    <w:p>
      <w:pPr>
        <w:spacing w:after="0" w:line="240" w:lineRule="auto"/>
        <w:ind w:left="173"/>
      </w:pPr>
      <w:r>
        <w:rPr>
          <w:rFonts w:ascii="Consolas" w:hAnsi="Consolas"/>
          <w:sz w:val="17"/>
        </w:rPr>
        <w:t xml:space="preserve">  "tail": "VT-XXX", "flight": "AI102", "aircraft_config": {</w:t>
      </w:r>
    </w:p>
    <w:p>
      <w:pPr>
        <w:spacing w:after="0" w:line="240" w:lineRule="auto"/>
        <w:ind w:left="173"/>
      </w:pPr>
      <w:r>
        <w:rPr>
          <w:rFonts w:ascii="Consolas" w:hAnsi="Consolas"/>
          <w:sz w:val="17"/>
        </w:rPr>
        <w:t xml:space="preserve">      "cmu_sw_pn": "PN-1234-05", "cmu_hw_pn": "PN-9876-01", "db_version": "DB-2026-07",</w:t>
      </w:r>
    </w:p>
    <w:p>
      <w:pPr>
        <w:spacing w:after="0" w:line="240" w:lineRule="auto"/>
        <w:ind w:left="173"/>
      </w:pPr>
      <w:r>
        <w:rPr>
          <w:rFonts w:ascii="Consolas" w:hAnsi="Consolas"/>
          <w:sz w:val="17"/>
        </w:rPr>
        <w:t xml:space="preserve">      "modem": "SATCOM-X", "subscription": "CPDLC-OCEANIC" },</w:t>
      </w:r>
    </w:p>
    <w:p>
      <w:pPr>
        <w:spacing w:after="0" w:line="240" w:lineRule="auto"/>
        <w:ind w:left="173"/>
      </w:pPr>
      <w:r>
        <w:rPr>
          <w:rFonts w:ascii="Consolas" w:hAnsi="Consolas"/>
          <w:sz w:val="17"/>
        </w:rPr>
        <w:t xml:space="preserve">  "message_type": "CPDLC_UPLINK", "direction": "GROUND_TO_AIR",</w:t>
      </w:r>
    </w:p>
    <w:p>
      <w:pPr>
        <w:spacing w:after="0" w:line="240" w:lineRule="auto"/>
        <w:ind w:left="173"/>
      </w:pPr>
      <w:r>
        <w:rPr>
          <w:rFonts w:ascii="Consolas" w:hAnsi="Consolas"/>
          <w:sz w:val="17"/>
        </w:rPr>
        <w:t xml:space="preserve">  "legs": [</w:t>
      </w:r>
    </w:p>
    <w:p>
      <w:pPr>
        <w:spacing w:after="0" w:line="240" w:lineRule="auto"/>
        <w:ind w:left="173"/>
      </w:pPr>
      <w:r>
        <w:rPr>
          <w:rFonts w:ascii="Consolas" w:hAnsi="Consolas"/>
          <w:sz w:val="17"/>
        </w:rPr>
        <w:t xml:space="preserve">    {"leg":"ground_origin_send",  "t":"2026-10-08T04:12:03.220Z","source":"CSP","offset_ms":0,  "uncert_ms":5},</w:t>
      </w:r>
    </w:p>
    <w:p>
      <w:pPr>
        <w:spacing w:after="0" w:line="240" w:lineRule="auto"/>
        <w:ind w:left="173"/>
      </w:pPr>
      <w:r>
        <w:rPr>
          <w:rFonts w:ascii="Consolas" w:hAnsi="Consolas"/>
          <w:sz w:val="17"/>
        </w:rPr>
        <w:t xml:space="preserve">    {"leg":"gnd_station_egress",  "t":"2026-10-08T04:12:03.480Z","source":"CSP","offset_ms":0,  "uncert_ms":5},</w:t>
      </w:r>
    </w:p>
    <w:p>
      <w:pPr>
        <w:spacing w:after="0" w:line="240" w:lineRule="auto"/>
        <w:ind w:left="173"/>
      </w:pPr>
      <w:r>
        <w:rPr>
          <w:rFonts w:ascii="Consolas" w:hAnsi="Consolas"/>
          <w:sz w:val="17"/>
        </w:rPr>
        <w:t xml:space="preserve">    {"leg":"aircraft_app_receipt", "t":"2026-10-08T04:12:06.100Z","source":"ACMS","offset_ms":-312,"uncert_ms":80},</w:t>
      </w:r>
    </w:p>
    <w:p>
      <w:pPr>
        <w:spacing w:after="0" w:line="240" w:lineRule="auto"/>
        <w:ind w:left="173"/>
      </w:pPr>
      <w:r>
        <w:rPr>
          <w:rFonts w:ascii="Consolas" w:hAnsi="Consolas"/>
          <w:sz w:val="17"/>
        </w:rPr>
        <w:t xml:space="preserve">    {"leg":"crew_response_send",  "t":"2026-10-08T04:12:31.000Z","source":"CSP","offset_ms":0,  "uncert_ms":5}</w:t>
      </w:r>
    </w:p>
    <w:p>
      <w:pPr>
        <w:spacing w:after="0" w:line="240" w:lineRule="auto"/>
        <w:ind w:left="173"/>
      </w:pPr>
      <w:r>
        <w:rPr>
          <w:rFonts w:ascii="Consolas" w:hAnsi="Consolas"/>
          <w:sz w:val="17"/>
        </w:rPr>
        <w:t xml:space="preserve">  ],</w:t>
      </w:r>
    </w:p>
    <w:p>
      <w:pPr>
        <w:spacing w:after="0" w:line="240" w:lineRule="auto"/>
        <w:ind w:left="173"/>
      </w:pPr>
      <w:r>
        <w:rPr>
          <w:rFonts w:ascii="Consolas" w:hAnsi="Consolas"/>
          <w:sz w:val="17"/>
        </w:rPr>
        <w:t xml:space="preserve">  "content_hash": "sha256:...", "source_flags": ["provider_supplied_timestamps"]</w:t>
      </w:r>
    </w:p>
    <w:p>
      <w:pPr>
        <w:spacing w:after="0" w:line="240" w:lineRule="auto"/>
        <w:ind w:left="173"/>
      </w:pPr>
      <w:r>
        <w:rPr>
          <w:rFonts w:ascii="Consolas" w:hAnsi="Consolas"/>
          <w:sz w:val="17"/>
        </w:rPr>
        <w:t>}</w:t>
      </w:r>
    </w:p>
    <w:p>
      <w:pPr>
        <w:spacing w:after="40"/>
      </w:pPr>
    </w:p>
    <w:p>
      <w:r>
        <w:rPr>
          <w:b w:val="0"/>
          <w:i/>
        </w:rPr>
        <w:t>Platform telemetry sample — the host-side evidence:</w:t>
      </w:r>
    </w:p>
    <w:p>
      <w:pPr>
        <w:spacing w:after="0" w:line="240" w:lineRule="auto"/>
        <w:ind w:left="173"/>
      </w:pPr>
      <w:r>
        <w:rPr>
          <w:rFonts w:ascii="Consolas" w:hAnsi="Consolas"/>
          <w:sz w:val="17"/>
        </w:rPr>
        <w:t>{ "tail":"VT-XXX","flight":"AI102","flight_phase":"CRUISE",</w:t>
      </w:r>
    </w:p>
    <w:p>
      <w:pPr>
        <w:spacing w:after="0" w:line="240" w:lineRule="auto"/>
        <w:ind w:left="173"/>
      </w:pPr>
      <w:r>
        <w:rPr>
          <w:rFonts w:ascii="Consolas" w:hAnsi="Consolas"/>
          <w:sz w:val="17"/>
        </w:rPr>
        <w:t xml:space="preserve">  "partition": {"id":"COMMS-P2","period_ms":100,"exec_ms":71.4,"budget_ms":80,</w:t>
      </w:r>
    </w:p>
    <w:p>
      <w:pPr>
        <w:spacing w:after="0" w:line="240" w:lineRule="auto"/>
        <w:ind w:left="173"/>
      </w:pPr>
      <w:r>
        <w:rPr>
          <w:rFonts w:ascii="Consolas" w:hAnsi="Consolas"/>
          <w:sz w:val="17"/>
        </w:rPr>
        <w:t xml:space="preserve">                "overrun_count":2,"release_jitter_ms":3.1,</w:t>
      </w:r>
    </w:p>
    <w:p>
      <w:pPr>
        <w:spacing w:after="0" w:line="240" w:lineRule="auto"/>
        <w:ind w:left="173"/>
      </w:pPr>
      <w:r>
        <w:rPr>
          <w:rFonts w:ascii="Consolas" w:hAnsi="Consolas"/>
          <w:sz w:val="17"/>
        </w:rPr>
        <w:t xml:space="preserve">                "queue_depth_max":17,"window_s":10},</w:t>
      </w:r>
    </w:p>
    <w:p>
      <w:pPr>
        <w:spacing w:after="0" w:line="240" w:lineRule="auto"/>
        <w:ind w:left="173"/>
      </w:pPr>
      <w:r>
        <w:rPr>
          <w:rFonts w:ascii="Consolas" w:hAnsi="Consolas"/>
          <w:sz w:val="17"/>
        </w:rPr>
        <w:t xml:space="preserve">  "os_events": [{"type":"deadline_miss","task":"DL_TX","at":"...","uncert_ms":80}],</w:t>
      </w:r>
    </w:p>
    <w:p>
      <w:pPr>
        <w:spacing w:after="0" w:line="240" w:lineRule="auto"/>
        <w:ind w:left="173"/>
      </w:pPr>
      <w:r>
        <w:rPr>
          <w:rFonts w:ascii="Consolas" w:hAnsi="Consolas"/>
          <w:sz w:val="17"/>
        </w:rPr>
        <w:t xml:space="preserve">  "source":"ACMS_REPORT","sample_interval_ms":10000 }</w:t>
      </w:r>
    </w:p>
    <w:p>
      <w:pPr>
        <w:spacing w:after="40"/>
      </w:pPr>
    </w:p>
    <w:p>
      <w:r>
        <w:rPr>
          <w:b w:val="0"/>
          <w:i/>
        </w:rPr>
        <w:t>Verdict record — the output that everything else explains:</w:t>
      </w:r>
    </w:p>
    <w:p>
      <w:pPr>
        <w:spacing w:after="0" w:line="240" w:lineRule="auto"/>
        <w:ind w:left="173"/>
      </w:pPr>
      <w:r>
        <w:rPr>
          <w:rFonts w:ascii="Consolas" w:hAnsi="Consolas"/>
          <w:sz w:val="17"/>
        </w:rPr>
        <w:t>{ "requirement_id":"SRS-DL-0142","rev":"C","verdict":"NON_CONFORMING",</w:t>
      </w:r>
    </w:p>
    <w:p>
      <w:pPr>
        <w:spacing w:after="0" w:line="240" w:lineRule="auto"/>
        <w:ind w:left="173"/>
      </w:pPr>
      <w:r>
        <w:rPr>
          <w:rFonts w:ascii="Consolas" w:hAnsi="Consolas"/>
          <w:sz w:val="17"/>
        </w:rPr>
        <w:t xml:space="preserve">  "acceptance":{"metric":"crew_response_time_s","limit":180,"measured":242},</w:t>
      </w:r>
    </w:p>
    <w:p>
      <w:pPr>
        <w:spacing w:after="0" w:line="240" w:lineRule="auto"/>
        <w:ind w:left="173"/>
      </w:pPr>
      <w:r>
        <w:rPr>
          <w:rFonts w:ascii="Consolas" w:hAnsi="Consolas"/>
          <w:sz w:val="17"/>
        </w:rPr>
        <w:t xml:space="preserve">  "evidence_class":"CREW_ACTION","evidence_refs":["T-2026-10-08-4f9a"],</w:t>
      </w:r>
    </w:p>
    <w:p>
      <w:pPr>
        <w:spacing w:after="0" w:line="240" w:lineRule="auto"/>
        <w:ind w:left="173"/>
      </w:pPr>
      <w:r>
        <w:rPr>
          <w:rFonts w:ascii="Consolas" w:hAnsi="Consolas"/>
          <w:sz w:val="17"/>
        </w:rPr>
        <w:t xml:space="preserve">  "margin":{"value_s":-62},"clock_uncert_ms":80,"monitor_version":"m-14",</w:t>
      </w:r>
    </w:p>
    <w:p>
      <w:pPr>
        <w:spacing w:after="0" w:line="240" w:lineRule="auto"/>
        <w:ind w:left="173"/>
      </w:pPr>
      <w:r>
        <w:rPr>
          <w:rFonts w:ascii="Consolas" w:hAnsi="Consolas"/>
          <w:sz w:val="17"/>
        </w:rPr>
        <w:t xml:space="preserve">  "cause_attribution":{"domain":"HOST_PLATFORM","rule":"stall_overlap+clean_link"},</w:t>
      </w:r>
    </w:p>
    <w:p>
      <w:pPr>
        <w:spacing w:after="0" w:line="240" w:lineRule="auto"/>
        <w:ind w:left="173"/>
      </w:pPr>
      <w:r>
        <w:rPr>
          <w:rFonts w:ascii="Consolas" w:hAnsi="Consolas"/>
          <w:sz w:val="17"/>
        </w:rPr>
        <w:t xml:space="preserve">  "verdict_version":2,"revised_reason":"late QAR confirmation","flight":"AI102" }</w:t>
      </w:r>
    </w:p>
    <w:p>
      <w:pPr>
        <w:spacing w:after="40"/>
      </w:pPr>
    </w:p>
    <w:p>
      <w:pPr>
        <w:pStyle w:val="Heading2"/>
      </w:pPr>
      <w:r>
        <w:t>3.3 Time alignment and uncertainty (the part most teams get wrong)</w:t>
      </w:r>
    </w:p>
    <w:p>
      <w:pPr>
        <w:pStyle w:val="ListBullet"/>
      </w:pPr>
      <w:r>
        <w:rPr>
          <w:b/>
        </w:rPr>
        <w:t xml:space="preserve">Ground side: </w:t>
      </w:r>
      <w:r>
        <w:t>all ground clocks disciplined by PTP or NTP against GNSS; every stored timestamp carries its source and uncertainty.</w:t>
      </w:r>
    </w:p>
    <w:p>
      <w:pPr>
        <w:pStyle w:val="ListBullet"/>
      </w:pPr>
      <w:r>
        <w:rPr>
          <w:b/>
        </w:rPr>
        <w:t xml:space="preserve">Air side: </w:t>
      </w:r>
      <w:r>
        <w:t>ACMS report timestamps and datalink timestamps arrive with different offsets. Estimate the aircraft-to-ground offset per flight leg by round-trip message pairing, and maintain a running offset and drift estimate.</w:t>
      </w:r>
    </w:p>
    <w:p>
      <w:pPr>
        <w:pStyle w:val="ListBullet"/>
      </w:pPr>
      <w:r>
        <w:rPr>
          <w:b/>
        </w:rPr>
        <w:t xml:space="preserve">Propagate, never hide: </w:t>
      </w:r>
      <w:r>
        <w:t>each derived quantity carries the propagated uncertainty. A verdict that depends on a comparison narrower than the propagated uncertainty is INDETERMINATE by construction — this is the rule that makes the output defensible.</w:t>
      </w:r>
    </w:p>
    <w:p>
      <w:pPr>
        <w:pStyle w:val="ListBullet"/>
      </w:pPr>
      <w:r>
        <w:rPr>
          <w:b/>
        </w:rPr>
        <w:t xml:space="preserve">Late and out-of-order data: </w:t>
      </w:r>
      <w:r>
        <w:t>process with watermarks; when a late QAR extract arrives and changes a verdict, publish a new verdict version with the revision reason rather than silently overwriting.</w:t>
      </w:r>
    </w:p>
    <w:p>
      <w:pPr>
        <w:pStyle w:val="Heading1"/>
      </w:pPr>
      <w:r>
        <w:t>4. Finding pattern issues and serious symptoms</w:t>
      </w:r>
    </w:p>
    <w:p>
      <w:r>
        <w:rPr>
          <w:b w:val="0"/>
          <w:i w:val="0"/>
        </w:rPr>
        <w:t>Two engines, deliberately separated. The deterministic engine finds known-shape problems and is auditable. The ML engine finds unknown-shape problems and is advisory. Both map their findings back to requirement identifiers, because a finding that cannot be traced to a requirement or to a symptom class is not actionable.</w:t>
      </w:r>
    </w:p>
    <w:p>
      <w:pPr>
        <w:pStyle w:val="Heading2"/>
      </w:pPr>
      <w:r>
        <w:t>4.1 Deterministic pattern library (deploy first, no training data required)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520"/>
            <w:shd w:fill="DCE6F1"/>
          </w:tcPr>
          <w:p>
            <w:r/>
            <w:r>
              <w:rPr>
                <w:b/>
                <w:sz w:val="18"/>
              </w:rPr>
              <w:t>Pattern</w:t>
            </w:r>
          </w:p>
        </w:tc>
        <w:tc>
          <w:tcPr>
            <w:tcW w:type="dxa" w:w="2952"/>
            <w:shd w:fill="DCE6F1"/>
          </w:tcPr>
          <w:p>
            <w:r/>
            <w:r>
              <w:rPr>
                <w:b/>
                <w:sz w:val="18"/>
              </w:rPr>
              <w:t>Detection method</w:t>
            </w:r>
          </w:p>
        </w:tc>
        <w:tc>
          <w:tcPr>
            <w:tcW w:type="dxa" w:w="3384"/>
            <w:shd w:fill="DCE6F1"/>
          </w:tcPr>
          <w:p>
            <w:r/>
            <w:r>
              <w:rPr>
                <w:b/>
                <w:sz w:val="18"/>
              </w:rPr>
              <w:t>What it means</w:t>
            </w:r>
          </w:p>
        </w:tc>
        <w:tc>
          <w:tcPr>
            <w:tcW w:type="dxa" w:w="2664"/>
            <w:shd w:fill="DCE6F1"/>
          </w:tcPr>
          <w:p>
            <w:r/>
            <w:r>
              <w:rPr>
                <w:b/>
                <w:sz w:val="18"/>
              </w:rPr>
              <w:t>Action</w:t>
            </w:r>
          </w:p>
        </w:tc>
      </w:tr>
      <w:tr>
        <w:tc>
          <w:tcPr>
            <w:tcW w:type="dxa" w:w="2520"/>
          </w:tcPr>
          <w:p>
            <w:pPr>
              <w:spacing w:after="40"/>
            </w:pPr>
            <w:r/>
            <w:r>
              <w:rPr>
                <w:sz w:val="18"/>
              </w:rPr>
              <w:t>Recurring requirement failure on one tail</w:t>
            </w:r>
          </w:p>
        </w:tc>
        <w:tc>
          <w:tcPr>
            <w:tcW w:type="dxa" w:w="2952"/>
          </w:tcPr>
          <w:p>
            <w:pPr>
              <w:spacing w:after="40"/>
            </w:pPr>
            <w:r/>
            <w:r>
              <w:rPr>
                <w:sz w:val="18"/>
              </w:rPr>
              <w:t>Frequency count per requirement per tail over a rolling window</w:t>
            </w:r>
          </w:p>
        </w:tc>
        <w:tc>
          <w:tcPr>
            <w:tcW w:type="dxa" w:w="3384"/>
          </w:tcPr>
          <w:p>
            <w:pPr>
              <w:spacing w:after="40"/>
            </w:pPr>
            <w:r/>
            <w:r>
              <w:rPr>
                <w:sz w:val="18"/>
              </w:rPr>
              <w:t>Systematic defect, not a transient</w:t>
            </w:r>
          </w:p>
        </w:tc>
        <w:tc>
          <w:tcPr>
            <w:tcW w:type="dxa" w:w="2664"/>
          </w:tcPr>
          <w:p>
            <w:pPr>
              <w:spacing w:after="40"/>
            </w:pPr>
            <w:r/>
            <w:r>
              <w:rPr>
                <w:sz w:val="18"/>
              </w:rPr>
              <w:t>Maintenance action on that LRU</w:t>
            </w:r>
          </w:p>
        </w:tc>
      </w:tr>
      <w:tr>
        <w:tc>
          <w:tcPr>
            <w:tcW w:type="dxa" w:w="2520"/>
          </w:tcPr>
          <w:p>
            <w:pPr>
              <w:spacing w:after="40"/>
            </w:pPr>
            <w:r/>
            <w:r>
              <w:rPr>
                <w:sz w:val="18"/>
              </w:rPr>
              <w:t>Co-occurrence of two requirement failures</w:t>
            </w:r>
          </w:p>
        </w:tc>
        <w:tc>
          <w:tcPr>
            <w:tcW w:type="dxa" w:w="2952"/>
          </w:tcPr>
          <w:p>
            <w:pPr>
              <w:spacing w:after="40"/>
            </w:pPr>
            <w:r/>
            <w:r>
              <w:rPr>
                <w:sz w:val="18"/>
              </w:rPr>
              <w:t>Frequent-itemset mining over verdict vectors</w:t>
            </w:r>
          </w:p>
        </w:tc>
        <w:tc>
          <w:tcPr>
            <w:tcW w:type="dxa" w:w="3384"/>
          </w:tcPr>
          <w:p>
            <w:pPr>
              <w:spacing w:after="40"/>
            </w:pPr>
            <w:r/>
            <w:r>
              <w:rPr>
                <w:sz w:val="18"/>
              </w:rPr>
              <w:t>One is the cause of the other (for example partition overrun always precedes response-window violation)</w:t>
            </w:r>
          </w:p>
        </w:tc>
        <w:tc>
          <w:tcPr>
            <w:tcW w:type="dxa" w:w="2664"/>
          </w:tcPr>
          <w:p>
            <w:pPr>
              <w:spacing w:after="40"/>
            </w:pPr>
            <w:r/>
            <w:r>
              <w:rPr>
                <w:sz w:val="18"/>
              </w:rPr>
              <w:t>Reclassify the cause domain; fix the upstream one</w:t>
            </w:r>
          </w:p>
        </w:tc>
      </w:tr>
      <w:tr>
        <w:tc>
          <w:tcPr>
            <w:tcW w:type="dxa" w:w="2520"/>
          </w:tcPr>
          <w:p>
            <w:pPr>
              <w:spacing w:after="40"/>
            </w:pPr>
            <w:r/>
            <w:r>
              <w:rPr>
                <w:sz w:val="18"/>
              </w:rPr>
              <w:t>Route- or airspace-localised failures</w:t>
            </w:r>
          </w:p>
        </w:tc>
        <w:tc>
          <w:tcPr>
            <w:tcW w:type="dxa" w:w="2952"/>
          </w:tcPr>
          <w:p>
            <w:pPr>
              <w:spacing w:after="40"/>
            </w:pPr>
            <w:r/>
            <w:r>
              <w:rPr>
                <w:sz w:val="18"/>
              </w:rPr>
              <w:t>Geographic and route clustering of non-conformances</w:t>
            </w:r>
          </w:p>
        </w:tc>
        <w:tc>
          <w:tcPr>
            <w:tcW w:type="dxa" w:w="3384"/>
          </w:tcPr>
          <w:p>
            <w:pPr>
              <w:spacing w:after="40"/>
            </w:pPr>
            <w:r/>
            <w:r>
              <w:rPr>
                <w:sz w:val="18"/>
              </w:rPr>
              <w:t>Airspace, ground-station or interference cause</w:t>
            </w:r>
          </w:p>
        </w:tc>
        <w:tc>
          <w:tcPr>
            <w:tcW w:type="dxa" w:w="2664"/>
          </w:tcPr>
          <w:p>
            <w:pPr>
              <w:spacing w:after="40"/>
            </w:pPr>
            <w:r/>
            <w:r>
              <w:rPr>
                <w:sz w:val="18"/>
              </w:rPr>
              <w:t>Network escalation to the CSP or ANSP</w:t>
            </w:r>
          </w:p>
        </w:tc>
      </w:tr>
      <w:tr>
        <w:tc>
          <w:tcPr>
            <w:tcW w:type="dxa" w:w="2520"/>
          </w:tcPr>
          <w:p>
            <w:pPr>
              <w:spacing w:after="40"/>
            </w:pPr>
            <w:r/>
            <w:r>
              <w:rPr>
                <w:sz w:val="18"/>
              </w:rPr>
              <w:t>Time-of-day periodicity</w:t>
            </w:r>
          </w:p>
        </w:tc>
        <w:tc>
          <w:tcPr>
            <w:tcW w:type="dxa" w:w="2952"/>
          </w:tcPr>
          <w:p>
            <w:pPr>
              <w:spacing w:after="40"/>
            </w:pPr>
            <w:r/>
            <w:r>
              <w:rPr>
                <w:sz w:val="18"/>
              </w:rPr>
              <w:t>Autocorrelation and periodicity tests on non-conformance timestamps</w:t>
            </w:r>
          </w:p>
        </w:tc>
        <w:tc>
          <w:tcPr>
            <w:tcW w:type="dxa" w:w="3384"/>
          </w:tcPr>
          <w:p>
            <w:pPr>
              <w:spacing w:after="40"/>
            </w:pPr>
            <w:r/>
            <w:r>
              <w:rPr>
                <w:sz w:val="18"/>
              </w:rPr>
              <w:t>Load or scheduling effect</w:t>
            </w:r>
          </w:p>
        </w:tc>
        <w:tc>
          <w:tcPr>
            <w:tcW w:type="dxa" w:w="2664"/>
          </w:tcPr>
          <w:p>
            <w:pPr>
              <w:spacing w:after="40"/>
            </w:pPr>
            <w:r/>
            <w:r>
              <w:rPr>
                <w:sz w:val="18"/>
              </w:rPr>
              <w:t>Capacity or subscription change</w:t>
            </w:r>
          </w:p>
        </w:tc>
      </w:tr>
      <w:tr>
        <w:tc>
          <w:tcPr>
            <w:tcW w:type="dxa" w:w="2520"/>
          </w:tcPr>
          <w:p>
            <w:pPr>
              <w:spacing w:after="40"/>
            </w:pPr>
            <w:r/>
            <w:r>
              <w:rPr>
                <w:sz w:val="18"/>
              </w:rPr>
              <w:t>Margin decay on a conforming requirement</w:t>
            </w:r>
          </w:p>
        </w:tc>
        <w:tc>
          <w:tcPr>
            <w:tcW w:type="dxa" w:w="2952"/>
          </w:tcPr>
          <w:p>
            <w:pPr>
              <w:spacing w:after="40"/>
            </w:pPr>
            <w:r/>
            <w:r>
              <w:rPr>
                <w:sz w:val="18"/>
              </w:rPr>
              <w:t>Change-point detection (CUSUM / Bayesian online) on the margin time series</w:t>
            </w:r>
          </w:p>
        </w:tc>
        <w:tc>
          <w:tcPr>
            <w:tcW w:type="dxa" w:w="3384"/>
          </w:tcPr>
          <w:p>
            <w:pPr>
              <w:spacing w:after="40"/>
            </w:pPr>
            <w:r/>
            <w:r>
              <w:rPr>
                <w:sz w:val="18"/>
              </w:rPr>
              <w:t>Degradation before failure</w:t>
            </w:r>
          </w:p>
        </w:tc>
        <w:tc>
          <w:tcPr>
            <w:tcW w:type="dxa" w:w="2664"/>
          </w:tcPr>
          <w:p>
            <w:pPr>
              <w:spacing w:after="40"/>
            </w:pPr>
            <w:r/>
            <w:r>
              <w:rPr>
                <w:sz w:val="18"/>
              </w:rPr>
              <w:t>Scheduled maintenance before violation</w:t>
            </w:r>
          </w:p>
        </w:tc>
      </w:tr>
      <w:tr>
        <w:tc>
          <w:tcPr>
            <w:tcW w:type="dxa" w:w="2520"/>
          </w:tcPr>
          <w:p>
            <w:pPr>
              <w:spacing w:after="40"/>
            </w:pPr>
            <w:r/>
            <w:r>
              <w:rPr>
                <w:sz w:val="18"/>
              </w:rPr>
              <w:t>Link flapping</w:t>
            </w:r>
          </w:p>
        </w:tc>
        <w:tc>
          <w:tcPr>
            <w:tcW w:type="dxa" w:w="2952"/>
          </w:tcPr>
          <w:p>
            <w:pPr>
              <w:spacing w:after="40"/>
            </w:pPr>
            <w:r/>
            <w:r>
              <w:rPr>
                <w:sz w:val="18"/>
              </w:rPr>
              <w:t>Count of link-state and subnetwork transitions per hour</w:t>
            </w:r>
          </w:p>
        </w:tc>
        <w:tc>
          <w:tcPr>
            <w:tcW w:type="dxa" w:w="3384"/>
          </w:tcPr>
          <w:p>
            <w:pPr>
              <w:spacing w:after="40"/>
            </w:pPr>
            <w:r/>
            <w:r>
              <w:rPr>
                <w:sz w:val="18"/>
              </w:rPr>
              <w:t>Unstable link, handover problem</w:t>
            </w:r>
          </w:p>
        </w:tc>
        <w:tc>
          <w:tcPr>
            <w:tcW w:type="dxa" w:w="2664"/>
          </w:tcPr>
          <w:p>
            <w:pPr>
              <w:spacing w:after="40"/>
            </w:pPr>
            <w:r/>
            <w:r>
              <w:rPr>
                <w:sz w:val="18"/>
              </w:rPr>
              <w:t>Link reconfiguration or radio maintenance</w:t>
            </w:r>
          </w:p>
        </w:tc>
      </w:tr>
      <w:tr>
        <w:tc>
          <w:tcPr>
            <w:tcW w:type="dxa" w:w="2520"/>
          </w:tcPr>
          <w:p>
            <w:pPr>
              <w:spacing w:after="40"/>
            </w:pPr>
            <w:r/>
            <w:r>
              <w:rPr>
                <w:sz w:val="18"/>
              </w:rPr>
              <w:t>Message-loss bursts</w:t>
            </w:r>
          </w:p>
        </w:tc>
        <w:tc>
          <w:tcPr>
            <w:tcW w:type="dxa" w:w="2952"/>
          </w:tcPr>
          <w:p>
            <w:pPr>
              <w:spacing w:after="40"/>
            </w:pPr>
            <w:r/>
            <w:r>
              <w:rPr>
                <w:sz w:val="18"/>
              </w:rPr>
              <w:t>Burst detection on missing acknowledgements and aborts</w:t>
            </w:r>
          </w:p>
        </w:tc>
        <w:tc>
          <w:tcPr>
            <w:tcW w:type="dxa" w:w="3384"/>
          </w:tcPr>
          <w:p>
            <w:pPr>
              <w:spacing w:after="40"/>
            </w:pPr>
            <w:r/>
            <w:r>
              <w:rPr>
                <w:sz w:val="18"/>
              </w:rPr>
              <w:t>Congestion or RF interference</w:t>
            </w:r>
          </w:p>
        </w:tc>
        <w:tc>
          <w:tcPr>
            <w:tcW w:type="dxa" w:w="2664"/>
          </w:tcPr>
          <w:p>
            <w:pPr>
              <w:spacing w:after="40"/>
            </w:pPr>
            <w:r/>
            <w:r>
              <w:rPr>
                <w:sz w:val="18"/>
              </w:rPr>
              <w:t>Congestion handling or interference escalation</w:t>
            </w:r>
          </w:p>
        </w:tc>
      </w:tr>
      <w:tr>
        <w:tc>
          <w:tcPr>
            <w:tcW w:type="dxa" w:w="2520"/>
          </w:tcPr>
          <w:p>
            <w:pPr>
              <w:spacing w:after="40"/>
            </w:pPr>
            <w:r/>
            <w:r>
              <w:rPr>
                <w:sz w:val="18"/>
              </w:rPr>
              <w:t>Crew-response clustering at the limit</w:t>
            </w:r>
          </w:p>
        </w:tc>
        <w:tc>
          <w:tcPr>
            <w:tcW w:type="dxa" w:w="2952"/>
          </w:tcPr>
          <w:p>
            <w:pPr>
              <w:spacing w:after="40"/>
            </w:pPr>
            <w:r/>
            <w:r>
              <w:rPr>
                <w:sz w:val="18"/>
              </w:rPr>
              <w:t>Distribution shift in response times against the tail own baseline</w:t>
            </w:r>
          </w:p>
        </w:tc>
        <w:tc>
          <w:tcPr>
            <w:tcW w:type="dxa" w:w="3384"/>
          </w:tcPr>
          <w:p>
            <w:pPr>
              <w:spacing w:after="40"/>
            </w:pPr>
            <w:r/>
            <w:r>
              <w:rPr>
                <w:sz w:val="18"/>
              </w:rPr>
              <w:t>Workload or human-factors effect, or a display problem</w:t>
            </w:r>
          </w:p>
        </w:tc>
        <w:tc>
          <w:tcPr>
            <w:tcW w:type="dxa" w:w="2664"/>
          </w:tcPr>
          <w:p>
            <w:pPr>
              <w:spacing w:after="40"/>
            </w:pPr>
            <w:r/>
            <w:r>
              <w:rPr>
                <w:sz w:val="18"/>
              </w:rPr>
              <w:t>Training, procedure or display review</w:t>
            </w:r>
          </w:p>
        </w:tc>
      </w:tr>
      <w:tr>
        <w:tc>
          <w:tcPr>
            <w:tcW w:type="dxa" w:w="2520"/>
          </w:tcPr>
          <w:p>
            <w:pPr>
              <w:spacing w:after="40"/>
            </w:pPr>
            <w:r/>
            <w:r>
              <w:rPr>
                <w:sz w:val="18"/>
              </w:rPr>
              <w:t>Configuration drift</w:t>
            </w:r>
          </w:p>
        </w:tc>
        <w:tc>
          <w:tcPr>
            <w:tcW w:type="dxa" w:w="2952"/>
          </w:tcPr>
          <w:p>
            <w:pPr>
              <w:spacing w:after="40"/>
            </w:pPr>
            <w:r/>
            <w:r>
              <w:rPr>
                <w:sz w:val="18"/>
              </w:rPr>
              <w:t>Compare configuration snapshot with the certified baseline per requirement</w:t>
            </w:r>
          </w:p>
        </w:tc>
        <w:tc>
          <w:tcPr>
            <w:tcW w:type="dxa" w:w="3384"/>
          </w:tcPr>
          <w:p>
            <w:pPr>
              <w:spacing w:after="40"/>
            </w:pPr>
            <w:r/>
            <w:r>
              <w:rPr>
                <w:sz w:val="18"/>
              </w:rPr>
              <w:t>Monitor instantiated against the wrong revision</w:t>
            </w:r>
          </w:p>
        </w:tc>
        <w:tc>
          <w:tcPr>
            <w:tcW w:type="dxa" w:w="2664"/>
          </w:tcPr>
          <w:p>
            <w:pPr>
              <w:spacing w:after="40"/>
            </w:pPr>
            <w:r/>
            <w:r>
              <w:rPr>
                <w:sz w:val="18"/>
              </w:rPr>
              <w:t>Correct the configuration; re-run the flight</w:t>
            </w:r>
          </w:p>
        </w:tc>
      </w:tr>
      <w:tr>
        <w:tc>
          <w:tcPr>
            <w:tcW w:type="dxa" w:w="2520"/>
          </w:tcPr>
          <w:p>
            <w:pPr>
              <w:spacing w:after="40"/>
            </w:pPr>
            <w:r/>
            <w:r>
              <w:rPr>
                <w:sz w:val="18"/>
              </w:rPr>
              <w:t>Coverage erosion</w:t>
            </w:r>
          </w:p>
        </w:tc>
        <w:tc>
          <w:tcPr>
            <w:tcW w:type="dxa" w:w="2952"/>
          </w:tcPr>
          <w:p>
            <w:pPr>
              <w:spacing w:after="40"/>
            </w:pPr>
            <w:r/>
            <w:r>
              <w:rPr>
                <w:sz w:val="18"/>
              </w:rPr>
              <w:t>Track the not-exercised set over time per route and software load</w:t>
            </w:r>
          </w:p>
        </w:tc>
        <w:tc>
          <w:tcPr>
            <w:tcW w:type="dxa" w:w="3384"/>
          </w:tcPr>
          <w:p>
            <w:pPr>
              <w:spacing w:after="40"/>
            </w:pPr>
            <w:r/>
            <w:r>
              <w:rPr>
                <w:sz w:val="18"/>
              </w:rPr>
              <w:t>Requirements no longer demonstrated in service</w:t>
            </w:r>
          </w:p>
        </w:tc>
        <w:tc>
          <w:tcPr>
            <w:tcW w:type="dxa" w:w="2664"/>
          </w:tcPr>
          <w:p>
            <w:pPr>
              <w:spacing w:after="40"/>
            </w:pPr>
            <w:r/>
            <w:r>
              <w:rPr>
                <w:sz w:val="18"/>
              </w:rPr>
              <w:t>Test-case selection; coverage account report</w:t>
            </w:r>
          </w:p>
        </w:tc>
      </w:tr>
    </w:tbl>
    <w:p>
      <w:pPr>
        <w:spacing w:after="40"/>
      </w:pPr>
    </w:p>
    <w:p>
      <w:pPr>
        <w:pStyle w:val="Heading2"/>
      </w:pPr>
      <w:r>
        <w:t>4.2 Machine-learning layer (advisory only, admitted through the gate)</w:t>
      </w:r>
    </w:p>
    <w:p>
      <w:pPr>
        <w:pStyle w:val="ListBullet"/>
      </w:pPr>
      <w:r>
        <w:rPr>
          <w:b/>
        </w:rPr>
        <w:t xml:space="preserve">Unsupervised anomaly detection: </w:t>
      </w:r>
      <w:r>
        <w:t>isolation forest or autoencoder reconstruction error over per-transaction feature vectors, baselined per tail, per route and per time-of-day. Finds unknown-shape issues without labels.</w:t>
      </w:r>
    </w:p>
    <w:p>
      <w:pPr>
        <w:pStyle w:val="ListBullet"/>
      </w:pPr>
      <w:r>
        <w:rPr>
          <w:b/>
        </w:rPr>
        <w:t xml:space="preserve">Sequence novelty: </w:t>
      </w:r>
      <w:r>
        <w:t>next-event prediction over the per-flight event sequence; a high surprise score flags an unusual order of events (for example a subnetwork switch at an unexpected phase).</w:t>
      </w:r>
    </w:p>
    <w:p>
      <w:pPr>
        <w:pStyle w:val="ListBullet"/>
      </w:pPr>
      <w:r>
        <w:rPr>
          <w:b/>
        </w:rPr>
        <w:t xml:space="preserve">Change-point and trend models: </w:t>
      </w:r>
      <w:r>
        <w:t>already listed deterministically, but with learned thresholds per equipment type rather than fixed ones.</w:t>
      </w:r>
    </w:p>
    <w:p>
      <w:pPr>
        <w:pStyle w:val="ListBullet"/>
      </w:pPr>
      <w:r>
        <w:rPr>
          <w:b/>
        </w:rPr>
        <w:t xml:space="preserve">Interference and threat signature learning: </w:t>
      </w:r>
      <w:r>
        <w:t>train classifiers on RF features (channel occupancy, error counters, noise floor, handover failures) collected from your own receivers and from ground-station telemetry. The label flywheel below is what makes this self-improving.</w:t>
      </w:r>
    </w:p>
    <w:p>
      <w:pPr>
        <w:pStyle w:val="ListBullet"/>
      </w:pPr>
      <w:r>
        <w:rPr>
          <w:b/>
        </w:rPr>
        <w:t xml:space="preserve">Attribution model: </w:t>
      </w:r>
      <w:r>
        <w:t>given a non-conforming verdict, learn which combination of evidence distinguishes network, link, host-platform and crew causes — the learned model proposes a cause, the deterministic rule set confirms it.</w:t>
      </w:r>
    </w:p>
    <w:p>
      <w:pPr>
        <w:pStyle w:val="Heading2"/>
      </w:pPr>
      <w:r>
        <w:t>4.3 The label flywheel (how "self-learning" actually happens without in-flight retraining)</w:t>
      </w:r>
    </w:p>
    <w:p>
      <w:pPr>
        <w:pStyle w:val="ListNumber"/>
      </w:pPr>
      <w:r>
        <w:t>A pattern or symptom is detected and recorded as a hypothesis with its evidence.</w:t>
      </w:r>
    </w:p>
    <w:p>
      <w:pPr>
        <w:pStyle w:val="ListNumber"/>
      </w:pPr>
      <w:r>
        <w:t>The hypothesis is shown to the airline engineer alongside the maintenance action it suggests.</w:t>
      </w:r>
    </w:p>
    <w:p>
      <w:pPr>
        <w:pStyle w:val="ListNumber"/>
      </w:pPr>
      <w:r>
        <w:t>The engineer either confirms or rejects the action, or the maintenance finding is recorded when the LRU is removed.</w:t>
      </w:r>
    </w:p>
    <w:p>
      <w:pPr>
        <w:pStyle w:val="ListNumber"/>
      </w:pPr>
      <w:r>
        <w:t>The confirmation becomes a label; the raw window that produced the hypothesis is retrieved from the object store and labelled.</w:t>
      </w:r>
    </w:p>
    <w:p>
      <w:pPr>
        <w:pStyle w:val="ListNumber"/>
      </w:pPr>
      <w:r>
        <w:t>The signature or attribution model is retrained on the new labels on the ground, validated against the frozen regression corpus, and only then promoted.</w:t>
      </w:r>
    </w:p>
    <w:p>
      <w:pPr>
        <w:pStyle w:val="ListNumber"/>
      </w:pPr>
      <w:r>
        <w:t>Promotion is recorded; the aircraft never receives executable changes — only advisory data.</w:t>
      </w:r>
    </w:p>
    <w:p>
      <w:pPr>
        <w:pStyle w:val="Heading2"/>
      </w:pPr>
      <w:r>
        <w:t>4.4 Serious symptom catalogue (the escalation surface)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320"/>
            <w:shd w:fill="DCE6F1"/>
          </w:tcPr>
          <w:p>
            <w:r/>
            <w:r>
              <w:rPr>
                <w:b/>
                <w:sz w:val="18"/>
              </w:rPr>
              <w:t>Symptom</w:t>
            </w:r>
          </w:p>
        </w:tc>
        <w:tc>
          <w:tcPr>
            <w:tcW w:type="dxa" w:w="1224"/>
            <w:shd w:fill="DCE6F1"/>
          </w:tcPr>
          <w:p>
            <w:r/>
            <w:r>
              <w:rPr>
                <w:b/>
                <w:sz w:val="18"/>
              </w:rPr>
              <w:t>Severity</w:t>
            </w:r>
          </w:p>
        </w:tc>
        <w:tc>
          <w:tcPr>
            <w:tcW w:type="dxa" w:w="2664"/>
            <w:shd w:fill="DCE6F1"/>
          </w:tcPr>
          <w:p>
            <w:r/>
            <w:r>
              <w:rPr>
                <w:b/>
                <w:sz w:val="18"/>
              </w:rPr>
              <w:t>Primary suspicion</w:t>
            </w:r>
          </w:p>
        </w:tc>
        <w:tc>
          <w:tcPr>
            <w:tcW w:type="dxa" w:w="3312"/>
            <w:shd w:fill="DCE6F1"/>
          </w:tcPr>
          <w:p>
            <w:r/>
            <w:r>
              <w:rPr>
                <w:b/>
                <w:sz w:val="18"/>
              </w:rPr>
              <w:t>Requirement class affected</w:t>
            </w:r>
          </w:p>
        </w:tc>
      </w:tr>
      <w:tr>
        <w:tc>
          <w:tcPr>
            <w:tcW w:type="dxa" w:w="4320"/>
          </w:tcPr>
          <w:p>
            <w:pPr>
              <w:spacing w:after="40"/>
            </w:pPr>
            <w:r/>
            <w:r>
              <w:rPr>
                <w:sz w:val="18"/>
              </w:rPr>
              <w:t>End-to-end transaction beyond the operational threshold</w:t>
            </w:r>
          </w:p>
        </w:tc>
        <w:tc>
          <w:tcPr>
            <w:tcW w:type="dxa" w:w="1224"/>
          </w:tcPr>
          <w:p>
            <w:pPr>
              <w:spacing w:after="40"/>
            </w:pPr>
            <w:r/>
            <w:r>
              <w:rPr>
                <w:sz w:val="18"/>
              </w:rPr>
              <w:t>High</w:t>
            </w:r>
          </w:p>
        </w:tc>
        <w:tc>
          <w:tcPr>
            <w:tcW w:type="dxa" w:w="2664"/>
          </w:tcPr>
          <w:p>
            <w:pPr>
              <w:spacing w:after="40"/>
            </w:pPr>
            <w:r/>
            <w:r>
              <w:rPr>
                <w:sz w:val="18"/>
              </w:rPr>
              <w:t>Network or link</w:t>
            </w:r>
          </w:p>
        </w:tc>
        <w:tc>
          <w:tcPr>
            <w:tcW w:type="dxa" w:w="3312"/>
          </w:tcPr>
          <w:p>
            <w:pPr>
              <w:spacing w:after="40"/>
            </w:pPr>
            <w:r/>
            <w:r>
              <w:rPr>
                <w:sz w:val="18"/>
              </w:rPr>
              <w:t>Performance / timing</w:t>
            </w:r>
          </w:p>
        </w:tc>
      </w:tr>
      <w:tr>
        <w:tc>
          <w:tcPr>
            <w:tcW w:type="dxa" w:w="4320"/>
          </w:tcPr>
          <w:p>
            <w:pPr>
              <w:spacing w:after="40"/>
            </w:pPr>
            <w:r/>
            <w:r>
              <w:rPr>
                <w:sz w:val="18"/>
              </w:rPr>
              <w:t>Repeated transaction abort or provider abort</w:t>
            </w:r>
          </w:p>
        </w:tc>
        <w:tc>
          <w:tcPr>
            <w:tcW w:type="dxa" w:w="1224"/>
          </w:tcPr>
          <w:p>
            <w:pPr>
              <w:spacing w:after="40"/>
            </w:pPr>
            <w:r/>
            <w:r>
              <w:rPr>
                <w:sz w:val="18"/>
              </w:rPr>
              <w:t>High</w:t>
            </w:r>
          </w:p>
        </w:tc>
        <w:tc>
          <w:tcPr>
            <w:tcW w:type="dxa" w:w="2664"/>
          </w:tcPr>
          <w:p>
            <w:pPr>
              <w:spacing w:after="40"/>
            </w:pPr>
            <w:r/>
            <w:r>
              <w:rPr>
                <w:sz w:val="18"/>
              </w:rPr>
              <w:t>Network, CSP, or avionics handling</w:t>
            </w:r>
          </w:p>
        </w:tc>
        <w:tc>
          <w:tcPr>
            <w:tcW w:type="dxa" w:w="3312"/>
          </w:tcPr>
          <w:p>
            <w:pPr>
              <w:spacing w:after="40"/>
            </w:pPr>
            <w:r/>
            <w:r>
              <w:rPr>
                <w:sz w:val="18"/>
              </w:rPr>
              <w:t>Functional / robustness</w:t>
            </w:r>
          </w:p>
        </w:tc>
      </w:tr>
      <w:tr>
        <w:tc>
          <w:tcPr>
            <w:tcW w:type="dxa" w:w="4320"/>
          </w:tcPr>
          <w:p>
            <w:pPr>
              <w:spacing w:after="40"/>
            </w:pPr>
            <w:r/>
            <w:r>
              <w:rPr>
                <w:sz w:val="18"/>
              </w:rPr>
              <w:t>Missing acknowledgement / uplink not processed</w:t>
            </w:r>
          </w:p>
        </w:tc>
        <w:tc>
          <w:tcPr>
            <w:tcW w:type="dxa" w:w="1224"/>
          </w:tcPr>
          <w:p>
            <w:pPr>
              <w:spacing w:after="40"/>
            </w:pPr>
            <w:r/>
            <w:r>
              <w:rPr>
                <w:sz w:val="18"/>
              </w:rPr>
              <w:t>Critical</w:t>
            </w:r>
          </w:p>
        </w:tc>
        <w:tc>
          <w:tcPr>
            <w:tcW w:type="dxa" w:w="2664"/>
          </w:tcPr>
          <w:p>
            <w:pPr>
              <w:spacing w:after="40"/>
            </w:pPr>
            <w:r/>
            <w:r>
              <w:rPr>
                <w:sz w:val="18"/>
              </w:rPr>
              <w:t>Avionics handling or crew omission</w:t>
            </w:r>
          </w:p>
        </w:tc>
        <w:tc>
          <w:tcPr>
            <w:tcW w:type="dxa" w:w="3312"/>
          </w:tcPr>
          <w:p>
            <w:pPr>
              <w:spacing w:after="40"/>
            </w:pPr>
            <w:r/>
            <w:r>
              <w:rPr>
                <w:sz w:val="18"/>
              </w:rPr>
              <w:t>Functional / crew response</w:t>
            </w:r>
          </w:p>
        </w:tc>
      </w:tr>
      <w:tr>
        <w:tc>
          <w:tcPr>
            <w:tcW w:type="dxa" w:w="4320"/>
          </w:tcPr>
          <w:p>
            <w:pPr>
              <w:spacing w:after="40"/>
            </w:pPr>
            <w:r/>
            <w:r>
              <w:rPr>
                <w:sz w:val="18"/>
              </w:rPr>
              <w:t>Partition overrun during a transaction window</w:t>
            </w:r>
          </w:p>
        </w:tc>
        <w:tc>
          <w:tcPr>
            <w:tcW w:type="dxa" w:w="1224"/>
          </w:tcPr>
          <w:p>
            <w:pPr>
              <w:spacing w:after="40"/>
            </w:pPr>
            <w:r/>
            <w:r>
              <w:rPr>
                <w:sz w:val="18"/>
              </w:rPr>
              <w:t>High</w:t>
            </w:r>
          </w:p>
        </w:tc>
        <w:tc>
          <w:tcPr>
            <w:tcW w:type="dxa" w:w="2664"/>
          </w:tcPr>
          <w:p>
            <w:pPr>
              <w:spacing w:after="40"/>
            </w:pPr>
            <w:r/>
            <w:r>
              <w:rPr>
                <w:sz w:val="18"/>
              </w:rPr>
              <w:t>Host platform</w:t>
            </w:r>
          </w:p>
        </w:tc>
        <w:tc>
          <w:tcPr>
            <w:tcW w:type="dxa" w:w="3312"/>
          </w:tcPr>
          <w:p>
            <w:pPr>
              <w:spacing w:after="40"/>
            </w:pPr>
            <w:r/>
            <w:r>
              <w:rPr>
                <w:sz w:val="18"/>
              </w:rPr>
              <w:t>Resource / timing</w:t>
            </w:r>
          </w:p>
        </w:tc>
      </w:tr>
      <w:tr>
        <w:tc>
          <w:tcPr>
            <w:tcW w:type="dxa" w:w="4320"/>
          </w:tcPr>
          <w:p>
            <w:pPr>
              <w:spacing w:after="40"/>
            </w:pPr>
            <w:r/>
            <w:r>
              <w:rPr>
                <w:sz w:val="18"/>
              </w:rPr>
              <w:t>Watchdog or unexpected partition restart</w:t>
            </w:r>
          </w:p>
        </w:tc>
        <w:tc>
          <w:tcPr>
            <w:tcW w:type="dxa" w:w="1224"/>
          </w:tcPr>
          <w:p>
            <w:pPr>
              <w:spacing w:after="40"/>
            </w:pPr>
            <w:r/>
            <w:r>
              <w:rPr>
                <w:sz w:val="18"/>
              </w:rPr>
              <w:t>Critical</w:t>
            </w:r>
          </w:p>
        </w:tc>
        <w:tc>
          <w:tcPr>
            <w:tcW w:type="dxa" w:w="2664"/>
          </w:tcPr>
          <w:p>
            <w:pPr>
              <w:spacing w:after="40"/>
            </w:pPr>
            <w:r/>
            <w:r>
              <w:rPr>
                <w:sz w:val="18"/>
              </w:rPr>
              <w:t>Host platform or hardware</w:t>
            </w:r>
          </w:p>
        </w:tc>
        <w:tc>
          <w:tcPr>
            <w:tcW w:type="dxa" w:w="3312"/>
          </w:tcPr>
          <w:p>
            <w:pPr>
              <w:spacing w:after="40"/>
            </w:pPr>
            <w:r/>
            <w:r>
              <w:rPr>
                <w:sz w:val="18"/>
              </w:rPr>
              <w:t>Robustness / availability</w:t>
            </w:r>
          </w:p>
        </w:tc>
      </w:tr>
      <w:tr>
        <w:tc>
          <w:tcPr>
            <w:tcW w:type="dxa" w:w="4320"/>
          </w:tcPr>
          <w:p>
            <w:pPr>
              <w:spacing w:after="40"/>
            </w:pPr>
            <w:r/>
            <w:r>
              <w:rPr>
                <w:sz w:val="18"/>
              </w:rPr>
              <w:t>Subnetwork selection or handover failure</w:t>
            </w:r>
          </w:p>
        </w:tc>
        <w:tc>
          <w:tcPr>
            <w:tcW w:type="dxa" w:w="1224"/>
          </w:tcPr>
          <w:p>
            <w:pPr>
              <w:spacing w:after="40"/>
            </w:pPr>
            <w:r/>
            <w:r>
              <w:rPr>
                <w:sz w:val="18"/>
              </w:rPr>
              <w:t>High</w:t>
            </w:r>
          </w:p>
        </w:tc>
        <w:tc>
          <w:tcPr>
            <w:tcW w:type="dxa" w:w="2664"/>
          </w:tcPr>
          <w:p>
            <w:pPr>
              <w:spacing w:after="40"/>
            </w:pPr>
            <w:r/>
            <w:r>
              <w:rPr>
                <w:sz w:val="18"/>
              </w:rPr>
              <w:t>Interface / link</w:t>
            </w:r>
          </w:p>
        </w:tc>
        <w:tc>
          <w:tcPr>
            <w:tcW w:type="dxa" w:w="3312"/>
          </w:tcPr>
          <w:p>
            <w:pPr>
              <w:spacing w:after="40"/>
            </w:pPr>
            <w:r/>
            <w:r>
              <w:rPr>
                <w:sz w:val="18"/>
              </w:rPr>
              <w:t>Interface</w:t>
            </w:r>
          </w:p>
        </w:tc>
      </w:tr>
      <w:tr>
        <w:tc>
          <w:tcPr>
            <w:tcW w:type="dxa" w:w="4320"/>
          </w:tcPr>
          <w:p>
            <w:pPr>
              <w:spacing w:after="40"/>
            </w:pPr>
            <w:r/>
            <w:r>
              <w:rPr>
                <w:sz w:val="18"/>
              </w:rPr>
              <w:t>Crew response beyond the specified interval, or wrong response type</w:t>
            </w:r>
          </w:p>
        </w:tc>
        <w:tc>
          <w:tcPr>
            <w:tcW w:type="dxa" w:w="1224"/>
          </w:tcPr>
          <w:p>
            <w:pPr>
              <w:spacing w:after="40"/>
            </w:pPr>
            <w:r/>
            <w:r>
              <w:rPr>
                <w:sz w:val="18"/>
              </w:rPr>
              <w:t>High</w:t>
            </w:r>
          </w:p>
        </w:tc>
        <w:tc>
          <w:tcPr>
            <w:tcW w:type="dxa" w:w="2664"/>
          </w:tcPr>
          <w:p>
            <w:pPr>
              <w:spacing w:after="40"/>
            </w:pPr>
            <w:r/>
            <w:r>
              <w:rPr>
                <w:sz w:val="18"/>
              </w:rPr>
              <w:t>Human factors or display</w:t>
            </w:r>
          </w:p>
        </w:tc>
        <w:tc>
          <w:tcPr>
            <w:tcW w:type="dxa" w:w="3312"/>
          </w:tcPr>
          <w:p>
            <w:pPr>
              <w:spacing w:after="40"/>
            </w:pPr>
            <w:r/>
            <w:r>
              <w:rPr>
                <w:sz w:val="18"/>
              </w:rPr>
              <w:t>Human factors</w:t>
            </w:r>
          </w:p>
        </w:tc>
      </w:tr>
      <w:tr>
        <w:tc>
          <w:tcPr>
            <w:tcW w:type="dxa" w:w="4320"/>
          </w:tcPr>
          <w:p>
            <w:pPr>
              <w:spacing w:after="40"/>
            </w:pPr>
            <w:r/>
            <w:r>
              <w:rPr>
                <w:sz w:val="18"/>
              </w:rPr>
              <w:t>Message corruption or unexpected message accepted</w:t>
            </w:r>
          </w:p>
        </w:tc>
        <w:tc>
          <w:tcPr>
            <w:tcW w:type="dxa" w:w="1224"/>
          </w:tcPr>
          <w:p>
            <w:pPr>
              <w:spacing w:after="40"/>
            </w:pPr>
            <w:r/>
            <w:r>
              <w:rPr>
                <w:sz w:val="18"/>
              </w:rPr>
              <w:t>Critical</w:t>
            </w:r>
          </w:p>
        </w:tc>
        <w:tc>
          <w:tcPr>
            <w:tcW w:type="dxa" w:w="2664"/>
          </w:tcPr>
          <w:p>
            <w:pPr>
              <w:spacing w:after="40"/>
            </w:pPr>
            <w:r/>
            <w:r>
              <w:rPr>
                <w:sz w:val="18"/>
              </w:rPr>
              <w:t>Security / interference</w:t>
            </w:r>
          </w:p>
        </w:tc>
        <w:tc>
          <w:tcPr>
            <w:tcW w:type="dxa" w:w="3312"/>
          </w:tcPr>
          <w:p>
            <w:pPr>
              <w:spacing w:after="40"/>
            </w:pPr>
            <w:r/>
            <w:r>
              <w:rPr>
                <w:sz w:val="18"/>
              </w:rPr>
              <w:t>Robustness / integrity</w:t>
            </w:r>
          </w:p>
        </w:tc>
      </w:tr>
      <w:tr>
        <w:tc>
          <w:tcPr>
            <w:tcW w:type="dxa" w:w="4320"/>
          </w:tcPr>
          <w:p>
            <w:pPr>
              <w:spacing w:after="40"/>
            </w:pPr>
            <w:r/>
            <w:r>
              <w:rPr>
                <w:sz w:val="18"/>
              </w:rPr>
              <w:t>Database or software version mismatch with the certified baseline</w:t>
            </w:r>
          </w:p>
        </w:tc>
        <w:tc>
          <w:tcPr>
            <w:tcW w:type="dxa" w:w="1224"/>
          </w:tcPr>
          <w:p>
            <w:pPr>
              <w:spacing w:after="40"/>
            </w:pPr>
            <w:r/>
            <w:r>
              <w:rPr>
                <w:sz w:val="18"/>
              </w:rPr>
              <w:t>Medium</w:t>
            </w:r>
          </w:p>
        </w:tc>
        <w:tc>
          <w:tcPr>
            <w:tcW w:type="dxa" w:w="2664"/>
          </w:tcPr>
          <w:p>
            <w:pPr>
              <w:spacing w:after="40"/>
            </w:pPr>
            <w:r/>
            <w:r>
              <w:rPr>
                <w:sz w:val="18"/>
              </w:rPr>
              <w:t>Configuration</w:t>
            </w:r>
          </w:p>
        </w:tc>
        <w:tc>
          <w:tcPr>
            <w:tcW w:type="dxa" w:w="3312"/>
          </w:tcPr>
          <w:p>
            <w:pPr>
              <w:spacing w:after="40"/>
            </w:pPr>
            <w:r/>
            <w:r>
              <w:rPr>
                <w:sz w:val="18"/>
              </w:rPr>
              <w:t>Configuration</w:t>
            </w:r>
          </w:p>
        </w:tc>
      </w:tr>
      <w:tr>
        <w:tc>
          <w:tcPr>
            <w:tcW w:type="dxa" w:w="4320"/>
          </w:tcPr>
          <w:p>
            <w:pPr>
              <w:spacing w:after="40"/>
            </w:pPr>
            <w:r/>
            <w:r>
              <w:rPr>
                <w:sz w:val="18"/>
              </w:rPr>
              <w:t>Noise-floor rise localised to a region and time window</w:t>
            </w:r>
          </w:p>
        </w:tc>
        <w:tc>
          <w:tcPr>
            <w:tcW w:type="dxa" w:w="1224"/>
          </w:tcPr>
          <w:p>
            <w:pPr>
              <w:spacing w:after="40"/>
            </w:pPr>
            <w:r/>
            <w:r>
              <w:rPr>
                <w:sz w:val="18"/>
              </w:rPr>
              <w:t>Medium</w:t>
            </w:r>
          </w:p>
        </w:tc>
        <w:tc>
          <w:tcPr>
            <w:tcW w:type="dxa" w:w="2664"/>
          </w:tcPr>
          <w:p>
            <w:pPr>
              <w:spacing w:after="40"/>
            </w:pPr>
            <w:r/>
            <w:r>
              <w:rPr>
                <w:sz w:val="18"/>
              </w:rPr>
              <w:t>Interference</w:t>
            </w:r>
          </w:p>
        </w:tc>
        <w:tc>
          <w:tcPr>
            <w:tcW w:type="dxa" w:w="3312"/>
          </w:tcPr>
          <w:p>
            <w:pPr>
              <w:spacing w:after="40"/>
            </w:pPr>
            <w:r/>
            <w:r>
              <w:rPr>
                <w:sz w:val="18"/>
              </w:rPr>
              <w:t>Environmental</w:t>
            </w:r>
          </w:p>
        </w:tc>
      </w:tr>
      <w:tr>
        <w:tc>
          <w:tcPr>
            <w:tcW w:type="dxa" w:w="4320"/>
          </w:tcPr>
          <w:p>
            <w:pPr>
              <w:spacing w:after="40"/>
            </w:pPr>
            <w:r/>
            <w:r>
              <w:rPr>
                <w:sz w:val="18"/>
              </w:rPr>
              <w:t>Not-exercised requirement accumulating on a route</w:t>
            </w:r>
          </w:p>
        </w:tc>
        <w:tc>
          <w:tcPr>
            <w:tcW w:type="dxa" w:w="1224"/>
          </w:tcPr>
          <w:p>
            <w:pPr>
              <w:spacing w:after="40"/>
            </w:pPr>
            <w:r/>
            <w:r>
              <w:rPr>
                <w:sz w:val="18"/>
              </w:rPr>
              <w:t>Medium</w:t>
            </w:r>
          </w:p>
        </w:tc>
        <w:tc>
          <w:tcPr>
            <w:tcW w:type="dxa" w:w="2664"/>
          </w:tcPr>
          <w:p>
            <w:pPr>
              <w:spacing w:after="40"/>
            </w:pPr>
            <w:r/>
            <w:r>
              <w:rPr>
                <w:sz w:val="18"/>
              </w:rPr>
              <w:t>Coverage gap</w:t>
            </w:r>
          </w:p>
        </w:tc>
        <w:tc>
          <w:tcPr>
            <w:tcW w:type="dxa" w:w="3312"/>
          </w:tcPr>
          <w:p>
            <w:pPr>
              <w:spacing w:after="40"/>
            </w:pPr>
            <w:r/>
            <w:r>
              <w:rPr>
                <w:sz w:val="18"/>
              </w:rPr>
              <w:t>Verification coverage</w:t>
            </w:r>
          </w:p>
        </w:tc>
      </w:tr>
    </w:tbl>
    <w:p>
      <w:pPr>
        <w:spacing w:after="40"/>
      </w:pPr>
    </w:p>
    <w:p>
      <w:pPr>
        <w:pStyle w:val="Heading1"/>
      </w:pPr>
      <w:r>
        <w:t>5. The live dashboard</w:t>
      </w:r>
    </w:p>
    <w:p>
      <w:pPr>
        <w:pStyle w:val="Heading2"/>
      </w:pPr>
      <w:r>
        <w:t>5.1 Views (built around the flight as the unit of work)</w:t>
      </w:r>
    </w:p>
    <w:tbl>
      <w:tblPr>
        <w:tblStyle w:val="TableGrid"/>
        <w:tblW w:type="auto" w:w="0"/>
        <w:jc w:val="center"/>
        <w:tblLook w:firstColumn="1" w:firstRow="1" w:lastColumn="0" w:lastRow="0" w:noHBand="0" w:noVBand="1" w:val="04A0"/>
      </w:tblPr>
      <w:tblGrid>
        <w:gridCol w:w="3312"/>
        <w:gridCol w:w="3312"/>
        <w:gridCol w:w="3312"/>
      </w:tblGrid>
      <w:tr>
        <w:tc>
          <w:tcPr>
            <w:tcW w:type="dxa" w:w="1440"/>
            <w:shd w:fill="DCE6F1"/>
          </w:tcPr>
          <w:p>
            <w:r/>
            <w:r>
              <w:rPr>
                <w:b/>
                <w:sz w:val="18"/>
              </w:rPr>
              <w:t>View</w:t>
            </w:r>
          </w:p>
        </w:tc>
        <w:tc>
          <w:tcPr>
            <w:tcW w:type="dxa" w:w="3600"/>
            <w:shd w:fill="DCE6F1"/>
          </w:tcPr>
          <w:p>
            <w:r/>
            <w:r>
              <w:rPr>
                <w:b/>
                <w:sz w:val="18"/>
              </w:rPr>
              <w:t>Answers</w:t>
            </w:r>
          </w:p>
        </w:tc>
        <w:tc>
          <w:tcPr>
            <w:tcW w:type="dxa" w:w="6480"/>
            <w:shd w:fill="DCE6F1"/>
          </w:tcPr>
          <w:p>
            <w:r/>
            <w:r>
              <w:rPr>
                <w:b/>
                <w:sz w:val="18"/>
              </w:rPr>
              <w:t>Key elements</w:t>
            </w:r>
          </w:p>
        </w:tc>
      </w:tr>
      <w:tr>
        <w:tc>
          <w:tcPr>
            <w:tcW w:type="dxa" w:w="1440"/>
          </w:tcPr>
          <w:p>
            <w:pPr>
              <w:spacing w:after="40"/>
            </w:pPr>
            <w:r/>
            <w:r>
              <w:rPr>
                <w:sz w:val="18"/>
              </w:rPr>
              <w:t>Fleet board</w:t>
            </w:r>
          </w:p>
        </w:tc>
        <w:tc>
          <w:tcPr>
            <w:tcW w:type="dxa" w:w="3600"/>
          </w:tcPr>
          <w:p>
            <w:pPr>
              <w:spacing w:after="40"/>
            </w:pPr>
            <w:r/>
            <w:r>
              <w:rPr>
                <w:sz w:val="18"/>
              </w:rPr>
              <w:t>Which flights are being monitored right now, and which need attention</w:t>
            </w:r>
          </w:p>
        </w:tc>
        <w:tc>
          <w:tcPr>
            <w:tcW w:type="dxa" w:w="6480"/>
          </w:tcPr>
          <w:p>
            <w:pPr>
              <w:spacing w:after="40"/>
            </w:pPr>
            <w:r/>
            <w:r>
              <w:rPr>
                <w:sz w:val="18"/>
              </w:rPr>
              <w:t>Live list of flights with tail, route, current phase, conformance chip, count of non-conforming / indeterminate / not-exercised; freshness indicator per data stream</w:t>
            </w:r>
          </w:p>
        </w:tc>
      </w:tr>
      <w:tr>
        <w:tc>
          <w:tcPr>
            <w:tcW w:type="dxa" w:w="1440"/>
          </w:tcPr>
          <w:p>
            <w:pPr>
              <w:spacing w:after="40"/>
            </w:pPr>
            <w:r/>
            <w:r>
              <w:rPr>
                <w:sz w:val="18"/>
              </w:rPr>
              <w:t>Flight view</w:t>
            </w:r>
          </w:p>
        </w:tc>
        <w:tc>
          <w:tcPr>
            <w:tcW w:type="dxa" w:w="3600"/>
          </w:tcPr>
          <w:p>
            <w:pPr>
              <w:spacing w:after="40"/>
            </w:pPr>
            <w:r/>
            <w:r>
              <w:rPr>
                <w:sz w:val="18"/>
              </w:rPr>
              <w:t>What is happening on this flight</w:t>
            </w:r>
          </w:p>
        </w:tc>
        <w:tc>
          <w:tcPr>
            <w:tcW w:type="dxa" w:w="6480"/>
          </w:tcPr>
          <w:p>
            <w:pPr>
              <w:spacing w:after="40"/>
            </w:pPr>
            <w:r/>
            <w:r>
              <w:rPr>
                <w:sz w:val="18"/>
              </w:rPr>
              <w:t>Event timeline (uplinks, downlinks, switches, faults), live requirement-verdict grid by requirement group, latency and margin sparklines, symptom feed for this flight</w:t>
            </w:r>
          </w:p>
        </w:tc>
      </w:tr>
      <w:tr>
        <w:tc>
          <w:tcPr>
            <w:tcW w:type="dxa" w:w="1440"/>
          </w:tcPr>
          <w:p>
            <w:pPr>
              <w:spacing w:after="40"/>
            </w:pPr>
            <w:r/>
            <w:r>
              <w:rPr>
                <w:sz w:val="18"/>
              </w:rPr>
              <w:t>Requirement view</w:t>
            </w:r>
          </w:p>
        </w:tc>
        <w:tc>
          <w:tcPr>
            <w:tcW w:type="dxa" w:w="3600"/>
          </w:tcPr>
          <w:p>
            <w:pPr>
              <w:spacing w:after="40"/>
            </w:pPr>
            <w:r/>
            <w:r>
              <w:rPr>
                <w:sz w:val="18"/>
              </w:rPr>
              <w:t>Why this verdict</w:t>
            </w:r>
          </w:p>
        </w:tc>
        <w:tc>
          <w:tcPr>
            <w:tcW w:type="dxa" w:w="6480"/>
          </w:tcPr>
          <w:p>
            <w:pPr>
              <w:spacing w:after="40"/>
            </w:pPr>
            <w:r/>
            <w:r>
              <w:rPr>
                <w:sz w:val="18"/>
              </w:rPr>
              <w:t>Acceptance criterion, measured value, margin, evidence class, the observations relied on, the rule path, the clock uncertainty, verdict history and revisions</w:t>
            </w:r>
          </w:p>
        </w:tc>
      </w:tr>
      <w:tr>
        <w:tc>
          <w:tcPr>
            <w:tcW w:type="dxa" w:w="1440"/>
          </w:tcPr>
          <w:p>
            <w:pPr>
              <w:spacing w:after="40"/>
            </w:pPr>
            <w:r/>
            <w:r>
              <w:rPr>
                <w:sz w:val="18"/>
              </w:rPr>
              <w:t>Symptom view</w:t>
            </w:r>
          </w:p>
        </w:tc>
        <w:tc>
          <w:tcPr>
            <w:tcW w:type="dxa" w:w="3600"/>
          </w:tcPr>
          <w:p>
            <w:pPr>
              <w:spacing w:after="40"/>
            </w:pPr>
            <w:r/>
            <w:r>
              <w:rPr>
                <w:sz w:val="18"/>
              </w:rPr>
              <w:t>What is going wrong and where</w:t>
            </w:r>
          </w:p>
        </w:tc>
        <w:tc>
          <w:tcPr>
            <w:tcW w:type="dxa" w:w="6480"/>
          </w:tcPr>
          <w:p>
            <w:pPr>
              <w:spacing w:after="40"/>
            </w:pPr>
            <w:r/>
            <w:r>
              <w:rPr>
                <w:sz w:val="18"/>
              </w:rPr>
              <w:t>Severity-sorted symptoms with probable domain, affected requirement, suggested action, and the pattern that raised it</w:t>
            </w:r>
          </w:p>
        </w:tc>
      </w:tr>
      <w:tr>
        <w:tc>
          <w:tcPr>
            <w:tcW w:type="dxa" w:w="1440"/>
          </w:tcPr>
          <w:p>
            <w:pPr>
              <w:spacing w:after="40"/>
            </w:pPr>
            <w:r/>
            <w:r>
              <w:rPr>
                <w:sz w:val="18"/>
              </w:rPr>
              <w:t>Coverage view</w:t>
            </w:r>
          </w:p>
        </w:tc>
        <w:tc>
          <w:tcPr>
            <w:tcW w:type="dxa" w:w="3600"/>
          </w:tcPr>
          <w:p>
            <w:pPr>
              <w:spacing w:after="40"/>
            </w:pPr>
            <w:r/>
            <w:r>
              <w:rPr>
                <w:sz w:val="18"/>
              </w:rPr>
              <w:t>What the fleet has never demonstrated</w:t>
            </w:r>
          </w:p>
        </w:tc>
        <w:tc>
          <w:tcPr>
            <w:tcW w:type="dxa" w:w="6480"/>
          </w:tcPr>
          <w:p>
            <w:pPr>
              <w:spacing w:after="40"/>
            </w:pPr>
            <w:r/>
            <w:r>
              <w:rPr>
                <w:sz w:val="18"/>
              </w:rPr>
              <w:t>Operational coverage account per software load and route: exercised versus never-exercised requirements, and drift over time</w:t>
            </w:r>
          </w:p>
        </w:tc>
      </w:tr>
      <w:tr>
        <w:tc>
          <w:tcPr>
            <w:tcW w:type="dxa" w:w="1440"/>
          </w:tcPr>
          <w:p>
            <w:pPr>
              <w:spacing w:after="40"/>
            </w:pPr>
            <w:r/>
            <w:r>
              <w:rPr>
                <w:sz w:val="18"/>
              </w:rPr>
              <w:t>Equipment view</w:t>
            </w:r>
          </w:p>
        </w:tc>
        <w:tc>
          <w:tcPr>
            <w:tcW w:type="dxa" w:w="3600"/>
          </w:tcPr>
          <w:p>
            <w:pPr>
              <w:spacing w:after="40"/>
            </w:pPr>
            <w:r/>
            <w:r>
              <w:rPr>
                <w:sz w:val="18"/>
              </w:rPr>
              <w:t>Which part or tail is drifting</w:t>
            </w:r>
          </w:p>
        </w:tc>
        <w:tc>
          <w:tcPr>
            <w:tcW w:type="dxa" w:w="6480"/>
          </w:tcPr>
          <w:p>
            <w:pPr>
              <w:spacing w:after="40"/>
            </w:pPr>
            <w:r/>
            <w:r>
              <w:rPr>
                <w:sz w:val="18"/>
              </w:rPr>
              <w:t>Per-tail and per-part-number requirement failure rate, margin trends, maintenance history correlation</w:t>
            </w:r>
          </w:p>
        </w:tc>
      </w:tr>
    </w:tbl>
    <w:p>
      <w:pPr>
        <w:spacing w:after="40"/>
      </w:pPr>
    </w:p>
    <w:p>
      <w:pPr>
        <w:pStyle w:val="Heading2"/>
      </w:pPr>
      <w:r>
        <w:t>5.2 Real-time mechanics</w:t>
      </w:r>
    </w:p>
    <w:p>
      <w:pPr>
        <w:pStyle w:val="ListBullet"/>
      </w:pPr>
      <w:r>
        <w:rPr>
          <w:b/>
        </w:rPr>
        <w:t xml:space="preserve">Transport to the browser: </w:t>
      </w:r>
      <w:r>
        <w:t>server-sent events for one-way live updates, plus a WebSocket channel for interactive drill-down; the browser talks only to the platform API, never directly to internal services.</w:t>
      </w:r>
    </w:p>
    <w:p>
      <w:pPr>
        <w:pStyle w:val="ListBullet"/>
      </w:pPr>
      <w:r>
        <w:rPr>
          <w:b/>
        </w:rPr>
        <w:t xml:space="preserve">Incremental computation: </w:t>
      </w:r>
      <w:r>
        <w:t>the stream processor keeps per-flight keyed state so that each arriving transaction or telemetry sample updates only the affected requirement monitors and emits a verdict delta. The dashboard receives deltas, not full recomputations.</w:t>
      </w:r>
    </w:p>
    <w:p>
      <w:pPr>
        <w:pStyle w:val="ListBullet"/>
      </w:pPr>
      <w:r>
        <w:rPr>
          <w:b/>
        </w:rPr>
        <w:t xml:space="preserve">Freshness honesty: </w:t>
      </w:r>
      <w:r>
        <w:t>every panel shows the last-update time and expected cadence for its source. Datalink messages are seconds old; ACMS reports are minutes old; QAR-based verdicts are post-flight and are labelled as such. Never render a post-flight value as if it were live.</w:t>
      </w:r>
    </w:p>
    <w:p>
      <w:pPr>
        <w:pStyle w:val="ListBullet"/>
      </w:pPr>
      <w:r>
        <w:rPr>
          <w:b/>
        </w:rPr>
        <w:t xml:space="preserve">Revisions: </w:t>
      </w:r>
      <w:r>
        <w:t>late data re-opens a verdict and publishes a new version; the dashboard shows the previous verdict greyed out with the reason for revision.</w:t>
      </w:r>
    </w:p>
    <w:p>
      <w:pPr>
        <w:pStyle w:val="ListBullet"/>
      </w:pPr>
      <w:r>
        <w:rPr>
          <w:b/>
        </w:rPr>
        <w:t xml:space="preserve">Provenance: </w:t>
      </w:r>
      <w:r>
        <w:t>every number is clickable through to the evidence and to the raw record hash, so an engineer or an auditor can always reach the source.</w:t>
      </w:r>
    </w:p>
    <w:p>
      <w:pPr>
        <w:pStyle w:val="Heading1"/>
      </w:pPr>
      <w:r>
        <w:t>5.3 Suggested technology stack (boring on purpose)</w:t>
      </w:r>
    </w:p>
    <w:tbl>
      <w:tblPr>
        <w:tblStyle w:val="TableGrid"/>
        <w:tblW w:type="auto" w:w="0"/>
        <w:jc w:val="center"/>
        <w:tblLook w:firstColumn="1" w:firstRow="1" w:lastColumn="0" w:lastRow="0" w:noHBand="0" w:noVBand="1" w:val="04A0"/>
      </w:tblPr>
      <w:tblGrid>
        <w:gridCol w:w="3312"/>
        <w:gridCol w:w="3312"/>
        <w:gridCol w:w="3312"/>
      </w:tblGrid>
      <w:tr>
        <w:tc>
          <w:tcPr>
            <w:tcW w:type="dxa" w:w="1728"/>
            <w:shd w:fill="DCE6F1"/>
          </w:tcPr>
          <w:p>
            <w:r/>
            <w:r>
              <w:rPr>
                <w:b/>
                <w:sz w:val="18"/>
              </w:rPr>
              <w:t>Layer</w:t>
            </w:r>
          </w:p>
        </w:tc>
        <w:tc>
          <w:tcPr>
            <w:tcW w:type="dxa" w:w="3312"/>
            <w:shd w:fill="DCE6F1"/>
          </w:tcPr>
          <w:p>
            <w:r/>
            <w:r>
              <w:rPr>
                <w:b/>
                <w:sz w:val="18"/>
              </w:rPr>
              <w:t>Choice</w:t>
            </w:r>
          </w:p>
        </w:tc>
        <w:tc>
          <w:tcPr>
            <w:tcW w:type="dxa" w:w="6480"/>
            <w:shd w:fill="DCE6F1"/>
          </w:tcPr>
          <w:p>
            <w:r/>
            <w:r>
              <w:rPr>
                <w:b/>
                <w:sz w:val="18"/>
              </w:rPr>
              <w:t>Why this one</w:t>
            </w:r>
          </w:p>
        </w:tc>
      </w:tr>
      <w:tr>
        <w:tc>
          <w:tcPr>
            <w:tcW w:type="dxa" w:w="1728"/>
          </w:tcPr>
          <w:p>
            <w:pPr>
              <w:spacing w:after="40"/>
            </w:pPr>
            <w:r/>
            <w:r>
              <w:rPr>
                <w:sz w:val="18"/>
              </w:rPr>
              <w:t>Bus</w:t>
            </w:r>
          </w:p>
        </w:tc>
        <w:tc>
          <w:tcPr>
            <w:tcW w:type="dxa" w:w="3312"/>
          </w:tcPr>
          <w:p>
            <w:pPr>
              <w:spacing w:after="40"/>
            </w:pPr>
            <w:r/>
            <w:r>
              <w:rPr>
                <w:sz w:val="18"/>
              </w:rPr>
              <w:t>Kafka (or Redpanda)</w:t>
            </w:r>
          </w:p>
        </w:tc>
        <w:tc>
          <w:tcPr>
            <w:tcW w:type="dxa" w:w="6480"/>
          </w:tcPr>
          <w:p>
            <w:pPr>
              <w:spacing w:after="40"/>
            </w:pPr>
            <w:r/>
            <w:r>
              <w:rPr>
                <w:sz w:val="18"/>
              </w:rPr>
              <w:t>Replayable, per-source retention, mature connectors</w:t>
            </w:r>
          </w:p>
        </w:tc>
      </w:tr>
      <w:tr>
        <w:tc>
          <w:tcPr>
            <w:tcW w:type="dxa" w:w="1728"/>
          </w:tcPr>
          <w:p>
            <w:pPr>
              <w:spacing w:after="40"/>
            </w:pPr>
            <w:r/>
            <w:r>
              <w:rPr>
                <w:sz w:val="18"/>
              </w:rPr>
              <w:t>Stream processing</w:t>
            </w:r>
          </w:p>
        </w:tc>
        <w:tc>
          <w:tcPr>
            <w:tcW w:type="dxa" w:w="3312"/>
          </w:tcPr>
          <w:p>
            <w:pPr>
              <w:spacing w:after="40"/>
            </w:pPr>
            <w:r/>
            <w:r>
              <w:rPr>
                <w:sz w:val="18"/>
              </w:rPr>
              <w:t>Flink (or Kafka Streams)</w:t>
            </w:r>
          </w:p>
        </w:tc>
        <w:tc>
          <w:tcPr>
            <w:tcW w:type="dxa" w:w="6480"/>
          </w:tcPr>
          <w:p>
            <w:pPr>
              <w:spacing w:after="40"/>
            </w:pPr>
            <w:r/>
            <w:r>
              <w:rPr>
                <w:sz w:val="18"/>
              </w:rPr>
              <w:t>Keyed per-flight state, watermarks, exactly-once into stores</w:t>
            </w:r>
          </w:p>
        </w:tc>
      </w:tr>
      <w:tr>
        <w:tc>
          <w:tcPr>
            <w:tcW w:type="dxa" w:w="1728"/>
          </w:tcPr>
          <w:p>
            <w:pPr>
              <w:spacing w:after="40"/>
            </w:pPr>
            <w:r/>
            <w:r>
              <w:rPr>
                <w:sz w:val="18"/>
              </w:rPr>
              <w:t>Hot analytics store</w:t>
            </w:r>
          </w:p>
        </w:tc>
        <w:tc>
          <w:tcPr>
            <w:tcW w:type="dxa" w:w="3312"/>
          </w:tcPr>
          <w:p>
            <w:pPr>
              <w:spacing w:after="40"/>
            </w:pPr>
            <w:r/>
            <w:r>
              <w:rPr>
                <w:sz w:val="18"/>
              </w:rPr>
              <w:t>ClickHouse (or TimescaleDB)</w:t>
            </w:r>
          </w:p>
        </w:tc>
        <w:tc>
          <w:tcPr>
            <w:tcW w:type="dxa" w:w="6480"/>
          </w:tcPr>
          <w:p>
            <w:pPr>
              <w:spacing w:after="40"/>
            </w:pPr>
            <w:r/>
            <w:r>
              <w:rPr>
                <w:sz w:val="18"/>
              </w:rPr>
              <w:t>Fast time-series and per-requirement aggregation at fleet scale</w:t>
            </w:r>
          </w:p>
        </w:tc>
      </w:tr>
      <w:tr>
        <w:tc>
          <w:tcPr>
            <w:tcW w:type="dxa" w:w="1728"/>
          </w:tcPr>
          <w:p>
            <w:pPr>
              <w:spacing w:after="40"/>
            </w:pPr>
            <w:r/>
            <w:r>
              <w:rPr>
                <w:sz w:val="18"/>
              </w:rPr>
              <w:t>Session state</w:t>
            </w:r>
          </w:p>
        </w:tc>
        <w:tc>
          <w:tcPr>
            <w:tcW w:type="dxa" w:w="3312"/>
          </w:tcPr>
          <w:p>
            <w:pPr>
              <w:spacing w:after="40"/>
            </w:pPr>
            <w:r/>
            <w:r>
              <w:rPr>
                <w:sz w:val="18"/>
              </w:rPr>
              <w:t>Redis</w:t>
            </w:r>
          </w:p>
        </w:tc>
        <w:tc>
          <w:tcPr>
            <w:tcW w:type="dxa" w:w="6480"/>
          </w:tcPr>
          <w:p>
            <w:pPr>
              <w:spacing w:after="40"/>
            </w:pPr>
            <w:r/>
            <w:r>
              <w:rPr>
                <w:sz w:val="18"/>
              </w:rPr>
              <w:t>Live per-flight state for the dashboard</w:t>
            </w:r>
          </w:p>
        </w:tc>
      </w:tr>
      <w:tr>
        <w:tc>
          <w:tcPr>
            <w:tcW w:type="dxa" w:w="1728"/>
          </w:tcPr>
          <w:p>
            <w:pPr>
              <w:spacing w:after="40"/>
            </w:pPr>
            <w:r/>
            <w:r>
              <w:rPr>
                <w:sz w:val="18"/>
              </w:rPr>
              <w:t>Metadata and ledger</w:t>
            </w:r>
          </w:p>
        </w:tc>
        <w:tc>
          <w:tcPr>
            <w:tcW w:type="dxa" w:w="3312"/>
          </w:tcPr>
          <w:p>
            <w:pPr>
              <w:spacing w:after="40"/>
            </w:pPr>
            <w:r/>
            <w:r>
              <w:rPr>
                <w:sz w:val="18"/>
              </w:rPr>
              <w:t>PostgreSQL, append-only hash-chained table</w:t>
            </w:r>
          </w:p>
        </w:tc>
        <w:tc>
          <w:tcPr>
            <w:tcW w:type="dxa" w:w="6480"/>
          </w:tcPr>
          <w:p>
            <w:pPr>
              <w:spacing w:after="40"/>
            </w:pPr>
            <w:r/>
            <w:r>
              <w:rPr>
                <w:sz w:val="18"/>
              </w:rPr>
              <w:t>Requirement baseline, configuration snapshots, conformance records</w:t>
            </w:r>
          </w:p>
        </w:tc>
      </w:tr>
      <w:tr>
        <w:tc>
          <w:tcPr>
            <w:tcW w:type="dxa" w:w="1728"/>
          </w:tcPr>
          <w:p>
            <w:pPr>
              <w:spacing w:after="40"/>
            </w:pPr>
            <w:r/>
            <w:r>
              <w:rPr>
                <w:sz w:val="18"/>
              </w:rPr>
              <w:t>Object store</w:t>
            </w:r>
          </w:p>
        </w:tc>
        <w:tc>
          <w:tcPr>
            <w:tcW w:type="dxa" w:w="3312"/>
          </w:tcPr>
          <w:p>
            <w:pPr>
              <w:spacing w:after="40"/>
            </w:pPr>
            <w:r/>
            <w:r>
              <w:rPr>
                <w:sz w:val="18"/>
              </w:rPr>
              <w:t>S3-compatible</w:t>
            </w:r>
          </w:p>
        </w:tc>
        <w:tc>
          <w:tcPr>
            <w:tcW w:type="dxa" w:w="6480"/>
          </w:tcPr>
          <w:p>
            <w:pPr>
              <w:spacing w:after="40"/>
            </w:pPr>
            <w:r/>
            <w:r>
              <w:rPr>
                <w:sz w:val="18"/>
              </w:rPr>
              <w:t>Raw messages and QAR extracts, policy-limited retention</w:t>
            </w:r>
          </w:p>
        </w:tc>
      </w:tr>
      <w:tr>
        <w:tc>
          <w:tcPr>
            <w:tcW w:type="dxa" w:w="1728"/>
          </w:tcPr>
          <w:p>
            <w:pPr>
              <w:spacing w:after="40"/>
            </w:pPr>
            <w:r/>
            <w:r>
              <w:rPr>
                <w:sz w:val="18"/>
              </w:rPr>
              <w:t>API</w:t>
            </w:r>
          </w:p>
        </w:tc>
        <w:tc>
          <w:tcPr>
            <w:tcW w:type="dxa" w:w="3312"/>
          </w:tcPr>
          <w:p>
            <w:pPr>
              <w:spacing w:after="40"/>
            </w:pPr>
            <w:r/>
            <w:r>
              <w:rPr>
                <w:sz w:val="18"/>
              </w:rPr>
              <w:t>FastAPI or Node</w:t>
            </w:r>
          </w:p>
        </w:tc>
        <w:tc>
          <w:tcPr>
            <w:tcW w:type="dxa" w:w="6480"/>
          </w:tcPr>
          <w:p>
            <w:pPr>
              <w:spacing w:after="40"/>
            </w:pPr>
            <w:r/>
            <w:r>
              <w:rPr>
                <w:sz w:val="18"/>
              </w:rPr>
              <w:t>REST plus SSE and WebSocket</w:t>
            </w:r>
          </w:p>
        </w:tc>
      </w:tr>
      <w:tr>
        <w:tc>
          <w:tcPr>
            <w:tcW w:type="dxa" w:w="1728"/>
          </w:tcPr>
          <w:p>
            <w:pPr>
              <w:spacing w:after="40"/>
            </w:pPr>
            <w:r/>
            <w:r>
              <w:rPr>
                <w:sz w:val="18"/>
              </w:rPr>
              <w:t>Dashboard</w:t>
            </w:r>
          </w:p>
        </w:tc>
        <w:tc>
          <w:tcPr>
            <w:tcW w:type="dxa" w:w="3312"/>
          </w:tcPr>
          <w:p>
            <w:pPr>
              <w:spacing w:after="40"/>
            </w:pPr>
            <w:r/>
            <w:r>
              <w:rPr>
                <w:sz w:val="18"/>
              </w:rPr>
              <w:t>React with a time-series charting library; Grafana for internal operations</w:t>
            </w:r>
          </w:p>
        </w:tc>
        <w:tc>
          <w:tcPr>
            <w:tcW w:type="dxa" w:w="6480"/>
          </w:tcPr>
          <w:p>
            <w:pPr>
              <w:spacing w:after="40"/>
            </w:pPr>
            <w:r/>
            <w:r>
              <w:rPr>
                <w:sz w:val="18"/>
              </w:rPr>
              <w:t>Product dashboard needs provenance and drill-down, which generic tools do poorly</w:t>
            </w:r>
          </w:p>
        </w:tc>
      </w:tr>
      <w:tr>
        <w:tc>
          <w:tcPr>
            <w:tcW w:type="dxa" w:w="1728"/>
          </w:tcPr>
          <w:p>
            <w:pPr>
              <w:spacing w:after="40"/>
            </w:pPr>
            <w:r/>
            <w:r>
              <w:rPr>
                <w:sz w:val="18"/>
              </w:rPr>
              <w:t>Identity</w:t>
            </w:r>
          </w:p>
        </w:tc>
        <w:tc>
          <w:tcPr>
            <w:tcW w:type="dxa" w:w="3312"/>
          </w:tcPr>
          <w:p>
            <w:pPr>
              <w:spacing w:after="40"/>
            </w:pPr>
            <w:r/>
            <w:r>
              <w:rPr>
                <w:sz w:val="18"/>
              </w:rPr>
              <w:t>OIDC with per-airline tenancy and role separation</w:t>
            </w:r>
          </w:p>
        </w:tc>
        <w:tc>
          <w:tcPr>
            <w:tcW w:type="dxa" w:w="6480"/>
          </w:tcPr>
          <w:p>
            <w:pPr>
              <w:spacing w:after="40"/>
            </w:pPr>
            <w:r/>
            <w:r>
              <w:rPr>
                <w:sz w:val="18"/>
              </w:rPr>
              <w:t>Data rights and audit requirements</w:t>
            </w:r>
          </w:p>
        </w:tc>
      </w:tr>
    </w:tbl>
    <w:p>
      <w:pPr>
        <w:spacing w:after="40"/>
      </w:pPr>
    </w:p>
    <w:p>
      <w:pPr>
        <w:pStyle w:val="Heading2"/>
      </w:pPr>
      <w:r>
        <w:t>5.4 Scale reality check</w:t>
      </w:r>
    </w:p>
    <w:p>
      <w:r>
        <w:rPr>
          <w:b w:val="0"/>
          <w:i w:val="0"/>
        </w:rPr>
        <w:t>A 500-aircraft airline produces on the order of 50–100 datalink messages per flight (tens of thousands per day) plus ACMS report samples, and roughly 5 million telemetry samples per day if you sample at 1 Hz for a three-hour flight. That is a small workload for the stack above — a single Kafka cluster and a single ClickHouse node with modest resources. The engineering difficulty is not volume; it is clock alignment, source latency and data rights. Plan the team around those three, not around scale.</w:t>
      </w:r>
    </w:p>
    <w:p>
      <w:pPr>
        <w:pStyle w:val="Heading1"/>
      </w:pPr>
      <w:r>
        <w:t>6. Build order</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160"/>
            <w:shd w:fill="DCE6F1"/>
          </w:tcPr>
          <w:p>
            <w:r/>
            <w:r>
              <w:rPr>
                <w:b/>
                <w:sz w:val="18"/>
              </w:rPr>
              <w:t>Phase</w:t>
            </w:r>
          </w:p>
        </w:tc>
        <w:tc>
          <w:tcPr>
            <w:tcW w:type="dxa" w:w="1152"/>
            <w:shd w:fill="DCE6F1"/>
          </w:tcPr>
          <w:p>
            <w:r/>
            <w:r>
              <w:rPr>
                <w:b/>
                <w:sz w:val="18"/>
              </w:rPr>
              <w:t>Weeks</w:t>
            </w:r>
          </w:p>
        </w:tc>
        <w:tc>
          <w:tcPr>
            <w:tcW w:type="dxa" w:w="4608"/>
            <w:shd w:fill="DCE6F1"/>
          </w:tcPr>
          <w:p>
            <w:r/>
            <w:r>
              <w:rPr>
                <w:b/>
                <w:sz w:val="18"/>
              </w:rPr>
              <w:t>What you build</w:t>
            </w:r>
          </w:p>
        </w:tc>
        <w:tc>
          <w:tcPr>
            <w:tcW w:type="dxa" w:w="3600"/>
            <w:shd w:fill="DCE6F1"/>
          </w:tcPr>
          <w:p>
            <w:r/>
            <w:r>
              <w:rPr>
                <w:b/>
                <w:sz w:val="18"/>
              </w:rPr>
              <w:t>What you can claim</w:t>
            </w:r>
          </w:p>
        </w:tc>
      </w:tr>
      <w:tr>
        <w:tc>
          <w:tcPr>
            <w:tcW w:type="dxa" w:w="2160"/>
          </w:tcPr>
          <w:p>
            <w:pPr>
              <w:spacing w:after="40"/>
            </w:pPr>
            <w:r/>
            <w:r>
              <w:rPr>
                <w:sz w:val="18"/>
              </w:rPr>
              <w:t>0 — Replay and verdict engine</w:t>
            </w:r>
          </w:p>
        </w:tc>
        <w:tc>
          <w:tcPr>
            <w:tcW w:type="dxa" w:w="1152"/>
          </w:tcPr>
          <w:p>
            <w:pPr>
              <w:spacing w:after="40"/>
            </w:pPr>
            <w:r/>
            <w:r>
              <w:rPr>
                <w:sz w:val="18"/>
              </w:rPr>
              <w:t>1–4</w:t>
            </w:r>
          </w:p>
        </w:tc>
        <w:tc>
          <w:tcPr>
            <w:tcW w:type="dxa" w:w="4608"/>
          </w:tcPr>
          <w:p>
            <w:pPr>
              <w:spacing w:after="40"/>
            </w:pPr>
            <w:r/>
            <w:r>
              <w:rPr>
                <w:sz w:val="18"/>
              </w:rPr>
              <w:t>Import a real requirement extract; compile monitors; replay a sample message feed plus synthetic ACMS telemetry; produce four-valued verdicts and the ledger; dashboard v0 on replayed data</w:t>
            </w:r>
          </w:p>
        </w:tc>
        <w:tc>
          <w:tcPr>
            <w:tcW w:type="dxa" w:w="3600"/>
          </w:tcPr>
          <w:p>
            <w:pPr>
              <w:spacing w:after="40"/>
            </w:pPr>
            <w:r/>
            <w:r>
              <w:rPr>
                <w:sz w:val="18"/>
              </w:rPr>
              <w:t>A working demonstration of the patent claim 1 pipeline</w:t>
            </w:r>
          </w:p>
        </w:tc>
      </w:tr>
      <w:tr>
        <w:tc>
          <w:tcPr>
            <w:tcW w:type="dxa" w:w="2160"/>
          </w:tcPr>
          <w:p>
            <w:pPr>
              <w:spacing w:after="40"/>
            </w:pPr>
            <w:r/>
            <w:r>
              <w:rPr>
                <w:sz w:val="18"/>
              </w:rPr>
              <w:t>1 — Live ground feeds</w:t>
            </w:r>
          </w:p>
        </w:tc>
        <w:tc>
          <w:tcPr>
            <w:tcW w:type="dxa" w:w="1152"/>
          </w:tcPr>
          <w:p>
            <w:pPr>
              <w:spacing w:after="40"/>
            </w:pPr>
            <w:r/>
            <w:r>
              <w:rPr>
                <w:sz w:val="18"/>
              </w:rPr>
              <w:t>5–12</w:t>
            </w:r>
          </w:p>
        </w:tc>
        <w:tc>
          <w:tcPr>
            <w:tcW w:type="dxa" w:w="4608"/>
          </w:tcPr>
          <w:p>
            <w:pPr>
              <w:spacing w:after="40"/>
            </w:pPr>
            <w:r/>
            <w:r>
              <w:rPr>
                <w:sz w:val="18"/>
              </w:rPr>
              <w:t>One CSP sandbox feed, own SDR receivers for VDL Mode 2 / ACARS and ADS-B, ANSP or NOC feed, configuration database, dashboard v1 with live flight board</w:t>
            </w:r>
          </w:p>
        </w:tc>
        <w:tc>
          <w:tcPr>
            <w:tcW w:type="dxa" w:w="3600"/>
          </w:tcPr>
          <w:p>
            <w:pPr>
              <w:spacing w:after="40"/>
            </w:pPr>
            <w:r/>
            <w:r>
              <w:rPr>
                <w:sz w:val="18"/>
              </w:rPr>
              <w:t>Near-real-time message, crew and network verdicts</w:t>
            </w:r>
          </w:p>
        </w:tc>
      </w:tr>
      <w:tr>
        <w:tc>
          <w:tcPr>
            <w:tcW w:type="dxa" w:w="2160"/>
          </w:tcPr>
          <w:p>
            <w:pPr>
              <w:spacing w:after="40"/>
            </w:pPr>
            <w:r/>
            <w:r>
              <w:rPr>
                <w:sz w:val="18"/>
              </w:rPr>
              <w:t>2 — Airline pilot</w:t>
            </w:r>
          </w:p>
        </w:tc>
        <w:tc>
          <w:tcPr>
            <w:tcW w:type="dxa" w:w="1152"/>
          </w:tcPr>
          <w:p>
            <w:pPr>
              <w:spacing w:after="40"/>
            </w:pPr>
            <w:r/>
            <w:r>
              <w:rPr>
                <w:sz w:val="18"/>
              </w:rPr>
              <w:t>3–6 months</w:t>
            </w:r>
          </w:p>
        </w:tc>
        <w:tc>
          <w:tcPr>
            <w:tcW w:type="dxa" w:w="4608"/>
          </w:tcPr>
          <w:p>
            <w:pPr>
              <w:spacing w:after="40"/>
            </w:pPr>
            <w:r/>
            <w:r>
              <w:rPr>
                <w:sz w:val="18"/>
              </w:rPr>
              <w:t>One airline, one fleet type: ACMS report definitions, QAR offload integration, symptom catalogue, deterministic pattern library, label flywheel v1</w:t>
            </w:r>
          </w:p>
        </w:tc>
        <w:tc>
          <w:tcPr>
            <w:tcW w:type="dxa" w:w="3600"/>
          </w:tcPr>
          <w:p>
            <w:pPr>
              <w:spacing w:after="40"/>
            </w:pPr>
            <w:r/>
            <w:r>
              <w:rPr>
                <w:sz w:val="18"/>
              </w:rPr>
              <w:t>Host and resource verdicts, operational coverage account</w:t>
            </w:r>
          </w:p>
        </w:tc>
      </w:tr>
      <w:tr>
        <w:tc>
          <w:tcPr>
            <w:tcW w:type="dxa" w:w="2160"/>
          </w:tcPr>
          <w:p>
            <w:pPr>
              <w:spacing w:after="40"/>
            </w:pPr>
            <w:r/>
            <w:r>
              <w:rPr>
                <w:sz w:val="18"/>
              </w:rPr>
              <w:t>3 — OEM track and ML</w:t>
            </w:r>
          </w:p>
        </w:tc>
        <w:tc>
          <w:tcPr>
            <w:tcW w:type="dxa" w:w="1152"/>
          </w:tcPr>
          <w:p>
            <w:pPr>
              <w:spacing w:after="40"/>
            </w:pPr>
            <w:r/>
            <w:r>
              <w:rPr>
                <w:sz w:val="18"/>
              </w:rPr>
              <w:t>6–12 months</w:t>
            </w:r>
          </w:p>
        </w:tc>
        <w:tc>
          <w:tcPr>
            <w:tcW w:type="dxa" w:w="4608"/>
          </w:tcPr>
          <w:p>
            <w:pPr>
              <w:spacing w:after="40"/>
            </w:pPr>
            <w:r/>
            <w:r>
              <w:rPr>
                <w:sz w:val="18"/>
              </w:rPr>
              <w:t>OEM partnership for partition health data; ML layer behind the admission gate; interference signature library with the frozen regression corpus</w:t>
            </w:r>
          </w:p>
        </w:tc>
        <w:tc>
          <w:tcPr>
            <w:tcW w:type="dxa" w:w="3600"/>
          </w:tcPr>
          <w:p>
            <w:pPr>
              <w:spacing w:after="40"/>
            </w:pPr>
            <w:r/>
            <w:r>
              <w:rPr>
                <w:sz w:val="18"/>
              </w:rPr>
              <w:t>The full scope, and the defensible second and third patent families</w:t>
            </w:r>
          </w:p>
        </w:tc>
      </w:tr>
    </w:tbl>
    <w:p>
      <w:pPr>
        <w:spacing w:after="40"/>
      </w:pPr>
    </w:p>
    <w:p>
      <w:pPr>
        <w:pStyle w:val="Heading1"/>
      </w:pPr>
      <w:r>
        <w:t>7. What this architecture does for the patent position</w:t>
      </w:r>
    </w:p>
    <w:tbl>
      <w:tblPr>
        <w:tblStyle w:val="TableGrid"/>
        <w:tblW w:type="auto" w:w="0"/>
        <w:jc w:val="center"/>
        <w:tblLook w:firstColumn="1" w:firstRow="1" w:lastColumn="0" w:lastRow="0" w:noHBand="0" w:noVBand="1" w:val="04A0"/>
      </w:tblPr>
      <w:tblGrid>
        <w:gridCol w:w="4968"/>
        <w:gridCol w:w="4968"/>
      </w:tblGrid>
      <w:tr>
        <w:tc>
          <w:tcPr>
            <w:tcW w:type="dxa" w:w="5184"/>
            <w:shd w:fill="DCE6F1"/>
          </w:tcPr>
          <w:p>
            <w:r/>
            <w:r>
              <w:rPr>
                <w:b/>
                <w:sz w:val="18"/>
              </w:rPr>
              <w:t>Element in this design</w:t>
            </w:r>
          </w:p>
        </w:tc>
        <w:tc>
          <w:tcPr>
            <w:tcW w:type="dxa" w:w="6336"/>
            <w:shd w:fill="DCE6F1"/>
          </w:tcPr>
          <w:p>
            <w:r/>
            <w:r>
              <w:rPr>
                <w:b/>
                <w:sz w:val="18"/>
              </w:rPr>
              <w:t>Patent status</w:t>
            </w:r>
          </w:p>
        </w:tc>
      </w:tr>
      <w:tr>
        <w:tc>
          <w:tcPr>
            <w:tcW w:type="dxa" w:w="5184"/>
          </w:tcPr>
          <w:p>
            <w:pPr>
              <w:spacing w:after="40"/>
            </w:pPr>
            <w:r/>
            <w:r>
              <w:rPr>
                <w:sz w:val="18"/>
              </w:rPr>
              <w:t>Kafka pipelines, dashboards, generic anomaly detection, Grafana panels</w:t>
            </w:r>
          </w:p>
        </w:tc>
        <w:tc>
          <w:tcPr>
            <w:tcW w:type="dxa" w:w="6336"/>
          </w:tcPr>
          <w:p>
            <w:pPr>
              <w:spacing w:after="40"/>
            </w:pPr>
            <w:r/>
            <w:r>
              <w:rPr>
                <w:sz w:val="18"/>
              </w:rPr>
              <w:t>Not patentable — considered routine. Publish or ship, do not spend filing budget.</w:t>
            </w:r>
          </w:p>
        </w:tc>
      </w:tr>
      <w:tr>
        <w:tc>
          <w:tcPr>
            <w:tcW w:type="dxa" w:w="5184"/>
          </w:tcPr>
          <w:p>
            <w:pPr>
              <w:spacing w:after="40"/>
            </w:pPr>
            <w:r/>
            <w:r>
              <w:rPr>
                <w:sz w:val="18"/>
              </w:rPr>
              <w:t>Pattern findings mapped back to requirement identifiers, with the verdict remaining deterministic</w:t>
            </w:r>
          </w:p>
        </w:tc>
        <w:tc>
          <w:tcPr>
            <w:tcW w:type="dxa" w:w="6336"/>
          </w:tcPr>
          <w:p>
            <w:pPr>
              <w:spacing w:after="40"/>
            </w:pPr>
            <w:r/>
            <w:r>
              <w:rPr>
                <w:sz w:val="18"/>
              </w:rPr>
              <w:t>Supports the lead claim: it demonstrates that the AI explains rather than judges.</w:t>
            </w:r>
          </w:p>
        </w:tc>
      </w:tr>
      <w:tr>
        <w:tc>
          <w:tcPr>
            <w:tcW w:type="dxa" w:w="5184"/>
          </w:tcPr>
          <w:p>
            <w:pPr>
              <w:spacing w:after="40"/>
            </w:pPr>
            <w:r/>
            <w:r>
              <w:rPr>
                <w:sz w:val="18"/>
              </w:rPr>
              <w:t>Coverage erosion pattern (not-exercised set drifting over routes and software loads)</w:t>
            </w:r>
          </w:p>
        </w:tc>
        <w:tc>
          <w:tcPr>
            <w:tcW w:type="dxa" w:w="6336"/>
          </w:tcPr>
          <w:p>
            <w:pPr>
              <w:spacing w:after="40"/>
            </w:pPr>
            <w:r/>
            <w:r>
              <w:rPr>
                <w:sz w:val="18"/>
              </w:rPr>
              <w:t>Supports Invention 2 — operational coverage account.</w:t>
            </w:r>
          </w:p>
        </w:tc>
      </w:tr>
      <w:tr>
        <w:tc>
          <w:tcPr>
            <w:tcW w:type="dxa" w:w="5184"/>
          </w:tcPr>
          <w:p>
            <w:pPr>
              <w:spacing w:after="40"/>
            </w:pPr>
            <w:r/>
            <w:r>
              <w:rPr>
                <w:sz w:val="18"/>
              </w:rPr>
              <w:t>Label flywheel that turns maintenance confirmations into validated labels for the threat models</w:t>
            </w:r>
          </w:p>
        </w:tc>
        <w:tc>
          <w:tcPr>
            <w:tcW w:type="dxa" w:w="6336"/>
          </w:tcPr>
          <w:p>
            <w:pPr>
              <w:spacing w:after="40"/>
            </w:pPr>
            <w:r/>
            <w:r>
              <w:rPr>
                <w:sz w:val="18"/>
              </w:rPr>
              <w:t>Supports Invention 3 — safety-gated, ground-learned advisory threat models.</w:t>
            </w:r>
          </w:p>
        </w:tc>
      </w:tr>
      <w:tr>
        <w:tc>
          <w:tcPr>
            <w:tcW w:type="dxa" w:w="5184"/>
          </w:tcPr>
          <w:p>
            <w:pPr>
              <w:spacing w:after="40"/>
            </w:pPr>
            <w:r/>
            <w:r>
              <w:rPr>
                <w:sz w:val="18"/>
              </w:rPr>
              <w:t>Conformance record with content hash, ledger, deterministic replay, late-data verdict revisions</w:t>
            </w:r>
          </w:p>
        </w:tc>
        <w:tc>
          <w:tcPr>
            <w:tcW w:type="dxa" w:w="6336"/>
          </w:tcPr>
          <w:p>
            <w:pPr>
              <w:spacing w:after="40"/>
            </w:pPr>
            <w:r/>
            <w:r>
              <w:rPr>
                <w:sz w:val="18"/>
              </w:rPr>
              <w:t>Supports the lead claim dependent claims.</w:t>
            </w:r>
          </w:p>
        </w:tc>
      </w:tr>
      <w:tr>
        <w:tc>
          <w:tcPr>
            <w:tcW w:type="dxa" w:w="5184"/>
          </w:tcPr>
          <w:p>
            <w:pPr>
              <w:spacing w:after="40"/>
            </w:pPr>
            <w:r/>
            <w:r>
              <w:rPr>
                <w:sz w:val="18"/>
              </w:rPr>
              <w:t>ACMS report definitions used as the practical in-flight route to partition and OS evidence</w:t>
            </w:r>
          </w:p>
        </w:tc>
        <w:tc>
          <w:tcPr>
            <w:tcW w:type="dxa" w:w="6336"/>
          </w:tcPr>
          <w:p>
            <w:pPr>
              <w:spacing w:after="40"/>
            </w:pPr>
            <w:r/>
            <w:r>
              <w:rPr>
                <w:sz w:val="18"/>
              </w:rPr>
              <w:t>Trade secret and partner advantage; consider a defensive publication so no one else claims it against you.</w:t>
            </w:r>
          </w:p>
        </w:tc>
      </w:tr>
    </w:tbl>
    <w:p>
      <w:pPr>
        <w:spacing w:after="40"/>
      </w:pPr>
    </w:p>
    <w:p>
      <w:pPr>
        <w:pStyle w:val="Heading1"/>
      </w:pPr>
      <w:r>
        <w:t>8. Risks and how to handle them</w:t>
      </w:r>
    </w:p>
    <w:tbl>
      <w:tblPr>
        <w:tblStyle w:val="TableGrid"/>
        <w:tblW w:type="auto" w:w="0"/>
        <w:jc w:val="center"/>
        <w:tblLook w:firstColumn="1" w:firstRow="1" w:lastColumn="0" w:lastRow="0" w:noHBand="0" w:noVBand="1" w:val="04A0"/>
      </w:tblPr>
      <w:tblGrid>
        <w:gridCol w:w="3312"/>
        <w:gridCol w:w="3312"/>
        <w:gridCol w:w="3312"/>
      </w:tblGrid>
      <w:tr>
        <w:tc>
          <w:tcPr>
            <w:tcW w:type="dxa" w:w="2448"/>
            <w:shd w:fill="DCE6F1"/>
          </w:tcPr>
          <w:p>
            <w:r/>
            <w:r>
              <w:rPr>
                <w:b/>
                <w:sz w:val="18"/>
              </w:rPr>
              <w:t>Risk</w:t>
            </w:r>
          </w:p>
        </w:tc>
        <w:tc>
          <w:tcPr>
            <w:tcW w:type="dxa" w:w="3744"/>
            <w:shd w:fill="DCE6F1"/>
          </w:tcPr>
          <w:p>
            <w:r/>
            <w:r>
              <w:rPr>
                <w:b/>
                <w:sz w:val="18"/>
              </w:rPr>
              <w:t>Reality</w:t>
            </w:r>
          </w:p>
        </w:tc>
        <w:tc>
          <w:tcPr>
            <w:tcW w:type="dxa" w:w="5328"/>
            <w:shd w:fill="DCE6F1"/>
          </w:tcPr>
          <w:p>
            <w:r/>
            <w:r>
              <w:rPr>
                <w:b/>
                <w:sz w:val="18"/>
              </w:rPr>
              <w:t>Handling</w:t>
            </w:r>
          </w:p>
        </w:tc>
      </w:tr>
      <w:tr>
        <w:tc>
          <w:tcPr>
            <w:tcW w:type="dxa" w:w="2448"/>
          </w:tcPr>
          <w:p>
            <w:pPr>
              <w:spacing w:after="40"/>
            </w:pPr>
            <w:r/>
            <w:r>
              <w:rPr>
                <w:sz w:val="18"/>
              </w:rPr>
              <w:t>No true live OS/partition telemetry</w:t>
            </w:r>
          </w:p>
        </w:tc>
        <w:tc>
          <w:tcPr>
            <w:tcW w:type="dxa" w:w="3744"/>
          </w:tcPr>
          <w:p>
            <w:pPr>
              <w:spacing w:after="40"/>
            </w:pPr>
            <w:r/>
            <w:r>
              <w:rPr>
                <w:sz w:val="18"/>
              </w:rPr>
              <w:t>Certified aircraft do not expose it</w:t>
            </w:r>
          </w:p>
        </w:tc>
        <w:tc>
          <w:tcPr>
            <w:tcW w:type="dxa" w:w="5328"/>
          </w:tcPr>
          <w:p>
            <w:pPr>
              <w:spacing w:after="40"/>
            </w:pPr>
            <w:r/>
            <w:r>
              <w:rPr>
                <w:sz w:val="18"/>
              </w:rPr>
              <w:t>ACMS reports in flight, QAR post-flight, OEM partnership for the full version; state the limitation in the product, not just the spec</w:t>
            </w:r>
          </w:p>
        </w:tc>
      </w:tr>
      <w:tr>
        <w:tc>
          <w:tcPr>
            <w:tcW w:type="dxa" w:w="2448"/>
          </w:tcPr>
          <w:p>
            <w:pPr>
              <w:spacing w:after="40"/>
            </w:pPr>
            <w:r/>
            <w:r>
              <w:rPr>
                <w:sz w:val="18"/>
              </w:rPr>
              <w:t>CSP and airline data rights</w:t>
            </w:r>
          </w:p>
        </w:tc>
        <w:tc>
          <w:tcPr>
            <w:tcW w:type="dxa" w:w="3744"/>
          </w:tcPr>
          <w:p>
            <w:pPr>
              <w:spacing w:after="40"/>
            </w:pPr>
            <w:r/>
            <w:r>
              <w:rPr>
                <w:sz w:val="18"/>
              </w:rPr>
              <w:t>Message content is commercially and sometimes personally sensitive</w:t>
            </w:r>
          </w:p>
        </w:tc>
        <w:tc>
          <w:tcPr>
            <w:tcW w:type="dxa" w:w="5328"/>
          </w:tcPr>
          <w:p>
            <w:pPr>
              <w:spacing w:after="40"/>
            </w:pPr>
            <w:r/>
            <w:r>
              <w:rPr>
                <w:sz w:val="18"/>
              </w:rPr>
              <w:t>Per-airline tenancy, content minimisation, hashes plus redaction, explicit retention limits,</w:t>
              <w:br/>
              <w:t>access logging</w:t>
            </w:r>
          </w:p>
        </w:tc>
      </w:tr>
      <w:tr>
        <w:tc>
          <w:tcPr>
            <w:tcW w:type="dxa" w:w="2448"/>
          </w:tcPr>
          <w:p>
            <w:pPr>
              <w:spacing w:after="40"/>
            </w:pPr>
            <w:r/>
            <w:r>
              <w:rPr>
                <w:sz w:val="18"/>
              </w:rPr>
              <w:t>QAR and flight-data-monitoring governance</w:t>
            </w:r>
          </w:p>
        </w:tc>
        <w:tc>
          <w:tcPr>
            <w:tcW w:type="dxa" w:w="3744"/>
          </w:tcPr>
          <w:p>
            <w:pPr>
              <w:spacing w:after="40"/>
            </w:pPr>
            <w:r/>
            <w:r>
              <w:rPr>
                <w:sz w:val="18"/>
              </w:rPr>
              <w:t>Heavily controlled, crew-sensitive</w:t>
            </w:r>
          </w:p>
        </w:tc>
        <w:tc>
          <w:tcPr>
            <w:tcW w:type="dxa" w:w="5328"/>
          </w:tcPr>
          <w:p>
            <w:pPr>
              <w:spacing w:after="40"/>
            </w:pPr>
            <w:r/>
            <w:r>
              <w:rPr>
                <w:sz w:val="18"/>
              </w:rPr>
              <w:t>Reuse the airline existing programme; never build a parallel crew-monitoring path</w:t>
            </w:r>
          </w:p>
        </w:tc>
      </w:tr>
      <w:tr>
        <w:tc>
          <w:tcPr>
            <w:tcW w:type="dxa" w:w="2448"/>
          </w:tcPr>
          <w:p>
            <w:pPr>
              <w:spacing w:after="40"/>
            </w:pPr>
            <w:r/>
            <w:r>
              <w:rPr>
                <w:sz w:val="18"/>
              </w:rPr>
              <w:t>Clock offsets and uncertainty</w:t>
            </w:r>
          </w:p>
        </w:tc>
        <w:tc>
          <w:tcPr>
            <w:tcW w:type="dxa" w:w="3744"/>
          </w:tcPr>
          <w:p>
            <w:pPr>
              <w:spacing w:after="40"/>
            </w:pPr>
            <w:r/>
            <w:r>
              <w:rPr>
                <w:sz w:val="18"/>
              </w:rPr>
              <w:t>Different sources, different clocks</w:t>
            </w:r>
          </w:p>
        </w:tc>
        <w:tc>
          <w:tcPr>
            <w:tcW w:type="dxa" w:w="5328"/>
          </w:tcPr>
          <w:p>
            <w:pPr>
              <w:spacing w:after="40"/>
            </w:pPr>
            <w:r/>
            <w:r>
              <w:rPr>
                <w:sz w:val="18"/>
              </w:rPr>
              <w:t>Propagate uncertainty; make INDETERMINATE a first-class outcome; never let a verdict depend on a comparison narrower than the uncertainty</w:t>
            </w:r>
          </w:p>
        </w:tc>
      </w:tr>
      <w:tr>
        <w:tc>
          <w:tcPr>
            <w:tcW w:type="dxa" w:w="2448"/>
          </w:tcPr>
          <w:p>
            <w:pPr>
              <w:spacing w:after="40"/>
            </w:pPr>
            <w:r/>
            <w:r>
              <w:rPr>
                <w:sz w:val="18"/>
              </w:rPr>
              <w:t>Dashboard trust</w:t>
            </w:r>
          </w:p>
        </w:tc>
        <w:tc>
          <w:tcPr>
            <w:tcW w:type="dxa" w:w="3744"/>
          </w:tcPr>
          <w:p>
            <w:pPr>
              <w:spacing w:after="40"/>
            </w:pPr>
            <w:r/>
            <w:r>
              <w:rPr>
                <w:sz w:val="18"/>
              </w:rPr>
              <w:t>Showing stale data as live destroys confidence in one demo</w:t>
            </w:r>
          </w:p>
        </w:tc>
        <w:tc>
          <w:tcPr>
            <w:tcW w:type="dxa" w:w="5328"/>
          </w:tcPr>
          <w:p>
            <w:pPr>
              <w:spacing w:after="40"/>
            </w:pPr>
            <w:r/>
            <w:r>
              <w:rPr>
                <w:sz w:val="18"/>
              </w:rPr>
              <w:t>Per-panel freshness and cadence indicators; explicit post-flight labelling</w:t>
            </w:r>
          </w:p>
        </w:tc>
      </w:tr>
      <w:tr>
        <w:tc>
          <w:tcPr>
            <w:tcW w:type="dxa" w:w="2448"/>
          </w:tcPr>
          <w:p>
            <w:pPr>
              <w:spacing w:after="40"/>
            </w:pPr>
            <w:r/>
            <w:r>
              <w:rPr>
                <w:sz w:val="18"/>
              </w:rPr>
              <w:t>OEM dependency</w:t>
            </w:r>
          </w:p>
        </w:tc>
        <w:tc>
          <w:tcPr>
            <w:tcW w:type="dxa" w:w="3744"/>
          </w:tcPr>
          <w:p>
            <w:pPr>
              <w:spacing w:after="40"/>
            </w:pPr>
            <w:r/>
            <w:r>
              <w:rPr>
                <w:sz w:val="18"/>
              </w:rPr>
              <w:t>Partition health data may require a partnership and long lead time</w:t>
            </w:r>
          </w:p>
        </w:tc>
        <w:tc>
          <w:tcPr>
            <w:tcW w:type="dxa" w:w="5328"/>
          </w:tcPr>
          <w:p>
            <w:pPr>
              <w:spacing w:after="40"/>
            </w:pPr>
            <w:r/>
            <w:r>
              <w:rPr>
                <w:sz w:val="18"/>
              </w:rPr>
              <w:t>Keep the MVP independent of it; treat it as the phase 3 differentiator</w:t>
            </w:r>
          </w:p>
        </w:tc>
      </w:tr>
      <w:tr>
        <w:tc>
          <w:tcPr>
            <w:tcW w:type="dxa" w:w="2448"/>
          </w:tcPr>
          <w:p>
            <w:pPr>
              <w:spacing w:after="40"/>
            </w:pPr>
            <w:r/>
            <w:r>
              <w:rPr>
                <w:sz w:val="18"/>
              </w:rPr>
              <w:t>Export control and security</w:t>
            </w:r>
          </w:p>
        </w:tc>
        <w:tc>
          <w:tcPr>
            <w:tcW w:type="dxa" w:w="3744"/>
          </w:tcPr>
          <w:p>
            <w:pPr>
              <w:spacing w:after="40"/>
            </w:pPr>
            <w:r/>
            <w:r>
              <w:rPr>
                <w:sz w:val="18"/>
              </w:rPr>
              <w:t>Fleet-wide telemetry and any interference library can be sensitive</w:t>
            </w:r>
          </w:p>
        </w:tc>
        <w:tc>
          <w:tcPr>
            <w:tcW w:type="dxa" w:w="5328"/>
          </w:tcPr>
          <w:p>
            <w:pPr>
              <w:spacing w:after="40"/>
            </w:pPr>
            <w:r/>
            <w:r>
              <w:rPr>
                <w:sz w:val="18"/>
              </w:rPr>
              <w:t>Legal review before cross-border aggregation; keep threat models advisory and access-controlled</w:t>
            </w:r>
          </w:p>
        </w:tc>
      </w:tr>
    </w:tbl>
    <w:p>
      <w:pPr>
        <w:spacing w:after="40"/>
      </w:pPr>
    </w:p>
    <w:p/>
    <w:p>
      <w:pPr>
        <w:jc w:val="center"/>
      </w:pPr>
      <w:r>
        <w:rPr>
          <w:i/>
          <w:sz w:val="17"/>
        </w:rPr>
        <w:t>Engineering design input. Not a legal opinion. All acquisitions described require CSP, airline and where applicable OEM agreements.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355"/>
      <w:sz w:val="31"/>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3355"/>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F33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