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55"/>
          <w:sz w:val="38"/>
        </w:rPr>
        <w:t>PATENT-WORTHY INVENTION</w:t>
      </w:r>
    </w:p>
    <w:p>
      <w:pPr>
        <w:jc w:val="center"/>
      </w:pPr>
      <w:r>
        <w:rPr>
          <w:b/>
          <w:sz w:val="26"/>
        </w:rPr>
        <w:t>Requirements-Anchored In-Service Datalink Conformance &amp; Root-Cause Platform</w:t>
      </w:r>
    </w:p>
    <w:p>
      <w:pPr>
        <w:jc w:val="center"/>
      </w:pPr>
      <w:r>
        <w:rPr>
          <w:i/>
          <w:sz w:val="19"/>
        </w:rPr>
        <w:t>Revision 2 — written around the full scope: uplink, downlink, OS, partition and fault data; live flight-keyed dashboard; and verification of the datalink against its own software and hardware requirements.</w:t>
        <w:br/>
        <w:t>Prior-art basis: 48 patent documents and 15 non-patent references · Review date 8 October 2026 · Engineering input, not a legal opinion</w:t>
      </w:r>
    </w:p>
    <w:p>
      <w:pPr>
        <w:pStyle w:val="Heading1"/>
      </w:pPr>
      <w:r>
        <w:t>1. The idea as stated (the scope this document protects)</w:t>
      </w:r>
    </w:p>
    <w:p>
      <w:r>
        <w:rPr>
          <w:b w:val="0"/>
          <w:i w:val="0"/>
        </w:rPr>
        <w:t>The platform runs on the ground and treats data as everything. For each flight it continuously ingests and fuses:</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DCE6F1"/>
          </w:tcPr>
          <w:p>
            <w:r/>
            <w:r>
              <w:rPr>
                <w:b/>
                <w:sz w:val="19"/>
              </w:rPr>
              <w:t>Data source</w:t>
            </w:r>
          </w:p>
        </w:tc>
        <w:tc>
          <w:tcPr>
            <w:tcW w:type="dxa" w:w="4320"/>
            <w:shd w:fill="DCE6F1"/>
          </w:tcPr>
          <w:p>
            <w:r/>
            <w:r>
              <w:rPr>
                <w:b/>
                <w:sz w:val="19"/>
              </w:rPr>
              <w:t>What it contains</w:t>
            </w:r>
          </w:p>
        </w:tc>
        <w:tc>
          <w:tcPr>
            <w:tcW w:type="dxa" w:w="3960"/>
            <w:shd w:fill="DCE6F1"/>
          </w:tcPr>
          <w:p>
            <w:r/>
            <w:r>
              <w:rPr>
                <w:b/>
                <w:sz w:val="19"/>
              </w:rPr>
              <w:t>What it can prove about a requirement</w:t>
            </w:r>
          </w:p>
        </w:tc>
      </w:tr>
      <w:tr>
        <w:tc>
          <w:tcPr>
            <w:tcW w:type="dxa" w:w="1944"/>
          </w:tcPr>
          <w:p>
            <w:pPr>
              <w:spacing w:after="40"/>
            </w:pPr>
            <w:r/>
            <w:r>
              <w:rPr>
                <w:sz w:val="19"/>
              </w:rPr>
              <w:t>Uplink messages</w:t>
            </w:r>
          </w:p>
        </w:tc>
        <w:tc>
          <w:tcPr>
            <w:tcW w:type="dxa" w:w="4320"/>
          </w:tcPr>
          <w:p>
            <w:pPr>
              <w:spacing w:after="40"/>
            </w:pPr>
            <w:r/>
            <w:r>
              <w:rPr>
                <w:sz w:val="19"/>
              </w:rPr>
              <w:t>ATC/ground to aircraft datalink messages (CPDLC, ADS-C requests, operational uplinks, weather, loadable data)</w:t>
            </w:r>
          </w:p>
        </w:tc>
        <w:tc>
          <w:tcPr>
            <w:tcW w:type="dxa" w:w="3960"/>
          </w:tcPr>
          <w:p>
            <w:pPr>
              <w:spacing w:after="40"/>
            </w:pPr>
            <w:r/>
            <w:r>
              <w:rPr>
                <w:sz w:val="19"/>
              </w:rPr>
              <w:t>Delivery, ordering, latency, correct handling and display, and whether a response obligation was created</w:t>
            </w:r>
          </w:p>
        </w:tc>
      </w:tr>
      <w:tr>
        <w:tc>
          <w:tcPr>
            <w:tcW w:type="dxa" w:w="1944"/>
          </w:tcPr>
          <w:p>
            <w:pPr>
              <w:spacing w:after="40"/>
            </w:pPr>
            <w:r/>
            <w:r>
              <w:rPr>
                <w:sz w:val="19"/>
              </w:rPr>
              <w:t>Downlink messages</w:t>
            </w:r>
          </w:p>
        </w:tc>
        <w:tc>
          <w:tcPr>
            <w:tcW w:type="dxa" w:w="4320"/>
          </w:tcPr>
          <w:p>
            <w:pPr>
              <w:spacing w:after="40"/>
            </w:pPr>
            <w:r/>
            <w:r>
              <w:rPr>
                <w:sz w:val="19"/>
              </w:rPr>
              <w:t>Aircraft to ground: crew responses, reports, position and event downlinks</w:t>
            </w:r>
          </w:p>
        </w:tc>
        <w:tc>
          <w:tcPr>
            <w:tcW w:type="dxa" w:w="3960"/>
          </w:tcPr>
          <w:p>
            <w:pPr>
              <w:spacing w:after="40"/>
            </w:pPr>
            <w:r/>
            <w:r>
              <w:rPr>
                <w:sz w:val="19"/>
              </w:rPr>
              <w:t>Transmission success, content correctness, correct response to an uplink, correct report triggering</w:t>
            </w:r>
          </w:p>
        </w:tc>
      </w:tr>
      <w:tr>
        <w:tc>
          <w:tcPr>
            <w:tcW w:type="dxa" w:w="1944"/>
          </w:tcPr>
          <w:p>
            <w:pPr>
              <w:spacing w:after="40"/>
            </w:pPr>
            <w:r/>
            <w:r>
              <w:rPr>
                <w:sz w:val="19"/>
              </w:rPr>
              <w:t>OS data</w:t>
            </w:r>
          </w:p>
        </w:tc>
        <w:tc>
          <w:tcPr>
            <w:tcW w:type="dxa" w:w="4320"/>
          </w:tcPr>
          <w:p>
            <w:pPr>
              <w:spacing w:after="40"/>
            </w:pPr>
            <w:r/>
            <w:r>
              <w:rPr>
                <w:sz w:val="19"/>
              </w:rPr>
              <w:t>Avionics operating system events: task activation, scheduling, error and health records, resource usage</w:t>
            </w:r>
          </w:p>
        </w:tc>
        <w:tc>
          <w:tcPr>
            <w:tcW w:type="dxa" w:w="3960"/>
          </w:tcPr>
          <w:p>
            <w:pPr>
              <w:spacing w:after="40"/>
            </w:pPr>
            <w:r/>
            <w:r>
              <w:rPr>
                <w:sz w:val="19"/>
              </w:rPr>
              <w:t>Timing margin, partition budget adherence, absence of unintended function, fault containment</w:t>
            </w:r>
          </w:p>
        </w:tc>
      </w:tr>
      <w:tr>
        <w:tc>
          <w:tcPr>
            <w:tcW w:type="dxa" w:w="1944"/>
          </w:tcPr>
          <w:p>
            <w:pPr>
              <w:spacing w:after="40"/>
            </w:pPr>
            <w:r/>
            <w:r>
              <w:rPr>
                <w:sz w:val="19"/>
              </w:rPr>
              <w:t>Partition performance</w:t>
            </w:r>
          </w:p>
        </w:tc>
        <w:tc>
          <w:tcPr>
            <w:tcW w:type="dxa" w:w="4320"/>
          </w:tcPr>
          <w:p>
            <w:pPr>
              <w:spacing w:after="40"/>
            </w:pPr>
            <w:r/>
            <w:r>
              <w:rPr>
                <w:sz w:val="19"/>
              </w:rPr>
              <w:t>ARINC-653-style partition execution time, release jitter, overrun events, budget utilisation</w:t>
            </w:r>
          </w:p>
        </w:tc>
        <w:tc>
          <w:tcPr>
            <w:tcW w:type="dxa" w:w="3960"/>
          </w:tcPr>
          <w:p>
            <w:pPr>
              <w:spacing w:after="40"/>
            </w:pPr>
            <w:r/>
            <w:r>
              <w:rPr>
                <w:sz w:val="19"/>
              </w:rPr>
              <w:t>Allocated time budget per requirement; whether the communications function stayed inside its certified budget</w:t>
            </w:r>
          </w:p>
        </w:tc>
      </w:tr>
      <w:tr>
        <w:tc>
          <w:tcPr>
            <w:tcW w:type="dxa" w:w="1944"/>
          </w:tcPr>
          <w:p>
            <w:pPr>
              <w:spacing w:after="40"/>
            </w:pPr>
            <w:r/>
            <w:r>
              <w:rPr>
                <w:sz w:val="19"/>
              </w:rPr>
              <w:t>Fault observations</w:t>
            </w:r>
          </w:p>
        </w:tc>
        <w:tc>
          <w:tcPr>
            <w:tcW w:type="dxa" w:w="4320"/>
          </w:tcPr>
          <w:p>
            <w:pPr>
              <w:spacing w:after="40"/>
            </w:pPr>
            <w:r/>
            <w:r>
              <w:rPr>
                <w:sz w:val="19"/>
              </w:rPr>
              <w:t>BITE results, fault flags, CMU/ATSU and radio fault records, maintenance messages</w:t>
            </w:r>
          </w:p>
        </w:tc>
        <w:tc>
          <w:tcPr>
            <w:tcW w:type="dxa" w:w="3960"/>
          </w:tcPr>
          <w:p>
            <w:pPr>
              <w:spacing w:after="40"/>
            </w:pPr>
            <w:r/>
            <w:r>
              <w:rPr>
                <w:sz w:val="19"/>
              </w:rPr>
              <w:t>Robustness and fault-detection requirements, fault reporting latency, correct degradation behaviour</w:t>
            </w:r>
          </w:p>
        </w:tc>
      </w:tr>
      <w:tr>
        <w:tc>
          <w:tcPr>
            <w:tcW w:type="dxa" w:w="1944"/>
          </w:tcPr>
          <w:p>
            <w:pPr>
              <w:spacing w:after="40"/>
            </w:pPr>
            <w:r/>
            <w:r>
              <w:rPr>
                <w:sz w:val="19"/>
              </w:rPr>
              <w:t>Link/RF observations</w:t>
            </w:r>
          </w:p>
        </w:tc>
        <w:tc>
          <w:tcPr>
            <w:tcW w:type="dxa" w:w="4320"/>
          </w:tcPr>
          <w:p>
            <w:pPr>
              <w:spacing w:after="40"/>
            </w:pPr>
            <w:r/>
            <w:r>
              <w:rPr>
                <w:sz w:val="19"/>
              </w:rPr>
              <w:t>Frequency, subnetwork, channel occupancy, error counters, link state changes</w:t>
            </w:r>
          </w:p>
        </w:tc>
        <w:tc>
          <w:tcPr>
            <w:tcW w:type="dxa" w:w="3960"/>
          </w:tcPr>
          <w:p>
            <w:pPr>
              <w:spacing w:after="40"/>
            </w:pPr>
            <w:r/>
            <w:r>
              <w:rPr>
                <w:sz w:val="19"/>
              </w:rPr>
              <w:t>Interface and link-level requirements, correct subnetwork selection and fallback</w:t>
            </w:r>
          </w:p>
        </w:tc>
      </w:tr>
      <w:tr>
        <w:tc>
          <w:tcPr>
            <w:tcW w:type="dxa" w:w="1944"/>
          </w:tcPr>
          <w:p>
            <w:pPr>
              <w:spacing w:after="40"/>
            </w:pPr>
            <w:r/>
            <w:r>
              <w:rPr>
                <w:sz w:val="19"/>
              </w:rPr>
              <w:t>Pilot actions</w:t>
            </w:r>
          </w:p>
        </w:tc>
        <w:tc>
          <w:tcPr>
            <w:tcW w:type="dxa" w:w="4320"/>
          </w:tcPr>
          <w:p>
            <w:pPr>
              <w:spacing w:after="40"/>
            </w:pPr>
            <w:r/>
            <w:r>
              <w:rPr>
                <w:sz w:val="19"/>
              </w:rPr>
              <w:t>Response, readback, acknowledgement, omission and response latency</w:t>
            </w:r>
          </w:p>
        </w:tc>
        <w:tc>
          <w:tcPr>
            <w:tcW w:type="dxa" w:w="3960"/>
          </w:tcPr>
          <w:p>
            <w:pPr>
              <w:spacing w:after="40"/>
            </w:pPr>
            <w:r/>
            <w:r>
              <w:rPr>
                <w:sz w:val="19"/>
              </w:rPr>
              <w:t>Crew-response and human-factors requirement conformance</w:t>
            </w:r>
          </w:p>
        </w:tc>
      </w:tr>
    </w:tbl>
    <w:p>
      <w:pPr>
        <w:spacing w:after="40"/>
      </w:pPr>
    </w:p>
    <w:p>
      <w:r>
        <w:rPr>
          <w:b w:val="0"/>
          <w:i w:val="0"/>
        </w:rPr>
        <w:t>Outputs required: a live dashboard that follows which flight is being monitored and updates in real time; and a verdict, against the datalink's own software and hardware requirements, of whether the datalink is working as the requirements say it must.</w:t>
      </w:r>
    </w:p>
    <w:p>
      <w:pPr>
        <w:spacing w:before="120" w:after="200"/>
        <w:ind w:left="216"/>
        <w:pBdr>
          <w:top w:val="single" w:sz="8" w:space="6" w:color="1F3355"/>
          <w:bottom w:val="single" w:sz="8" w:space="6" w:color="1F3355"/>
          <w:left w:val="single" w:sz="8" w:space="6" w:color="1F3355"/>
          <w:right w:val="single" w:sz="8" w:space="6" w:color="1F3355"/>
        </w:pBdr>
      </w:pPr>
      <w:r>
        <w:rPr>
          <w:b/>
          <w:sz w:val="22"/>
        </w:rPr>
        <w:t>The business question this answers: not "is the datalink slow?" but "is this installed datalink behaving as its certified software and hardware requirements require it to behave, on this flight, right now — and if not, why not?"</w:t>
      </w:r>
    </w:p>
    <w:p>
      <w:pPr>
        <w:pStyle w:val="Heading1"/>
      </w:pPr>
      <w:r>
        <w:t>2. Prior-art verdict on the revised scope</w:t>
      </w:r>
    </w:p>
    <w:p>
      <w:pPr>
        <w:pStyle w:val="Heading2"/>
      </w:pPr>
      <w:r>
        <w:t>2.1 Still anticipated — do not spend filing budget here</w:t>
      </w:r>
    </w:p>
    <w:tbl>
      <w:tblPr>
        <w:tblStyle w:val="TableGrid"/>
        <w:tblW w:type="auto" w:w="0"/>
        <w:jc w:val="center"/>
        <w:tblLook w:firstColumn="1" w:firstRow="1" w:lastColumn="0" w:lastRow="0" w:noHBand="0" w:noVBand="1" w:val="04A0"/>
      </w:tblPr>
      <w:tblGrid>
        <w:gridCol w:w="3312"/>
        <w:gridCol w:w="3312"/>
        <w:gridCol w:w="3312"/>
      </w:tblGrid>
      <w:tr>
        <w:tc>
          <w:tcPr>
            <w:tcW w:type="dxa" w:w="3384"/>
            <w:shd w:fill="DCE6F1"/>
          </w:tcPr>
          <w:p>
            <w:r/>
            <w:r>
              <w:rPr>
                <w:b/>
                <w:sz w:val="19"/>
              </w:rPr>
              <w:t>Element</w:t>
            </w:r>
          </w:p>
        </w:tc>
        <w:tc>
          <w:tcPr>
            <w:tcW w:type="dxa" w:w="4464"/>
            <w:shd w:fill="DCE6F1"/>
          </w:tcPr>
          <w:p>
            <w:r/>
            <w:r>
              <w:rPr>
                <w:b/>
                <w:sz w:val="19"/>
              </w:rPr>
              <w:t>Blocked by</w:t>
            </w:r>
          </w:p>
        </w:tc>
        <w:tc>
          <w:tcPr>
            <w:tcW w:type="dxa" w:w="2376"/>
            <w:shd w:fill="DCE6F1"/>
          </w:tcPr>
          <w:p>
            <w:r/>
            <w:r>
              <w:rPr>
                <w:b/>
                <w:sz w:val="19"/>
              </w:rPr>
              <w:t>Verdict</w:t>
            </w:r>
          </w:p>
        </w:tc>
      </w:tr>
      <w:tr>
        <w:tc>
          <w:tcPr>
            <w:tcW w:type="dxa" w:w="3384"/>
          </w:tcPr>
          <w:p>
            <w:pPr>
              <w:spacing w:after="40"/>
            </w:pPr>
            <w:r/>
            <w:r>
              <w:rPr>
                <w:sz w:val="19"/>
              </w:rPr>
              <w:t>Ground server ingesting live datalink data; dashboard; alerting</w:t>
            </w:r>
          </w:p>
        </w:tc>
        <w:tc>
          <w:tcPr>
            <w:tcW w:type="dxa" w:w="4464"/>
          </w:tcPr>
          <w:p>
            <w:pPr>
              <w:spacing w:after="40"/>
            </w:pPr>
            <w:r/>
            <w:r>
              <w:rPr>
                <w:sz w:val="19"/>
              </w:rPr>
              <w:t>US2025/0260475A1 (Satcom Direct); EP2040392B1; US9321542B2</w:t>
            </w:r>
          </w:p>
        </w:tc>
        <w:tc>
          <w:tcPr>
            <w:tcW w:type="dxa" w:w="2376"/>
          </w:tcPr>
          <w:p>
            <w:pPr>
              <w:spacing w:after="40"/>
            </w:pPr>
            <w:r/>
            <w:r>
              <w:rPr>
                <w:sz w:val="19"/>
              </w:rPr>
              <w:t>Not claimable</w:t>
            </w:r>
          </w:p>
        </w:tc>
      </w:tr>
      <w:tr>
        <w:tc>
          <w:tcPr>
            <w:tcW w:type="dxa" w:w="3384"/>
          </w:tcPr>
          <w:p>
            <w:pPr>
              <w:spacing w:after="40"/>
            </w:pPr>
            <w:r/>
            <w:r>
              <w:rPr>
                <w:sz w:val="19"/>
              </w:rPr>
              <w:t>End-to-end latency versus a benchmark or threshold</w:t>
            </w:r>
          </w:p>
        </w:tc>
        <w:tc>
          <w:tcPr>
            <w:tcW w:type="dxa" w:w="4464"/>
          </w:tcPr>
          <w:p>
            <w:pPr>
              <w:spacing w:after="40"/>
            </w:pPr>
            <w:r/>
            <w:r>
              <w:rPr>
                <w:sz w:val="19"/>
              </w:rPr>
              <w:t>US2025/0260475A1; US8045977B2/US8200213B2</w:t>
            </w:r>
          </w:p>
        </w:tc>
        <w:tc>
          <w:tcPr>
            <w:tcW w:type="dxa" w:w="2376"/>
          </w:tcPr>
          <w:p>
            <w:pPr>
              <w:spacing w:after="40"/>
            </w:pPr>
            <w:r/>
            <w:r>
              <w:rPr>
                <w:sz w:val="19"/>
              </w:rPr>
              <w:t>Not claimable</w:t>
            </w:r>
          </w:p>
        </w:tc>
      </w:tr>
      <w:tr>
        <w:tc>
          <w:tcPr>
            <w:tcW w:type="dxa" w:w="3384"/>
          </w:tcPr>
          <w:p>
            <w:pPr>
              <w:spacing w:after="40"/>
            </w:pPr>
            <w:r/>
            <w:r>
              <w:rPr>
                <w:sz w:val="19"/>
              </w:rPr>
              <w:t>Attribution of delay to a network hop / transmission step</w:t>
            </w:r>
          </w:p>
        </w:tc>
        <w:tc>
          <w:tcPr>
            <w:tcW w:type="dxa" w:w="4464"/>
          </w:tcPr>
          <w:p>
            <w:pPr>
              <w:spacing w:after="40"/>
            </w:pPr>
            <w:r/>
            <w:r>
              <w:rPr>
                <w:sz w:val="19"/>
              </w:rPr>
              <w:t>US2025/0260475A1</w:t>
            </w:r>
          </w:p>
        </w:tc>
        <w:tc>
          <w:tcPr>
            <w:tcW w:type="dxa" w:w="2376"/>
          </w:tcPr>
          <w:p>
            <w:pPr>
              <w:spacing w:after="40"/>
            </w:pPr>
            <w:r/>
            <w:r>
              <w:rPr>
                <w:sz w:val="19"/>
              </w:rPr>
              <w:t>Not claimable</w:t>
            </w:r>
          </w:p>
        </w:tc>
      </w:tr>
      <w:tr>
        <w:tc>
          <w:tcPr>
            <w:tcW w:type="dxa" w:w="3384"/>
          </w:tcPr>
          <w:p>
            <w:pPr>
              <w:spacing w:after="40"/>
            </w:pPr>
            <w:r/>
            <w:r>
              <w:rPr>
                <w:sz w:val="19"/>
              </w:rPr>
              <w:t>Monitoring crew response to a communication and flagging discrepancy</w:t>
            </w:r>
          </w:p>
        </w:tc>
        <w:tc>
          <w:tcPr>
            <w:tcW w:type="dxa" w:w="4464"/>
          </w:tcPr>
          <w:p>
            <w:pPr>
              <w:spacing w:after="40"/>
            </w:pPr>
            <w:r/>
            <w:r>
              <w:rPr>
                <w:sz w:val="19"/>
              </w:rPr>
              <w:t>US9620020B2 (Honeywell); US10971155B2; US8305208B2; US2025/0260475A1 (PORT)</w:t>
            </w:r>
          </w:p>
        </w:tc>
        <w:tc>
          <w:tcPr>
            <w:tcW w:type="dxa" w:w="2376"/>
          </w:tcPr>
          <w:p>
            <w:pPr>
              <w:spacing w:after="40"/>
            </w:pPr>
            <w:r/>
            <w:r>
              <w:rPr>
                <w:sz w:val="19"/>
              </w:rPr>
              <w:t>Not claimable broadly</w:t>
            </w:r>
          </w:p>
        </w:tc>
      </w:tr>
      <w:tr>
        <w:tc>
          <w:tcPr>
            <w:tcW w:type="dxa" w:w="3384"/>
          </w:tcPr>
          <w:p>
            <w:pPr>
              <w:spacing w:after="40"/>
            </w:pPr>
            <w:r/>
            <w:r>
              <w:rPr>
                <w:sz w:val="19"/>
              </w:rPr>
              <w:t>Turning a specification into an executable runtime monitor (generic)</w:t>
            </w:r>
          </w:p>
        </w:tc>
        <w:tc>
          <w:tcPr>
            <w:tcW w:type="dxa" w:w="4464"/>
          </w:tcPr>
          <w:p>
            <w:pPr>
              <w:spacing w:after="40"/>
            </w:pPr>
            <w:r/>
            <w:r>
              <w:rPr>
                <w:sz w:val="19"/>
              </w:rPr>
              <w:t>Runtime-verification literature (RTLola / Volocopter 2024); arXiv 2205.04590; US10915422B2 (MathWorks, task-level code checking)</w:t>
            </w:r>
          </w:p>
        </w:tc>
        <w:tc>
          <w:tcPr>
            <w:tcW w:type="dxa" w:w="2376"/>
          </w:tcPr>
          <w:p>
            <w:pPr>
              <w:spacing w:after="40"/>
            </w:pPr>
            <w:r/>
            <w:r>
              <w:rPr>
                <w:sz w:val="19"/>
              </w:rPr>
              <w:t>Not claimable generically</w:t>
            </w:r>
          </w:p>
        </w:tc>
      </w:tr>
      <w:tr>
        <w:tc>
          <w:tcPr>
            <w:tcW w:type="dxa" w:w="3384"/>
          </w:tcPr>
          <w:p>
            <w:pPr>
              <w:spacing w:after="40"/>
            </w:pPr>
            <w:r/>
            <w:r>
              <w:rPr>
                <w:sz w:val="19"/>
              </w:rPr>
              <w:t>Real-time verification of a system against specifications and criteria</w:t>
            </w:r>
          </w:p>
        </w:tc>
        <w:tc>
          <w:tcPr>
            <w:tcW w:type="dxa" w:w="4464"/>
          </w:tcPr>
          <w:p>
            <w:pPr>
              <w:spacing w:after="40"/>
            </w:pPr>
            <w:r/>
            <w:r>
              <w:rPr>
                <w:sz w:val="19"/>
              </w:rPr>
              <w:t>NASA TOP2-320 "Near-Real Time Verification and Validation of Autonomous Flight Operations"</w:t>
            </w:r>
          </w:p>
        </w:tc>
        <w:tc>
          <w:tcPr>
            <w:tcW w:type="dxa" w:w="2376"/>
          </w:tcPr>
          <w:p>
            <w:pPr>
              <w:spacing w:after="40"/>
            </w:pPr>
            <w:r/>
            <w:r>
              <w:rPr>
                <w:sz w:val="19"/>
              </w:rPr>
              <w:t>High risk — must be narrowed sharply</w:t>
            </w:r>
          </w:p>
        </w:tc>
      </w:tr>
      <w:tr>
        <w:tc>
          <w:tcPr>
            <w:tcW w:type="dxa" w:w="3384"/>
          </w:tcPr>
          <w:p>
            <w:pPr>
              <w:spacing w:after="40"/>
            </w:pPr>
            <w:r/>
            <w:r>
              <w:rPr>
                <w:sz w:val="19"/>
              </w:rPr>
              <w:t>Digitally twinning a subsystem and using in-service data to infer faults</w:t>
            </w:r>
          </w:p>
        </w:tc>
        <w:tc>
          <w:tcPr>
            <w:tcW w:type="dxa" w:w="4464"/>
          </w:tcPr>
          <w:p>
            <w:pPr>
              <w:spacing w:after="40"/>
            </w:pPr>
            <w:r/>
            <w:r>
              <w:rPr>
                <w:sz w:val="19"/>
              </w:rPr>
              <w:t>US20240086595A1; broad digital-twin literature and practice</w:t>
            </w:r>
          </w:p>
        </w:tc>
        <w:tc>
          <w:tcPr>
            <w:tcW w:type="dxa" w:w="2376"/>
          </w:tcPr>
          <w:p>
            <w:pPr>
              <w:spacing w:after="40"/>
            </w:pPr>
            <w:r/>
            <w:r>
              <w:rPr>
                <w:sz w:val="19"/>
              </w:rPr>
              <w:t>Not claimable</w:t>
            </w:r>
          </w:p>
        </w:tc>
      </w:tr>
    </w:tbl>
    <w:p>
      <w:pPr>
        <w:spacing w:after="40"/>
      </w:pPr>
    </w:p>
    <w:p>
      <w:pPr>
        <w:pStyle w:val="Heading2"/>
      </w:pPr>
      <w:r>
        <w:t>2.2 New references found on the requirement-verification element</w:t>
      </w:r>
    </w:p>
    <w:p>
      <w:pPr>
        <w:pStyle w:val="ListBullet"/>
      </w:pPr>
      <w:r>
        <w:rPr>
          <w:b/>
        </w:rPr>
        <w:t xml:space="preserve">NASA TOP2-320 — "Near-Real Time Verification and Validation of Autonomous Flight Operations": </w:t>
      </w:r>
      <w:r>
        <w:t>NASA technology for standardised data collection and auditing from autonomous systems, with a rule-based or human-in-the-loop verification process that "verifies system criteria, specifications, and data quality requirements", in real time or post-flight, and a validation process that checks data integrity, quantity and quality, determining whether an operation's performance, conformance and compliance are within known variation. This is the closest reference to the new scope and must be designed around. Its domain is autonomous flight operations and UAS traffic management auditing, and its ground truth is operational criteria and data quality — not the installed datalink's own certified DO-178C/DO-254 requirement baseline, and it contains no per-flight requirement-by-requirement verdict, no not-exercised accounting, and no host-OS/partition evidence.</w:t>
      </w:r>
    </w:p>
    <w:p>
      <w:pPr>
        <w:pStyle w:val="ListBullet"/>
      </w:pPr>
      <w:r>
        <w:rPr>
          <w:b/>
        </w:rPr>
        <w:t xml:space="preserve">US9620020B2 — "Communication-based monitoring of compliance with aviation regulations and operating procedures" (Honeywell): </w:t>
      </w:r>
      <w:r>
        <w:t>monitors cockpit communication and datalink, extracts key information, compares a request for pilot action against the action actually taken, and confirms whether a communication required by regulation or procedure was performed; the absence of a required communication is also checked. This blocks any broad claim to "compare what was required against what happened, and flag the gap" in aviation. The distinction available to us is the ground truth: regulations and operating procedures, versus the system's own certified software and hardware requirements, verified from fused link, OS, partition and fault evidence rather than from speech.</w:t>
      </w:r>
    </w:p>
    <w:p>
      <w:pPr>
        <w:pStyle w:val="ListBullet"/>
      </w:pPr>
      <w:r>
        <w:rPr>
          <w:b/>
        </w:rPr>
        <w:t xml:space="preserve">WO2025146353A1 (Valeo) — "Computer-implemented method to monitor a function of a vehicle": </w:t>
      </w:r>
      <w:r>
        <w:t>supplies function information describing the data flow generated when the function executes, and monitors the function from it. Relevant as prior art for "derive the monitor from a description of the function".</w:t>
      </w:r>
    </w:p>
    <w:p>
      <w:pPr>
        <w:pStyle w:val="ListBullet"/>
      </w:pPr>
      <w:r>
        <w:rPr>
          <w:b/>
        </w:rPr>
        <w:t xml:space="preserve">RTLola / Volocopter integration study (arXiv 2404.12035, 2024): </w:t>
      </w:r>
      <w:r>
        <w:t>formally specified monitors integrated into aircraft, used to validate that external components conform to their specifications including delivering data within deadlines, and to validate safety requirements during test flights, with monitors generated from specifications and developed through log-file analysis, software-in-the-loop and hardware-in-the-loop stages. This is the strongest non-patent anticipation of "requirements become runtime monitors on an aircraft", and it must be cited.</w:t>
      </w:r>
    </w:p>
    <w:p>
      <w:pPr>
        <w:pStyle w:val="ListBullet"/>
      </w:pPr>
      <w:r>
        <w:rPr>
          <w:b/>
        </w:rPr>
        <w:t xml:space="preserve">Three-valued runtime verification of spoken ATC procedures (2026): </w:t>
      </w:r>
      <w:r>
        <w:t>reports obligations as satisfied, violated, or open — where an open obligation is reported as not-yet-violated until its deadline passes, with each violation linked to the breached obligation and the observations supporting the verdict. This anticipates a tri-state verdict in general; our verdict semantics must therefore be specific and must add the state the literature does not have: NOT-EXERCISED, i.e. the requirement was never triggered on this flight, accumulated across flights into an operational coverage account.</w:t>
      </w:r>
    </w:p>
    <w:p>
      <w:pPr>
        <w:pStyle w:val="ListBullet"/>
      </w:pPr>
      <w:r>
        <w:rPr>
          <w:b/>
        </w:rPr>
        <w:t xml:space="preserve">arXiv 2205.04590 — verification framework for certifying learning-based aviation systems: </w:t>
      </w:r>
      <w:r>
        <w:t>an offline specification pool plus online monitoring of satisfaction over partial traces. Prior art for the offline-to-online monitor pipeline.</w:t>
      </w:r>
    </w:p>
    <w:p>
      <w:pPr>
        <w:pStyle w:val="Heading1"/>
      </w:pPr>
      <w:r>
        <w:t>3. The patent-worthy idea (single statement)</w:t>
      </w:r>
    </w:p>
    <w:p>
      <w:pPr>
        <w:spacing w:before="120" w:after="200"/>
        <w:ind w:left="216"/>
        <w:pBdr>
          <w:top w:val="single" w:sz="8" w:space="6" w:color="1F3355"/>
          <w:bottom w:val="single" w:sz="8" w:space="6" w:color="1F3355"/>
          <w:left w:val="single" w:sz="8" w:space="6" w:color="1F3355"/>
          <w:right w:val="single" w:sz="8" w:space="6" w:color="1F3355"/>
        </w:pBdr>
      </w:pPr>
      <w:r>
        <w:rPr>
          <w:b/>
          <w:sz w:val="22"/>
        </w:rPr>
        <w:t>A ground-based platform that compiles the installed datalink's own controlled software and hardware requirement baseline into executable requirement monitors, evaluates them in near real time against fused uplink, downlink, host-operating-system, partition-performance, fault and crew-action evidence for each individual flight, and issues per requirement one of four verdicts — conforming, non-conforming, not-exercised, or indeterminate — where not-exercised converts in-service operation into an operational coverage account for requirements that were never demonstrated in the field, and where the closed flight produces a signed, ledgered conformance record that doubles as continuing-airworthiness evidence.</w:t>
      </w:r>
    </w:p>
    <w:p>
      <w:r>
        <w:rPr>
          <w:b/>
          <w:i w:val="0"/>
        </w:rPr>
        <w:t>Why this survives the art found:</w:t>
      </w:r>
    </w:p>
    <w:p>
      <w:pPr>
        <w:pStyle w:val="ListBullet"/>
      </w:pPr>
      <w:r>
        <w:rPr>
          <w:b/>
        </w:rPr>
        <w:t xml:space="preserve">The ground truth is unique. </w:t>
      </w:r>
      <w:r>
        <w:t>The reference is not a benchmark, not a regulation, and not a generic specification: it is the installed datalink's own certified software and hardware requirements, each carried with an identifier, an acceptance criterion and an evidence class. No reference found verifies an avionics system in service against its own DO-178C and DO-254 requirement baseline.</w:t>
      </w:r>
    </w:p>
    <w:p>
      <w:pPr>
        <w:pStyle w:val="ListBullet"/>
      </w:pPr>
      <w:r>
        <w:rPr>
          <w:b/>
        </w:rPr>
        <w:t xml:space="preserve">The verdict set is unique. </w:t>
      </w:r>
      <w:r>
        <w:t>Conforming, non-conforming, not-exercised and indeterminate, per requirement, per flight. The not-exercised state is the commercially and regulatorily valuable one: today nobody knows which requirements the fleet exercises in service and which have never been demonstrated at all. Litigation and literature give three-valued verification; they do not give operational coverage accounting.</w:t>
      </w:r>
    </w:p>
    <w:p>
      <w:pPr>
        <w:pStyle w:val="ListBullet"/>
      </w:pPr>
      <w:r>
        <w:rPr>
          <w:b/>
        </w:rPr>
        <w:t xml:space="preserve">The fusion is required to make it work. </w:t>
      </w:r>
      <w:r>
        <w:t>A functional requirement needs uplink and downlink message evidence; a timing requirement needs partition and OS telemetry; a robustness requirement needs fault observations. No single source can verify the baseline, which is why the fused pipeline is a technical necessity and not a convenience.</w:t>
      </w:r>
    </w:p>
    <w:p>
      <w:pPr>
        <w:pStyle w:val="ListBullet"/>
      </w:pPr>
      <w:r>
        <w:rPr>
          <w:b/>
        </w:rPr>
        <w:t xml:space="preserve">The flight is the atomic unit. </w:t>
      </w:r>
      <w:r>
        <w:t>A flight begins, opens a conformance session against a specific configuration (software part number, hardware part number, database version, modem, route/airspace), accumulates verdicts, and closes into one signed record. That record is simultaneously an operations artefact and a certification artefact.</w:t>
      </w:r>
    </w:p>
    <w:p>
      <w:pPr>
        <w:pStyle w:val="ListBullet"/>
      </w:pPr>
      <w:r>
        <w:rPr>
          <w:b/>
        </w:rPr>
        <w:t xml:space="preserve">Longitudinal margin tracking is a further step. </w:t>
      </w:r>
      <w:r>
        <w:t>Because each requirement has a numeric margin per flight, a requirement whose margin is shrinking across flights is detectable before it actually fails — scheduled maintenance instead of an in-service non-conformance.</w:t>
      </w:r>
    </w:p>
    <w:p>
      <w:pPr>
        <w:pStyle w:val="Heading1"/>
      </w:pPr>
      <w:r>
        <w:t>4. Invention 1 (LEAD) — Requirements-anchored per-flight conformance verification</w:t>
      </w:r>
    </w:p>
    <w:p>
      <w:r>
        <w:rPr>
          <w:b w:val="0"/>
          <w:i/>
        </w:rPr>
        <w:t>Working title: Datalink Requirement Conformance Engine (DRCE)</w:t>
      </w:r>
    </w:p>
    <w:p>
      <w:pPr>
        <w:pStyle w:val="Heading2"/>
      </w:pPr>
      <w:r>
        <w:t>4.1 Technical problem</w:t>
      </w:r>
    </w:p>
    <w:p>
      <w:r>
        <w:rPr>
          <w:b w:val="0"/>
          <w:i w:val="0"/>
        </w:rPr>
        <w:t>Design assurance under DO-178C and DO-254 is a development-time activity. Once the datalink is in service, nothing in the fleet verifies that the installed software and hardware continue to satisfy the requirements they were certified against; the operator sees only performance metrics and fault messages, and a certifying authority sees only the frozen development evidence. Two consequences follow. First, a requirement can be violated in service without anyone being able to state which requirement was violated. Second, and less obviously, most requirements are probably never exercised at all on a given flight, and that operational coverage gap is invisible — so no one can say whether a requirement has ever been demonstrated outside the test bench.</w:t>
      </w:r>
    </w:p>
    <w:p>
      <w:pPr>
        <w:pStyle w:val="Heading2"/>
      </w:pPr>
      <w:r>
        <w:t>4.2 Inventive mechanism (the limitations that carry the claim)</w:t>
      </w:r>
    </w:p>
    <w:p>
      <w:pPr>
        <w:pStyle w:val="ListNumber"/>
      </w:pPr>
      <w:r>
        <w:t>Requirements baseline ingest: a controlled baseline for the datalink is imported from the requirements management source — reusable requirement identifiers, software high-level and low-level requirements, hardware requirements, each with an acceptance criterion, a tolerated range or margin, a design assurance level, and a declared evidence class (message flow, timing, resource, fault, interface, or crew action).</w:t>
      </w:r>
    </w:p>
    <w:p>
      <w:pPr>
        <w:pStyle w:val="ListNumber"/>
      </w:pPr>
      <w:r>
        <w:t>Monitor compilation with retained traceability: each requirement is compiled into an executable monitor bound to its identifier, to its acceptance criterion and to its evidence class, and the binding is preserved so that a verdict can be traced back to the requirement and forward to the observations that produced it, in both directions.</w:t>
      </w:r>
    </w:p>
    <w:p>
      <w:pPr>
        <w:pStyle w:val="ListNumber"/>
      </w:pPr>
      <w:r>
        <w:t>Configuration-dependent instantiation: the monitor set is instantiated for the specific aircraft configuration of the flight — communication management unit software and hardware part numbers, loadable database versions, modem and radio type, subnetwork subscription, and route or airspace — so that the correct requirement revision is evaluated, and a requirement affected by a configuration difference is marked rather than silently evaluated against the wrong baseline.</w:t>
      </w:r>
    </w:p>
    <w:p>
      <w:pPr>
        <w:pStyle w:val="ListNumber"/>
      </w:pPr>
      <w:r>
        <w:t>Evidence fusion and time alignment: uplink and downlink transaction records, host operating-system events, partition execution and overrun telemetry, fault observations, link/RF observations and crew-action events are collected for the flight, time-aligned to a common reference with a propagated clock-offset uncertainty, and supplied to the monitors according to their evidence class.</w:t>
      </w:r>
    </w:p>
    <w:p>
      <w:pPr>
        <w:pStyle w:val="ListNumber"/>
      </w:pPr>
      <w:r>
        <w:t>Four-valued verdict per requirement per flight: CONFORMING when the requirement was exercised and the evidence satisfied the acceptance criterion; NON-CONFORMING when the requirement was exercised and the acceptance criterion was violated; NOT-EXERCISED when no observation satisfying the requirement's evidence class occurred during the flight; and INDETERMINATE when the requirement was triggered but the available evidence is insufficient to decide — for example because the dwell interval is not resolvable against the telemetry sampling interval within the clock-offset uncertainty. Indeterminate is an explicit, counted outcome and drives an instrumentation request rather than a guess.</w:t>
      </w:r>
    </w:p>
    <w:p>
      <w:pPr>
        <w:pStyle w:val="ListNumber"/>
      </w:pPr>
      <w:r>
        <w:t>Live flight-keyed conformance state: a session is opened for the flight and a live state is maintained and displayed keyed to that flight, updating as evidence arrives, with drill-down from the flight to the requirement, the acceptance criterion, the verdict, and the raw observations that produced it.</w:t>
      </w:r>
    </w:p>
    <w:p>
      <w:pPr>
        <w:pStyle w:val="ListNumber"/>
      </w:pPr>
      <w:r>
        <w:t>Per-flight conformance record and ledger: on flight closure the platform emits a record binding the aircraft and configuration identifiers, every requirement identifier with its verdict and margin, the not-exercised and indeterminate lists, the observations relied on, and a content hash; the record is signed and appended to a tamper-evident ledger so that the conformance state of the fleet at any past flight can be reconstructed.</w:t>
      </w:r>
    </w:p>
    <w:p>
      <w:pPr>
        <w:pStyle w:val="ListNumber"/>
      </w:pPr>
      <w:r>
        <w:t>Action selection from the verdict: a non-conforming verdict raises an alert and, when it is caused by a platform or link condition rather than a design discrepancy, triggers the corresponding maintenance or link action; an accumulated not-exercised set is reported as an operational coverage gap; an indeterminate verdict raises an instrumentation request.</w:t>
      </w:r>
    </w:p>
    <w:p>
      <w:pPr>
        <w:pStyle w:val="Heading2"/>
      </w:pPr>
      <w:r>
        <w:t>4.3 The evidence-class map (how each data source earns its place in the claim)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CE6F1"/>
          </w:tcPr>
          <w:p>
            <w:r/>
            <w:r>
              <w:rPr>
                <w:b/>
                <w:sz w:val="19"/>
              </w:rPr>
              <w:t>Requirement class</w:t>
            </w:r>
          </w:p>
        </w:tc>
        <w:tc>
          <w:tcPr>
            <w:tcW w:type="dxa" w:w="1800"/>
            <w:shd w:fill="DCE6F1"/>
          </w:tcPr>
          <w:p>
            <w:r/>
            <w:r>
              <w:rPr>
                <w:b/>
                <w:sz w:val="19"/>
              </w:rPr>
              <w:t>Evidence class required</w:t>
            </w:r>
          </w:p>
        </w:tc>
        <w:tc>
          <w:tcPr>
            <w:tcW w:type="dxa" w:w="2880"/>
            <w:shd w:fill="DCE6F1"/>
          </w:tcPr>
          <w:p>
            <w:r/>
            <w:r>
              <w:rPr>
                <w:b/>
                <w:sz w:val="19"/>
              </w:rPr>
              <w:t>Primary data used</w:t>
            </w:r>
          </w:p>
        </w:tc>
        <w:tc>
          <w:tcPr>
            <w:tcW w:type="dxa" w:w="3384"/>
            <w:shd w:fill="DCE6F1"/>
          </w:tcPr>
          <w:p>
            <w:r/>
            <w:r>
              <w:rPr>
                <w:b/>
                <w:sz w:val="19"/>
              </w:rPr>
              <w:t>Example requirement</w:t>
            </w:r>
          </w:p>
        </w:tc>
      </w:tr>
      <w:tr>
        <w:tc>
          <w:tcPr>
            <w:tcW w:type="dxa" w:w="2160"/>
          </w:tcPr>
          <w:p>
            <w:pPr>
              <w:spacing w:after="40"/>
            </w:pPr>
            <w:r/>
            <w:r>
              <w:rPr>
                <w:sz w:val="19"/>
              </w:rPr>
              <w:t>Functional / message handling</w:t>
            </w:r>
          </w:p>
        </w:tc>
        <w:tc>
          <w:tcPr>
            <w:tcW w:type="dxa" w:w="1800"/>
          </w:tcPr>
          <w:p>
            <w:pPr>
              <w:spacing w:after="40"/>
            </w:pPr>
            <w:r/>
            <w:r>
              <w:rPr>
                <w:sz w:val="19"/>
              </w:rPr>
              <w:t>Message flow</w:t>
            </w:r>
          </w:p>
        </w:tc>
        <w:tc>
          <w:tcPr>
            <w:tcW w:type="dxa" w:w="2880"/>
          </w:tcPr>
          <w:p>
            <w:pPr>
              <w:spacing w:after="40"/>
            </w:pPr>
            <w:r/>
            <w:r>
              <w:rPr>
                <w:sz w:val="19"/>
              </w:rPr>
              <w:t>Uplink + downlink records, crew actions</w:t>
            </w:r>
          </w:p>
        </w:tc>
        <w:tc>
          <w:tcPr>
            <w:tcW w:type="dxa" w:w="3384"/>
          </w:tcPr>
          <w:p>
            <w:pPr>
              <w:spacing w:after="40"/>
            </w:pPr>
            <w:r/>
            <w:r>
              <w:rPr>
                <w:sz w:val="19"/>
              </w:rPr>
              <w:t>A CPDLC uplink requiring crew response shall produce a response of the permitted type</w:t>
            </w:r>
          </w:p>
        </w:tc>
      </w:tr>
      <w:tr>
        <w:tc>
          <w:tcPr>
            <w:tcW w:type="dxa" w:w="2160"/>
          </w:tcPr>
          <w:p>
            <w:pPr>
              <w:spacing w:after="40"/>
            </w:pPr>
            <w:r/>
            <w:r>
              <w:rPr>
                <w:sz w:val="19"/>
              </w:rPr>
              <w:t>Performance / timing</w:t>
            </w:r>
          </w:p>
        </w:tc>
        <w:tc>
          <w:tcPr>
            <w:tcW w:type="dxa" w:w="1800"/>
          </w:tcPr>
          <w:p>
            <w:pPr>
              <w:spacing w:after="40"/>
            </w:pPr>
            <w:r/>
            <w:r>
              <w:rPr>
                <w:sz w:val="19"/>
              </w:rPr>
              <w:t>Timing</w:t>
            </w:r>
          </w:p>
        </w:tc>
        <w:tc>
          <w:tcPr>
            <w:tcW w:type="dxa" w:w="2880"/>
          </w:tcPr>
          <w:p>
            <w:pPr>
              <w:spacing w:after="40"/>
            </w:pPr>
            <w:r/>
            <w:r>
              <w:rPr>
                <w:sz w:val="19"/>
              </w:rPr>
              <w:t>Per-leg timestamps, partition telemetry, OS scheduling events</w:t>
            </w:r>
          </w:p>
        </w:tc>
        <w:tc>
          <w:tcPr>
            <w:tcW w:type="dxa" w:w="3384"/>
          </w:tcPr>
          <w:p>
            <w:pPr>
              <w:spacing w:after="40"/>
            </w:pPr>
            <w:r/>
            <w:r>
              <w:rPr>
                <w:sz w:val="19"/>
              </w:rPr>
              <w:t>The communications function shall complete handling within its allocated time budget</w:t>
            </w:r>
          </w:p>
        </w:tc>
      </w:tr>
      <w:tr>
        <w:tc>
          <w:tcPr>
            <w:tcW w:type="dxa" w:w="2160"/>
          </w:tcPr>
          <w:p>
            <w:pPr>
              <w:spacing w:after="40"/>
            </w:pPr>
            <w:r/>
            <w:r>
              <w:rPr>
                <w:sz w:val="19"/>
              </w:rPr>
              <w:t>Resource / capacity</w:t>
            </w:r>
          </w:p>
        </w:tc>
        <w:tc>
          <w:tcPr>
            <w:tcW w:type="dxa" w:w="1800"/>
          </w:tcPr>
          <w:p>
            <w:pPr>
              <w:spacing w:after="40"/>
            </w:pPr>
            <w:r/>
            <w:r>
              <w:rPr>
                <w:sz w:val="19"/>
              </w:rPr>
              <w:t>Resource</w:t>
            </w:r>
          </w:p>
        </w:tc>
        <w:tc>
          <w:tcPr>
            <w:tcW w:type="dxa" w:w="2880"/>
          </w:tcPr>
          <w:p>
            <w:pPr>
              <w:spacing w:after="40"/>
            </w:pPr>
            <w:r/>
            <w:r>
              <w:rPr>
                <w:sz w:val="19"/>
              </w:rPr>
              <w:t>Partition budget utilisation, OS memory and CPU telemetry</w:t>
            </w:r>
          </w:p>
        </w:tc>
        <w:tc>
          <w:tcPr>
            <w:tcW w:type="dxa" w:w="3384"/>
          </w:tcPr>
          <w:p>
            <w:pPr>
              <w:spacing w:after="40"/>
            </w:pPr>
            <w:r/>
            <w:r>
              <w:rPr>
                <w:sz w:val="19"/>
              </w:rPr>
              <w:t>The communications partition shall remain within its allocated execution budget</w:t>
            </w:r>
          </w:p>
        </w:tc>
      </w:tr>
      <w:tr>
        <w:tc>
          <w:tcPr>
            <w:tcW w:type="dxa" w:w="2160"/>
          </w:tcPr>
          <w:p>
            <w:pPr>
              <w:spacing w:after="40"/>
            </w:pPr>
            <w:r/>
            <w:r>
              <w:rPr>
                <w:sz w:val="19"/>
              </w:rPr>
              <w:t>Robustness</w:t>
            </w:r>
          </w:p>
        </w:tc>
        <w:tc>
          <w:tcPr>
            <w:tcW w:type="dxa" w:w="1800"/>
          </w:tcPr>
          <w:p>
            <w:pPr>
              <w:spacing w:after="40"/>
            </w:pPr>
            <w:r/>
            <w:r>
              <w:rPr>
                <w:sz w:val="19"/>
              </w:rPr>
              <w:t>Fault</w:t>
            </w:r>
          </w:p>
        </w:tc>
        <w:tc>
          <w:tcPr>
            <w:tcW w:type="dxa" w:w="2880"/>
          </w:tcPr>
          <w:p>
            <w:pPr>
              <w:spacing w:after="40"/>
            </w:pPr>
            <w:r/>
            <w:r>
              <w:rPr>
                <w:sz w:val="19"/>
              </w:rPr>
              <w:t>Fault observations, BITE results, error counters</w:t>
            </w:r>
          </w:p>
        </w:tc>
        <w:tc>
          <w:tcPr>
            <w:tcW w:type="dxa" w:w="3384"/>
          </w:tcPr>
          <w:p>
            <w:pPr>
              <w:spacing w:after="40"/>
            </w:pPr>
            <w:r/>
            <w:r>
              <w:rPr>
                <w:sz w:val="19"/>
              </w:rPr>
              <w:t>On loss of a subnetwork the system shall report and degrade within the required time</w:t>
            </w:r>
          </w:p>
        </w:tc>
      </w:tr>
      <w:tr>
        <w:tc>
          <w:tcPr>
            <w:tcW w:type="dxa" w:w="2160"/>
          </w:tcPr>
          <w:p>
            <w:pPr>
              <w:spacing w:after="40"/>
            </w:pPr>
            <w:r/>
            <w:r>
              <w:rPr>
                <w:sz w:val="19"/>
              </w:rPr>
              <w:t>Interface / hardware</w:t>
            </w:r>
          </w:p>
        </w:tc>
        <w:tc>
          <w:tcPr>
            <w:tcW w:type="dxa" w:w="1800"/>
          </w:tcPr>
          <w:p>
            <w:pPr>
              <w:spacing w:after="40"/>
            </w:pPr>
            <w:r/>
            <w:r>
              <w:rPr>
                <w:sz w:val="19"/>
              </w:rPr>
              <w:t>Interface</w:t>
            </w:r>
          </w:p>
        </w:tc>
        <w:tc>
          <w:tcPr>
            <w:tcW w:type="dxa" w:w="2880"/>
          </w:tcPr>
          <w:p>
            <w:pPr>
              <w:spacing w:after="40"/>
            </w:pPr>
            <w:r/>
            <w:r>
              <w:rPr>
                <w:sz w:val="19"/>
              </w:rPr>
              <w:t>Radio state, subnetwork selection, bus and link counters</w:t>
            </w:r>
          </w:p>
        </w:tc>
        <w:tc>
          <w:tcPr>
            <w:tcW w:type="dxa" w:w="3384"/>
          </w:tcPr>
          <w:p>
            <w:pPr>
              <w:spacing w:after="40"/>
            </w:pPr>
            <w:r/>
            <w:r>
              <w:rPr>
                <w:sz w:val="19"/>
              </w:rPr>
              <w:t>The system shall select and maintain the required subnetwork under the stated conditions</w:t>
            </w:r>
          </w:p>
        </w:tc>
      </w:tr>
      <w:tr>
        <w:tc>
          <w:tcPr>
            <w:tcW w:type="dxa" w:w="2160"/>
          </w:tcPr>
          <w:p>
            <w:pPr>
              <w:spacing w:after="40"/>
            </w:pPr>
            <w:r/>
            <w:r>
              <w:rPr>
                <w:sz w:val="19"/>
              </w:rPr>
              <w:t>Human factors / crew</w:t>
            </w:r>
          </w:p>
        </w:tc>
        <w:tc>
          <w:tcPr>
            <w:tcW w:type="dxa" w:w="1800"/>
          </w:tcPr>
          <w:p>
            <w:pPr>
              <w:spacing w:after="40"/>
            </w:pPr>
            <w:r/>
            <w:r>
              <w:rPr>
                <w:sz w:val="19"/>
              </w:rPr>
              <w:t>Crew action</w:t>
            </w:r>
          </w:p>
        </w:tc>
        <w:tc>
          <w:tcPr>
            <w:tcW w:type="dxa" w:w="2880"/>
          </w:tcPr>
          <w:p>
            <w:pPr>
              <w:spacing w:after="40"/>
            </w:pPr>
            <w:r/>
            <w:r>
              <w:rPr>
                <w:sz w:val="19"/>
              </w:rPr>
              <w:t>Crew response events and timing</w:t>
            </w:r>
          </w:p>
        </w:tc>
        <w:tc>
          <w:tcPr>
            <w:tcW w:type="dxa" w:w="3384"/>
          </w:tcPr>
          <w:p>
            <w:pPr>
              <w:spacing w:after="40"/>
            </w:pPr>
            <w:r/>
            <w:r>
              <w:rPr>
                <w:sz w:val="19"/>
              </w:rPr>
              <w:t>A crew response obligation shall be discharged within the specified interval</w:t>
            </w:r>
          </w:p>
        </w:tc>
      </w:tr>
    </w:tbl>
    <w:p>
      <w:pPr>
        <w:spacing w:after="40"/>
      </w:pPr>
    </w:p>
    <w:p>
      <w:pPr>
        <w:pStyle w:val="Heading2"/>
      </w:pPr>
      <w:r>
        <w:t>4.4 Why this is novel and not obvious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CE6F1"/>
          </w:tcPr>
          <w:p>
            <w:r/>
            <w:r>
              <w:rPr>
                <w:b/>
                <w:sz w:val="19"/>
              </w:rPr>
              <w:t>Reference</w:t>
            </w:r>
          </w:p>
        </w:tc>
        <w:tc>
          <w:tcPr>
            <w:tcW w:type="dxa" w:w="4392"/>
            <w:shd w:fill="DCE6F1"/>
          </w:tcPr>
          <w:p>
            <w:r/>
            <w:r>
              <w:rPr>
                <w:b/>
                <w:sz w:val="19"/>
              </w:rPr>
              <w:t>What it discloses</w:t>
            </w:r>
          </w:p>
        </w:tc>
        <w:tc>
          <w:tcPr>
            <w:tcW w:type="dxa" w:w="3528"/>
            <w:shd w:fill="DCE6F1"/>
          </w:tcPr>
          <w:p>
            <w:r/>
            <w:r>
              <w:rPr>
                <w:b/>
                <w:sz w:val="19"/>
              </w:rPr>
              <w:t>Why our combination is not disclosed</w:t>
            </w:r>
          </w:p>
        </w:tc>
      </w:tr>
      <w:tr>
        <w:tc>
          <w:tcPr>
            <w:tcW w:type="dxa" w:w="2304"/>
          </w:tcPr>
          <w:p>
            <w:pPr>
              <w:spacing w:after="40"/>
            </w:pPr>
            <w:r/>
            <w:r>
              <w:rPr>
                <w:sz w:val="19"/>
              </w:rPr>
              <w:t>NASA TOP2-320</w:t>
            </w:r>
          </w:p>
        </w:tc>
        <w:tc>
          <w:tcPr>
            <w:tcW w:type="dxa" w:w="4392"/>
          </w:tcPr>
          <w:p>
            <w:pPr>
              <w:spacing w:after="40"/>
            </w:pPr>
            <w:r/>
            <w:r>
              <w:rPr>
                <w:sz w:val="19"/>
              </w:rPr>
              <w:t>Near-real-time and post-flight verification and validation of autonomous flight operations against system criteria, specifications and data quality requirements, with rule-based or human-in-the-loop verification and compliance within known variation</w:t>
            </w:r>
          </w:p>
        </w:tc>
        <w:tc>
          <w:tcPr>
            <w:tcW w:type="dxa" w:w="3528"/>
          </w:tcPr>
          <w:p>
            <w:pPr>
              <w:spacing w:after="40"/>
            </w:pPr>
            <w:r/>
            <w:r>
              <w:rPr>
                <w:sz w:val="19"/>
              </w:rPr>
              <w:t>Ground truth is operational criteria and data quality for traffic-management auditing, not the installed datalink's certified SW/HW requirement baseline; no per-requirement verdicts; no not-exercised coverage accounting; no host-OS/partition or fault-evidence fusion; no per-flight signed conformance record</w:t>
            </w:r>
          </w:p>
        </w:tc>
      </w:tr>
      <w:tr>
        <w:tc>
          <w:tcPr>
            <w:tcW w:type="dxa" w:w="2304"/>
          </w:tcPr>
          <w:p>
            <w:pPr>
              <w:spacing w:after="40"/>
            </w:pPr>
            <w:r/>
            <w:r>
              <w:rPr>
                <w:sz w:val="19"/>
              </w:rPr>
              <w:t>US9620020B2 (Honeywell)</w:t>
            </w:r>
          </w:p>
        </w:tc>
        <w:tc>
          <w:tcPr>
            <w:tcW w:type="dxa" w:w="4392"/>
          </w:tcPr>
          <w:p>
            <w:pPr>
              <w:spacing w:after="40"/>
            </w:pPr>
            <w:r/>
            <w:r>
              <w:rPr>
                <w:sz w:val="19"/>
              </w:rPr>
              <w:t>Monitors cockpit communication and datalink, extracts key information, compares required pilot action against action taken, and confirms whether a required communication occurred</w:t>
            </w:r>
          </w:p>
        </w:tc>
        <w:tc>
          <w:tcPr>
            <w:tcW w:type="dxa" w:w="3528"/>
          </w:tcPr>
          <w:p>
            <w:pPr>
              <w:spacing w:after="40"/>
            </w:pPr>
            <w:r/>
            <w:r>
              <w:rPr>
                <w:sz w:val="19"/>
              </w:rPr>
              <w:t>Ground truth is regulations and operating procedures, and the evidence is speech and communication content; ours is the system's own SW/HW requirements verified from fused message, OS, partition and fault evidence</w:t>
            </w:r>
          </w:p>
        </w:tc>
      </w:tr>
      <w:tr>
        <w:tc>
          <w:tcPr>
            <w:tcW w:type="dxa" w:w="2304"/>
          </w:tcPr>
          <w:p>
            <w:pPr>
              <w:spacing w:after="40"/>
            </w:pPr>
            <w:r/>
            <w:r>
              <w:rPr>
                <w:sz w:val="19"/>
              </w:rPr>
              <w:t>US2025/0260475A1 (Satcom Direct)</w:t>
            </w:r>
          </w:p>
        </w:tc>
        <w:tc>
          <w:tcPr>
            <w:tcW w:type="dxa" w:w="4392"/>
          </w:tcPr>
          <w:p>
            <w:pPr>
              <w:spacing w:after="40"/>
            </w:pPr>
            <w:r/>
            <w:r>
              <w:rPr>
                <w:sz w:val="19"/>
              </w:rPr>
              <w:t>Ground-side real-time datalink performance monitoring against mandated benchmarks, with per-step timing, greatest-delay-step attribution, alerting and link reconfiguration</w:t>
            </w:r>
          </w:p>
        </w:tc>
        <w:tc>
          <w:tcPr>
            <w:tcW w:type="dxa" w:w="3528"/>
          </w:tcPr>
          <w:p>
            <w:pPr>
              <w:spacing w:after="40"/>
            </w:pPr>
            <w:r/>
            <w:r>
              <w:rPr>
                <w:sz w:val="19"/>
              </w:rPr>
              <w:t>Benchmark performance versus requirement conformance; no requirement identifiers, no acceptance criteria, no not-exercised state, no hardware requirements, no flight-keyed evidence record</w:t>
            </w:r>
          </w:p>
        </w:tc>
      </w:tr>
      <w:tr>
        <w:tc>
          <w:tcPr>
            <w:tcW w:type="dxa" w:w="2304"/>
          </w:tcPr>
          <w:p>
            <w:pPr>
              <w:spacing w:after="40"/>
            </w:pPr>
            <w:r/>
            <w:r>
              <w:rPr>
                <w:sz w:val="19"/>
              </w:rPr>
              <w:t>Runtime-verification literature (RTLola/Volocopter; three-valued ATC monitoring; learning-based aviation verification)</w:t>
            </w:r>
          </w:p>
        </w:tc>
        <w:tc>
          <w:tcPr>
            <w:tcW w:type="dxa" w:w="4392"/>
          </w:tcPr>
          <w:p>
            <w:pPr>
              <w:spacing w:after="40"/>
            </w:pPr>
            <w:r/>
            <w:r>
              <w:rPr>
                <w:sz w:val="19"/>
              </w:rPr>
              <w:t>Monitoring specifications compiled into runtime monitors; three-valued obligation semantics; offline specification pools with online monitoring</w:t>
            </w:r>
          </w:p>
        </w:tc>
        <w:tc>
          <w:tcPr>
            <w:tcW w:type="dxa" w:w="3528"/>
          </w:tcPr>
          <w:p>
            <w:pPr>
              <w:spacing w:after="40"/>
            </w:pPr>
            <w:r/>
            <w:r>
              <w:rPr>
                <w:sz w:val="19"/>
              </w:rPr>
              <w:t>Established for safety obligations, deadlines and procedures; not applied to a certified datalink SW/HW requirement baseline per flight, and without operational coverage accounting or a ledgered per-flight artefact</w:t>
            </w:r>
          </w:p>
        </w:tc>
      </w:tr>
      <w:tr>
        <w:tc>
          <w:tcPr>
            <w:tcW w:type="dxa" w:w="2304"/>
          </w:tcPr>
          <w:p>
            <w:pPr>
              <w:spacing w:after="40"/>
            </w:pPr>
            <w:r/>
            <w:r>
              <w:rPr>
                <w:sz w:val="19"/>
              </w:rPr>
              <w:t>US10839401B2 / EP3651022A1 (certification qualification)</w:t>
            </w:r>
          </w:p>
        </w:tc>
        <w:tc>
          <w:tcPr>
            <w:tcW w:type="dxa" w:w="4392"/>
          </w:tcPr>
          <w:p>
            <w:pPr>
              <w:spacing w:after="40"/>
            </w:pPr>
            <w:r/>
            <w:r>
              <w:rPr>
                <w:sz w:val="19"/>
              </w:rPr>
              <w:t>Qualifying data from an unqualified system; verifying an unqualified component against a qualified reference set</w:t>
            </w:r>
          </w:p>
        </w:tc>
        <w:tc>
          <w:tcPr>
            <w:tcW w:type="dxa" w:w="3528"/>
          </w:tcPr>
          <w:p>
            <w:pPr>
              <w:spacing w:after="40"/>
            </w:pPr>
            <w:r/>
            <w:r>
              <w:rPr>
                <w:sz w:val="19"/>
              </w:rPr>
              <w:t>Different problem: admitting a component's output. Ours evaluates an installed system's requirement conformance from operational evidence and produces the evidence artefact itself</w:t>
            </w:r>
          </w:p>
        </w:tc>
      </w:tr>
    </w:tbl>
    <w:p>
      <w:pPr>
        <w:spacing w:after="40"/>
      </w:pPr>
    </w:p>
    <w:p>
      <w:r>
        <w:rPr>
          <w:b w:val="0"/>
          <w:i/>
        </w:rPr>
        <w:t>The non-obvious step is the decision to treat the requirement baseline — not a performance benchmark — as the ground truth for a live monitor, and to admit a not-exercised outcome as a first-class, reportable result rather than a missing value. Engineers monitoring a datalink in service naturally measure traffic and link quality; re-deriving the certified requirement set as the comparison basis, and reporting what the fleet has never demonstrated, runs counter to that practice.</w:t>
      </w:r>
    </w:p>
    <w:p>
      <w:pPr>
        <w:pStyle w:val="Heading2"/>
      </w:pPr>
      <w:r>
        <w:t>4.5 Draft claim 1 (system)</w:t>
      </w:r>
    </w:p>
    <w:p>
      <w:pPr>
        <w:spacing w:after="160"/>
        <w:ind w:left="403"/>
        <w:pBdr>
          <w:left w:val="single" w:sz="18" w:space="6" w:color="1F3355"/>
        </w:pBdr>
      </w:pPr>
      <w:r>
        <w:rPr>
          <w:b/>
        </w:rPr>
        <w:t xml:space="preserve">1. </w:t>
      </w:r>
      <w:r>
        <w:rPr>
          <w:sz w:val="20"/>
        </w:rPr>
        <w:t>A datalink conformance system comprising at least one ground-based server including a processor and memory storing instructions that, when executed, cause the system to: ingest a controlled requirements baseline for an aircraft datalink, the baseline comprising a plurality of software requirements and hardware requirements, each of the plurality of requirements having a requirement identifier, an acceptance criterion and an associated evidence class; compile each of the plurality of requirements into an executable requirement monitor bound to the requirement identifier, the acceptance criterion and the associated evidence class; open a conformance session for a flight of a specified aircraft and instantiate the requirement monitors according to configuration identifiers of the aircraft comprising at least a software part number and a hardware part number of a communication management unit; ingest, for the flight, transaction records of uplink messages and downlink messages, host-platform telemetry comprising operating-system events and partition performance data, and fault observations; time-align the ingested records, telemetry and observations to a common time reference with a propagated clock-offset uncertainty; evaluate each instantiated requirement monitor against the time-aligned records, telemetry and observations to produce, per requirement, a verdict selected from the group consisting of conforming, non-conforming, not-exercised and indeterminate, wherein conforming and non-conforming are produced when an observation satisfying the associated evidence class satisfied or violated the acceptance criterion respectively, not-exercised is produced when no observation satisfying the associated evidence class occurred during the flight, and indeterminate is produced when an observation satisfying the associated evidence class occurred but is insufficient to satisfy or violate the acceptance criterion within the propagated clock-offset uncertainty; maintain and display a live conformance state keyed to the flight that is updated as the records, telemetry and observations are ingested, the live conformance state being navigable from the flight to a requirement, to its acceptance criterion, and to the observations relied on for its verdict; and on closure of the flight, generate a conformance record binding the configuration identifiers, each requirement identifier with its verdict, a list of requirements having the not-exercised verdict and a list of requirements having the indeterminate verdict, and a content hash over the records, telemetry and observations relied on, sign the conformance record, and append the conformance record to an append-only ledger.</w:t>
      </w:r>
    </w:p>
    <w:p>
      <w:r>
        <w:rPr>
          <w:b/>
          <w:i w:val="0"/>
        </w:rPr>
        <w:t>Dependent claims to pursue (each is a commercially valuable narrow position):</w:t>
      </w:r>
    </w:p>
    <w:p>
      <w:pPr>
        <w:pStyle w:val="ListBullet"/>
      </w:pPr>
      <w:r>
        <w:t>The system of claim 1, wherein a requirement of the plurality of requirements has an associated design assurance level under a software or hardware assurance standard, and the conformance record is exported in a form mapped to objectives of that standard.</w:t>
      </w:r>
    </w:p>
    <w:p>
      <w:pPr>
        <w:pStyle w:val="ListBullet"/>
      </w:pPr>
      <w:r>
        <w:t>The system of claim 1, wherein the requirements baseline is imported from a requirements management system in a traceability interchange format, and bidirectional traceability is retained between the requirement identifier, the requirement monitor, a verification case of a development life cycle, and the observations relied on.</w:t>
      </w:r>
    </w:p>
    <w:p>
      <w:pPr>
        <w:pStyle w:val="ListBullet"/>
      </w:pPr>
      <w:r>
        <w:t>The system of claim 1, wherein a hardware requirement of the plurality of requirements specifies a timing margin, a memory utilisation limit or a bus loading limit, and the corresponding requirement monitor evaluates a measured value against the specified limit.</w:t>
      </w:r>
    </w:p>
    <w:p>
      <w:pPr>
        <w:pStyle w:val="ListBullet"/>
      </w:pPr>
      <w:r>
        <w:t>The system of claim 1, wherein a not-exercised verdict produced for a requirement across a plurality of flights is accumulated into an operational coverage account, and the operational coverage account is used to at least one of select a test case for the requirement and record in-service exercise of the requirement.</w:t>
      </w:r>
    </w:p>
    <w:p>
      <w:pPr>
        <w:pStyle w:val="ListBullet"/>
      </w:pPr>
      <w:r>
        <w:t>The system of claim 1, wherein a margin between a measured value and the acceptance criterion is recorded for each conforming verdict, and a decreasing trend of the margin across a plurality of flights causes a maintenance action to be issued for the requirement before the requirement becomes non-conforming.</w:t>
      </w:r>
    </w:p>
    <w:p>
      <w:pPr>
        <w:pStyle w:val="ListBullet"/>
      </w:pPr>
      <w:r>
        <w:t>The system of claim 1, wherein a non-conforming verdict is caused to be attributed to a cause selected from a ground-network cause, an air-ground link cause and an aircraft host-platform cause, and the selected cause determines whether a link reconfiguration or a maintenance action is issued.</w:t>
      </w:r>
    </w:p>
    <w:p>
      <w:pPr>
        <w:pStyle w:val="ListBullet"/>
      </w:pPr>
      <w:r>
        <w:t>The system of claim 1, wherein a configuration identifier differing from a certified configuration baseline causes an affected requirement to be marked as not evaluated against the baseline rather than being evaluated.</w:t>
      </w:r>
    </w:p>
    <w:p>
      <w:pPr>
        <w:pStyle w:val="ListBullet"/>
      </w:pPr>
      <w:r>
        <w:t>The system of claim 1, wherein the conformance record is chained to a previously appended conformance record by a cryptographic hash, and the conformance state of a fleet at a selected past flight is reconstructed from the append-only ledger.</w:t>
      </w:r>
    </w:p>
    <w:p>
      <w:pPr>
        <w:pStyle w:val="Heading1"/>
      </w:pPr>
      <w:r>
        <w:t>5. Invention 2 — Operational coverage account and predictive non-conformance</w:t>
      </w:r>
    </w:p>
    <w:p>
      <w:r>
        <w:rPr>
          <w:b w:val="0"/>
          <w:i w:val="0"/>
        </w:rPr>
        <w:t>This is the claim family to file alongside the lead if budget allows, because it monetises the part of the data no one else collects.</w:t>
      </w:r>
    </w:p>
    <w:p>
      <w:pPr>
        <w:pStyle w:val="ListBullet"/>
      </w:pPr>
      <w:r>
        <w:rPr>
          <w:b/>
        </w:rPr>
        <w:t xml:space="preserve">Operational coverage account: </w:t>
      </w:r>
      <w:r>
        <w:t>the union, across flights, of requirements exercised and requirements never exercised, per aircraft, per software load and per route or airspace. It answers, for the first time with evidence, which parts of the certified requirement set have actually been demonstrated in service, and it converts flight hours into verification credit.</w:t>
      </w:r>
    </w:p>
    <w:p>
      <w:pPr>
        <w:pStyle w:val="ListBullet"/>
      </w:pPr>
      <w:r>
        <w:rPr>
          <w:b/>
        </w:rPr>
        <w:t xml:space="preserve">Predictive non-conformance: </w:t>
      </w:r>
      <w:r>
        <w:t>per requirement, the margin between the measured value and the acceptance criterion forms a time series per aircraft. A statistically significant downward trend triggers a maintenance action, a component replacement or an inspection before the requirement is ever violated in service.</w:t>
      </w:r>
    </w:p>
    <w:p>
      <w:pPr>
        <w:pStyle w:val="ListBullet"/>
      </w:pPr>
      <w:r>
        <w:rPr>
          <w:b/>
        </w:rPr>
        <w:t xml:space="preserve">Discrimination value: </w:t>
      </w:r>
      <w:r>
        <w:t>a requirement that is frequently not-exercised and a requirement whose margin is shrinking are different problems needing different actions; the platform distinguishes them automatically, which no existing monitoring output does.</w:t>
      </w:r>
    </w:p>
    <w:p>
      <w:pPr>
        <w:pStyle w:val="Heading1"/>
      </w:pPr>
      <w:r>
        <w:t>6. Related inventions retained from the first review (background, lower priority)</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CE6F1"/>
          </w:tcPr>
          <w:p>
            <w:r/>
            <w:r>
              <w:rPr>
                <w:b/>
                <w:sz w:val="19"/>
              </w:rPr>
              <w:t>Invention</w:t>
            </w:r>
          </w:p>
        </w:tc>
        <w:tc>
          <w:tcPr>
            <w:tcW w:type="dxa" w:w="4320"/>
            <w:shd w:fill="DCE6F1"/>
          </w:tcPr>
          <w:p>
            <w:r/>
            <w:r>
              <w:rPr>
                <w:b/>
                <w:sz w:val="19"/>
              </w:rPr>
              <w:t>One-line description</w:t>
            </w:r>
          </w:p>
        </w:tc>
        <w:tc>
          <w:tcPr>
            <w:tcW w:type="dxa" w:w="3744"/>
            <w:shd w:fill="DCE6F1"/>
          </w:tcPr>
          <w:p>
            <w:r/>
            <w:r>
              <w:rPr>
                <w:b/>
                <w:sz w:val="19"/>
              </w:rPr>
              <w:t>Status relative to revised scope</w:t>
            </w:r>
          </w:p>
        </w:tc>
      </w:tr>
      <w:tr>
        <w:tc>
          <w:tcPr>
            <w:tcW w:type="dxa" w:w="2160"/>
          </w:tcPr>
          <w:p>
            <w:pPr>
              <w:spacing w:after="40"/>
            </w:pPr>
            <w:r/>
            <w:r>
              <w:rPr>
                <w:sz w:val="19"/>
              </w:rPr>
              <w:t>Cross-domain causal attribution</w:t>
            </w:r>
          </w:p>
        </w:tc>
        <w:tc>
          <w:tcPr>
            <w:tcW w:type="dxa" w:w="4320"/>
          </w:tcPr>
          <w:p>
            <w:pPr>
              <w:spacing w:after="40"/>
            </w:pPr>
            <w:r/>
            <w:r>
              <w:rPr>
                <w:sz w:val="19"/>
              </w:rPr>
              <w:t>Attribute a datalink symptom to ground network, air-ground link or aircraft host platform using host-OS/partition telemetry with deterministic replay</w:t>
            </w:r>
          </w:p>
        </w:tc>
        <w:tc>
          <w:tcPr>
            <w:tcW w:type="dxa" w:w="3744"/>
          </w:tcPr>
          <w:p>
            <w:pPr>
              <w:spacing w:after="40"/>
            </w:pPr>
            <w:r/>
            <w:r>
              <w:rPr>
                <w:sz w:val="19"/>
              </w:rPr>
              <w:t>Now becomes the cause-attribution step that explains a non-conforming verdict (dependent claim of Invention 1, and independently claimable)</w:t>
            </w:r>
          </w:p>
        </w:tc>
      </w:tr>
      <w:tr>
        <w:tc>
          <w:tcPr>
            <w:tcW w:type="dxa" w:w="2160"/>
          </w:tcPr>
          <w:p>
            <w:pPr>
              <w:spacing w:after="40"/>
            </w:pPr>
            <w:r/>
            <w:r>
              <w:rPr>
                <w:sz w:val="19"/>
              </w:rPr>
              <w:t>Certification admission controller</w:t>
            </w:r>
          </w:p>
        </w:tc>
        <w:tc>
          <w:tcPr>
            <w:tcW w:type="dxa" w:w="4320"/>
          </w:tcPr>
          <w:p>
            <w:pPr>
              <w:spacing w:after="40"/>
            </w:pPr>
            <w:r/>
            <w:r>
              <w:rPr>
                <w:sz w:val="19"/>
              </w:rPr>
              <w:t>AI advisory path admitted only through an out-of-distribution, calibrated-uncertainty and robustness gate, with objective-mapped evidence records</w:t>
            </w:r>
          </w:p>
        </w:tc>
        <w:tc>
          <w:tcPr>
            <w:tcW w:type="dxa" w:w="3744"/>
          </w:tcPr>
          <w:p>
            <w:pPr>
              <w:spacing w:after="40"/>
            </w:pPr>
            <w:r/>
            <w:r>
              <w:rPr>
                <w:sz w:val="19"/>
              </w:rPr>
              <w:t>Retained; independent claim family if AI diagnosis is placed in the operational path</w:t>
            </w:r>
          </w:p>
        </w:tc>
      </w:tr>
      <w:tr>
        <w:tc>
          <w:tcPr>
            <w:tcW w:type="dxa" w:w="2160"/>
          </w:tcPr>
          <w:p>
            <w:pPr>
              <w:spacing w:after="40"/>
            </w:pPr>
            <w:r/>
            <w:r>
              <w:rPr>
                <w:sz w:val="19"/>
              </w:rPr>
              <w:t>Ground-learned, safety-gated advisory threat models</w:t>
            </w:r>
          </w:p>
        </w:tc>
        <w:tc>
          <w:tcPr>
            <w:tcW w:type="dxa" w:w="4320"/>
          </w:tcPr>
          <w:p>
            <w:pPr>
              <w:spacing w:after="40"/>
            </w:pPr>
            <w:r/>
            <w:r>
              <w:rPr>
                <w:sz w:val="19"/>
              </w:rPr>
              <w:t>Interference/threat models learned on the ground, validated against a certified envelope and frozen regression corpus, distributed as signed advisory data only, with roll-back</w:t>
            </w:r>
          </w:p>
        </w:tc>
        <w:tc>
          <w:tcPr>
            <w:tcW w:type="dxa" w:w="3744"/>
          </w:tcPr>
          <w:p>
            <w:pPr>
              <w:spacing w:after="40"/>
            </w:pPr>
            <w:r/>
            <w:r>
              <w:rPr>
                <w:sz w:val="19"/>
              </w:rPr>
              <w:t>Retained; file separately</w:t>
            </w:r>
          </w:p>
        </w:tc>
      </w:tr>
    </w:tbl>
    <w:p>
      <w:pPr>
        <w:spacing w:after="40"/>
      </w:pPr>
    </w:p>
    <w:p>
      <w:pPr>
        <w:pStyle w:val="Heading1"/>
      </w:pPr>
      <w:r>
        <w:t>7. Filing strategy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720"/>
            <w:shd w:fill="DCE6F1"/>
          </w:tcPr>
          <w:p>
            <w:r/>
            <w:r>
              <w:rPr>
                <w:b/>
                <w:sz w:val="19"/>
              </w:rPr>
              <w:t>Order</w:t>
            </w:r>
          </w:p>
        </w:tc>
        <w:tc>
          <w:tcPr>
            <w:tcW w:type="dxa" w:w="2016"/>
            <w:shd w:fill="DCE6F1"/>
          </w:tcPr>
          <w:p>
            <w:r/>
            <w:r>
              <w:rPr>
                <w:b/>
                <w:sz w:val="19"/>
              </w:rPr>
              <w:t>Filing</w:t>
            </w:r>
          </w:p>
        </w:tc>
        <w:tc>
          <w:tcPr>
            <w:tcW w:type="dxa" w:w="4464"/>
            <w:shd w:fill="DCE6F1"/>
          </w:tcPr>
          <w:p>
            <w:r/>
            <w:r>
              <w:rPr>
                <w:b/>
                <w:sz w:val="19"/>
              </w:rPr>
              <w:t>Covers</w:t>
            </w:r>
          </w:p>
        </w:tc>
        <w:tc>
          <w:tcPr>
            <w:tcW w:type="dxa" w:w="2016"/>
            <w:shd w:fill="DCE6F1"/>
          </w:tcPr>
          <w:p>
            <w:r/>
            <w:r>
              <w:rPr>
                <w:b/>
                <w:sz w:val="19"/>
              </w:rPr>
              <w:t>Timing</w:t>
            </w:r>
          </w:p>
        </w:tc>
        <w:tc>
          <w:tcPr>
            <w:tcW w:type="dxa" w:w="1440"/>
            <w:shd w:fill="DCE6F1"/>
          </w:tcPr>
          <w:p>
            <w:r/>
            <w:r>
              <w:rPr>
                <w:b/>
                <w:sz w:val="19"/>
              </w:rPr>
              <w:t>Indicative cost</w:t>
            </w:r>
          </w:p>
        </w:tc>
      </w:tr>
      <w:tr>
        <w:tc>
          <w:tcPr>
            <w:tcW w:type="dxa" w:w="720"/>
          </w:tcPr>
          <w:p>
            <w:pPr>
              <w:spacing w:after="40"/>
            </w:pPr>
            <w:r/>
            <w:r>
              <w:rPr>
                <w:sz w:val="19"/>
              </w:rPr>
              <w:t>1</w:t>
            </w:r>
          </w:p>
        </w:tc>
        <w:tc>
          <w:tcPr>
            <w:tcW w:type="dxa" w:w="2016"/>
          </w:tcPr>
          <w:p>
            <w:pPr>
              <w:spacing w:after="40"/>
            </w:pPr>
            <w:r/>
            <w:r>
              <w:rPr>
                <w:sz w:val="19"/>
              </w:rPr>
              <w:t>Provisional</w:t>
            </w:r>
          </w:p>
        </w:tc>
        <w:tc>
          <w:tcPr>
            <w:tcW w:type="dxa" w:w="4464"/>
          </w:tcPr>
          <w:p>
            <w:pPr>
              <w:spacing w:after="40"/>
            </w:pPr>
            <w:r/>
            <w:r>
              <w:rPr>
                <w:sz w:val="19"/>
              </w:rPr>
              <w:t>Invention 1 claim 1 as drafted, plus the dependent claims</w:t>
            </w:r>
          </w:p>
        </w:tc>
        <w:tc>
          <w:tcPr>
            <w:tcW w:type="dxa" w:w="2016"/>
          </w:tcPr>
          <w:p>
            <w:pPr>
              <w:spacing w:after="40"/>
            </w:pPr>
            <w:r/>
            <w:r>
              <w:rPr>
                <w:sz w:val="19"/>
              </w:rPr>
              <w:t>Within 2–4 weeks — before any further public presentation</w:t>
            </w:r>
          </w:p>
        </w:tc>
        <w:tc>
          <w:tcPr>
            <w:tcW w:type="dxa" w:w="1440"/>
          </w:tcPr>
          <w:p>
            <w:pPr>
              <w:spacing w:after="40"/>
            </w:pPr>
            <w:r/>
            <w:r>
              <w:rPr>
                <w:sz w:val="19"/>
              </w:rPr>
              <w:t>USD 2–6k</w:t>
            </w:r>
          </w:p>
        </w:tc>
      </w:tr>
      <w:tr>
        <w:tc>
          <w:tcPr>
            <w:tcW w:type="dxa" w:w="720"/>
          </w:tcPr>
          <w:p>
            <w:pPr>
              <w:spacing w:after="40"/>
            </w:pPr>
            <w:r/>
            <w:r>
              <w:rPr>
                <w:sz w:val="19"/>
              </w:rPr>
              <w:t>2</w:t>
            </w:r>
          </w:p>
        </w:tc>
        <w:tc>
          <w:tcPr>
            <w:tcW w:type="dxa" w:w="2016"/>
          </w:tcPr>
          <w:p>
            <w:pPr>
              <w:spacing w:after="40"/>
            </w:pPr>
            <w:r/>
            <w:r>
              <w:rPr>
                <w:sz w:val="19"/>
              </w:rPr>
              <w:t>Non-provisional / PCT</w:t>
            </w:r>
          </w:p>
        </w:tc>
        <w:tc>
          <w:tcPr>
            <w:tcW w:type="dxa" w:w="4464"/>
          </w:tcPr>
          <w:p>
            <w:pPr>
              <w:spacing w:after="40"/>
            </w:pPr>
            <w:r/>
            <w:r>
              <w:rPr>
                <w:sz w:val="19"/>
              </w:rPr>
              <w:t>Inventions 1 and 2, with the frozen requirement-monitor design, verdict semantics and conformance-record schema</w:t>
            </w:r>
          </w:p>
        </w:tc>
        <w:tc>
          <w:tcPr>
            <w:tcW w:type="dxa" w:w="2016"/>
          </w:tcPr>
          <w:p>
            <w:pPr>
              <w:spacing w:after="40"/>
            </w:pPr>
            <w:r/>
            <w:r>
              <w:rPr>
                <w:sz w:val="19"/>
              </w:rPr>
              <w:t>Within 12 months of the provisional</w:t>
            </w:r>
          </w:p>
        </w:tc>
        <w:tc>
          <w:tcPr>
            <w:tcW w:type="dxa" w:w="1440"/>
          </w:tcPr>
          <w:p>
            <w:pPr>
              <w:spacing w:after="40"/>
            </w:pPr>
            <w:r/>
            <w:r>
              <w:rPr>
                <w:sz w:val="19"/>
              </w:rPr>
              <w:t>USD 12–25k</w:t>
            </w:r>
          </w:p>
        </w:tc>
      </w:tr>
      <w:tr>
        <w:tc>
          <w:tcPr>
            <w:tcW w:type="dxa" w:w="720"/>
          </w:tcPr>
          <w:p>
            <w:pPr>
              <w:spacing w:after="40"/>
            </w:pPr>
            <w:r/>
            <w:r>
              <w:rPr>
                <w:sz w:val="19"/>
              </w:rPr>
              <w:t>3</w:t>
            </w:r>
          </w:p>
        </w:tc>
        <w:tc>
          <w:tcPr>
            <w:tcW w:type="dxa" w:w="2016"/>
          </w:tcPr>
          <w:p>
            <w:pPr>
              <w:spacing w:after="40"/>
            </w:pPr>
            <w:r/>
            <w:r>
              <w:rPr>
                <w:sz w:val="19"/>
              </w:rPr>
              <w:t>Separate filing</w:t>
            </w:r>
          </w:p>
        </w:tc>
        <w:tc>
          <w:tcPr>
            <w:tcW w:type="dxa" w:w="4464"/>
          </w:tcPr>
          <w:p>
            <w:pPr>
              <w:spacing w:after="40"/>
            </w:pPr>
            <w:r/>
            <w:r>
              <w:rPr>
                <w:sz w:val="19"/>
              </w:rPr>
              <w:t>Admission-gated AI and the gated advisory threat models</w:t>
            </w:r>
          </w:p>
        </w:tc>
        <w:tc>
          <w:tcPr>
            <w:tcW w:type="dxa" w:w="2016"/>
          </w:tcPr>
          <w:p>
            <w:pPr>
              <w:spacing w:after="40"/>
            </w:pPr>
            <w:r/>
            <w:r>
              <w:rPr>
                <w:sz w:val="19"/>
              </w:rPr>
              <w:t>When the gate design is frozen</w:t>
            </w:r>
          </w:p>
        </w:tc>
        <w:tc>
          <w:tcPr>
            <w:tcW w:type="dxa" w:w="1440"/>
          </w:tcPr>
          <w:p>
            <w:pPr>
              <w:spacing w:after="40"/>
            </w:pPr>
            <w:r/>
            <w:r>
              <w:rPr>
                <w:sz w:val="19"/>
              </w:rPr>
              <w:t>USD 10–18k</w:t>
            </w:r>
          </w:p>
        </w:tc>
      </w:tr>
    </w:tbl>
    <w:p>
      <w:pPr>
        <w:spacing w:after="40"/>
      </w:pPr>
    </w:p>
    <w:p>
      <w:r>
        <w:rPr>
          <w:b w:val="0"/>
          <w:i/>
        </w:rPr>
        <w:t>Unifying position: the platform never modifies certified airborne software, never places AI in the sole operational path, and produces evidence rather than asserting accuracy. That is what makes it both defensible against the art above and acceptable to an airworthiness authority.</w:t>
      </w:r>
    </w:p>
    <w:p>
      <w:pPr>
        <w:pStyle w:val="Heading1"/>
      </w:pPr>
      <w:r>
        <w:t>8. What to build in the next 60 days to make the filing strong</w:t>
      </w:r>
    </w:p>
    <w:p>
      <w:pPr>
        <w:pStyle w:val="ListNumber"/>
      </w:pPr>
      <w:r>
        <w:t>Demonstrate the requirement-to-monitor pipeline on a real, sanitised requirements extract: take a subset of datalink requirements in a requirements-management export, compile them into monitors, and show the trace from requirement identifier to monitor to observation.</w:t>
      </w:r>
    </w:p>
    <w:p>
      <w:pPr>
        <w:pStyle w:val="ListNumber"/>
      </w:pPr>
      <w:r>
        <w:t>Produce the headline numbers for the specification over a defined set of flights: how many requirements were conforming, non-conforming, not-exercised and indeterminate; which single requirement accounted for the largest number of non-conformances; and what proportion of the baseline was never exercised.</w:t>
      </w:r>
    </w:p>
    <w:p>
      <w:pPr>
        <w:pStyle w:val="ListNumber"/>
      </w:pPr>
      <w:r>
        <w:t>Freeze the four verdict definitions and the acceptance-criterion representation, and document two borderline cases (one that resolves as conforming, one that resolves as indeterminate) with the clock-offset arithmetic.</w:t>
      </w:r>
    </w:p>
    <w:p>
      <w:pPr>
        <w:pStyle w:val="ListNumber"/>
      </w:pPr>
      <w:r>
        <w:t>Freeze the conformance-record schema as a JSON example and put it in the specification text: it is the enablement insurance for the whole claim family.</w:t>
      </w:r>
    </w:p>
    <w:p>
      <w:pPr>
        <w:pStyle w:val="ListNumber"/>
      </w:pPr>
      <w:r>
        <w:t>Demonstrate one predictive case: a requirement whose margin degraded across successive flights and triggered a maintenance action before any violation.</w:t>
      </w:r>
    </w:p>
    <w:p>
      <w:pPr>
        <w:pStyle w:val="ListNumber"/>
      </w:pPr>
      <w:r>
        <w:t>Prepare the prior-art acknowledgement listing the references in the appendix, each with the single sentence that distinguishes the invention from it.</w:t>
      </w:r>
    </w:p>
    <w:p>
      <w:pPr>
        <w:pStyle w:val="Heading1"/>
      </w:pPr>
      <w:r>
        <w:t>9. Risks to manage</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DCE6F1"/>
          </w:tcPr>
          <w:p>
            <w:r/>
            <w:r>
              <w:rPr>
                <w:b/>
                <w:sz w:val="19"/>
              </w:rPr>
              <w:t>Risk</w:t>
            </w:r>
          </w:p>
        </w:tc>
        <w:tc>
          <w:tcPr>
            <w:tcW w:type="dxa" w:w="5112"/>
            <w:shd w:fill="DCE6F1"/>
          </w:tcPr>
          <w:p>
            <w:r/>
            <w:r>
              <w:rPr>
                <w:b/>
                <w:sz w:val="19"/>
              </w:rPr>
              <w:t>Detail</w:t>
            </w:r>
          </w:p>
        </w:tc>
        <w:tc>
          <w:tcPr>
            <w:tcW w:type="dxa" w:w="3168"/>
            <w:shd w:fill="DCE6F1"/>
          </w:tcPr>
          <w:p>
            <w:r/>
            <w:r>
              <w:rPr>
                <w:b/>
                <w:sz w:val="19"/>
              </w:rPr>
              <w:t>Action</w:t>
            </w:r>
          </w:p>
        </w:tc>
      </w:tr>
      <w:tr>
        <w:tc>
          <w:tcPr>
            <w:tcW w:type="dxa" w:w="1944"/>
          </w:tcPr>
          <w:p>
            <w:pPr>
              <w:spacing w:after="40"/>
            </w:pPr>
            <w:r/>
            <w:r>
              <w:rPr>
                <w:sz w:val="19"/>
              </w:rPr>
              <w:t>NASA TOP2-320</w:t>
            </w:r>
          </w:p>
        </w:tc>
        <w:tc>
          <w:tcPr>
            <w:tcW w:type="dxa" w:w="5112"/>
          </w:tcPr>
          <w:p>
            <w:pPr>
              <w:spacing w:after="40"/>
            </w:pPr>
            <w:r/>
            <w:r>
              <w:rPr>
                <w:sz w:val="19"/>
              </w:rPr>
              <w:t>The closest reference on the new scope: real-time and post-flight verification against criteria, specifications and data-quality requirements for autonomous operations. A broad independent claim to "verify an aircraft system against its requirements in real time" is exposed.</w:t>
            </w:r>
          </w:p>
        </w:tc>
        <w:tc>
          <w:tcPr>
            <w:tcW w:type="dxa" w:w="3168"/>
          </w:tcPr>
          <w:p>
            <w:pPr>
              <w:spacing w:after="40"/>
            </w:pPr>
            <w:r/>
            <w:r>
              <w:rPr>
                <w:sz w:val="19"/>
              </w:rPr>
              <w:t>Keep the claim tied to the datalink SW/HW requirement baseline, per-requirement four-valued verdicts, not-exercised coverage accounting, and the flight-keyed signed record</w:t>
            </w:r>
          </w:p>
        </w:tc>
      </w:tr>
      <w:tr>
        <w:tc>
          <w:tcPr>
            <w:tcW w:type="dxa" w:w="1944"/>
          </w:tcPr>
          <w:p>
            <w:pPr>
              <w:spacing w:after="40"/>
            </w:pPr>
            <w:r/>
            <w:r>
              <w:rPr>
                <w:sz w:val="19"/>
              </w:rPr>
              <w:t>US9620020B2</w:t>
            </w:r>
          </w:p>
        </w:tc>
        <w:tc>
          <w:tcPr>
            <w:tcW w:type="dxa" w:w="5112"/>
          </w:tcPr>
          <w:p>
            <w:pPr>
              <w:spacing w:after="40"/>
            </w:pPr>
            <w:r/>
            <w:r>
              <w:rPr>
                <w:sz w:val="19"/>
              </w:rPr>
              <w:t>Broadly covers comparing what was required against what happened and flagging the gap, from communication evidence.</w:t>
            </w:r>
          </w:p>
        </w:tc>
        <w:tc>
          <w:tcPr>
            <w:tcW w:type="dxa" w:w="3168"/>
          </w:tcPr>
          <w:p>
            <w:pPr>
              <w:spacing w:after="40"/>
            </w:pPr>
            <w:r/>
            <w:r>
              <w:rPr>
                <w:sz w:val="19"/>
              </w:rPr>
              <w:t>Ground the claim in system requirements and in OS/partition/fault evidence, not in communication content alone</w:t>
            </w:r>
          </w:p>
        </w:tc>
      </w:tr>
      <w:tr>
        <w:tc>
          <w:tcPr>
            <w:tcW w:type="dxa" w:w="1944"/>
          </w:tcPr>
          <w:p>
            <w:pPr>
              <w:spacing w:after="40"/>
            </w:pPr>
            <w:r/>
            <w:r>
              <w:rPr>
                <w:sz w:val="19"/>
              </w:rPr>
              <w:t>Runtime-verification literature</w:t>
            </w:r>
          </w:p>
        </w:tc>
        <w:tc>
          <w:tcPr>
            <w:tcW w:type="dxa" w:w="5112"/>
          </w:tcPr>
          <w:p>
            <w:pPr>
              <w:spacing w:after="40"/>
            </w:pPr>
            <w:r/>
            <w:r>
              <w:rPr>
                <w:sz w:val="19"/>
              </w:rPr>
              <w:t>Monitor generation from specifications and multi-valued verdicts are published in the open literature.</w:t>
            </w:r>
          </w:p>
        </w:tc>
        <w:tc>
          <w:tcPr>
            <w:tcW w:type="dxa" w:w="3168"/>
          </w:tcPr>
          <w:p>
            <w:pPr>
              <w:spacing w:after="40"/>
            </w:pPr>
            <w:r/>
            <w:r>
              <w:rPr>
                <w:sz w:val="19"/>
              </w:rPr>
              <w:t>Do not claim monitor generation generically; claim the avionics datalink baseline, the four verdicts including not-exercised, and the flight artefact</w:t>
            </w:r>
          </w:p>
        </w:tc>
      </w:tr>
      <w:tr>
        <w:tc>
          <w:tcPr>
            <w:tcW w:type="dxa" w:w="1944"/>
          </w:tcPr>
          <w:p>
            <w:pPr>
              <w:spacing w:after="40"/>
            </w:pPr>
            <w:r/>
            <w:r>
              <w:rPr>
                <w:sz w:val="19"/>
              </w:rPr>
              <w:t>Patent eligibility</w:t>
            </w:r>
          </w:p>
        </w:tc>
        <w:tc>
          <w:tcPr>
            <w:tcW w:type="dxa" w:w="5112"/>
          </w:tcPr>
          <w:p>
            <w:pPr>
              <w:spacing w:after="40"/>
            </w:pPr>
            <w:r/>
            <w:r>
              <w:rPr>
                <w:sz w:val="19"/>
              </w:rPr>
              <w:t>"Collect data and display it" is abstract. Keep the action selection, the ledger, and the not-exercised coverage account inside claim 1.</w:t>
            </w:r>
          </w:p>
        </w:tc>
        <w:tc>
          <w:tcPr>
            <w:tcW w:type="dxa" w:w="3168"/>
          </w:tcPr>
          <w:p>
            <w:pPr>
              <w:spacing w:after="40"/>
            </w:pPr>
            <w:r/>
            <w:r>
              <w:rPr>
                <w:sz w:val="19"/>
              </w:rPr>
              <w:t>Draft as in section 4.5</w:t>
            </w:r>
          </w:p>
        </w:tc>
      </w:tr>
      <w:tr>
        <w:tc>
          <w:tcPr>
            <w:tcW w:type="dxa" w:w="1944"/>
          </w:tcPr>
          <w:p>
            <w:pPr>
              <w:spacing w:after="40"/>
            </w:pPr>
            <w:r/>
            <w:r>
              <w:rPr>
                <w:sz w:val="19"/>
              </w:rPr>
              <w:t>Written description</w:t>
            </w:r>
          </w:p>
        </w:tc>
        <w:tc>
          <w:tcPr>
            <w:tcW w:type="dxa" w:w="5112"/>
          </w:tcPr>
          <w:p>
            <w:pPr>
              <w:spacing w:after="40"/>
            </w:pPr>
            <w:r/>
            <w:r>
              <w:rPr>
                <w:sz w:val="19"/>
              </w:rPr>
              <w:t>"Verify the datalink against its requirements" needs a concrete acceptance-criterion representation and at least one worked example per verdict state.</w:t>
            </w:r>
          </w:p>
        </w:tc>
        <w:tc>
          <w:tcPr>
            <w:tcW w:type="dxa" w:w="3168"/>
          </w:tcPr>
          <w:p>
            <w:pPr>
              <w:spacing w:after="40"/>
            </w:pPr>
            <w:r/>
            <w:r>
              <w:rPr>
                <w:sz w:val="19"/>
              </w:rPr>
              <w:t>Complete section 8 items 1–4 before the non-provisional</w:t>
            </w:r>
          </w:p>
        </w:tc>
      </w:tr>
      <w:tr>
        <w:tc>
          <w:tcPr>
            <w:tcW w:type="dxa" w:w="1944"/>
          </w:tcPr>
          <w:p>
            <w:pPr>
              <w:spacing w:after="40"/>
            </w:pPr>
            <w:r/>
            <w:r>
              <w:rPr>
                <w:sz w:val="19"/>
              </w:rPr>
              <w:t>Public disclosure</w:t>
            </w:r>
          </w:p>
        </w:tc>
        <w:tc>
          <w:tcPr>
            <w:tcW w:type="dxa" w:w="5112"/>
          </w:tcPr>
          <w:p>
            <w:pPr>
              <w:spacing w:after="40"/>
            </w:pPr>
            <w:r/>
            <w:r>
              <w:rPr>
                <w:sz w:val="19"/>
              </w:rPr>
              <w:t>US: 12-month grace period. EP/IN/CN: effectively absolute novelty.</w:t>
            </w:r>
          </w:p>
        </w:tc>
        <w:tc>
          <w:tcPr>
            <w:tcW w:type="dxa" w:w="3168"/>
          </w:tcPr>
          <w:p>
            <w:pPr>
              <w:spacing w:after="40"/>
            </w:pPr>
            <w:r/>
            <w:r>
              <w:rPr>
                <w:sz w:val="19"/>
              </w:rPr>
              <w:t>Confirm dates of every presentation before filing</w:t>
            </w:r>
          </w:p>
        </w:tc>
      </w:tr>
      <w:tr>
        <w:tc>
          <w:tcPr>
            <w:tcW w:type="dxa" w:w="1944"/>
          </w:tcPr>
          <w:p>
            <w:pPr>
              <w:spacing w:after="40"/>
            </w:pPr>
            <w:r/>
            <w:r>
              <w:rPr>
                <w:sz w:val="19"/>
              </w:rPr>
              <w:t>Data rights and export control</w:t>
            </w:r>
          </w:p>
        </w:tc>
        <w:tc>
          <w:tcPr>
            <w:tcW w:type="dxa" w:w="5112"/>
          </w:tcPr>
          <w:p>
            <w:pPr>
              <w:spacing w:after="40"/>
            </w:pPr>
            <w:r/>
            <w:r>
              <w:rPr>
                <w:sz w:val="19"/>
              </w:rPr>
              <w:t>Fusing aircraft OS/fault data across a fleet, and any interference model, raises data-rights, contractual and export-control questions.</w:t>
            </w:r>
          </w:p>
        </w:tc>
        <w:tc>
          <w:tcPr>
            <w:tcW w:type="dxa" w:w="3168"/>
          </w:tcPr>
          <w:p>
            <w:pPr>
              <w:spacing w:after="40"/>
            </w:pPr>
            <w:r/>
            <w:r>
              <w:rPr>
                <w:sz w:val="19"/>
              </w:rPr>
              <w:t>Address in the disclosure as legal questions to be cleared, not engineering ones</w:t>
            </w:r>
          </w:p>
        </w:tc>
      </w:tr>
    </w:tbl>
    <w:p>
      <w:pPr>
        <w:spacing w:after="40"/>
      </w:pPr>
    </w:p>
    <w:p>
      <w:pPr>
        <w:pStyle w:val="Heading1"/>
      </w:pPr>
      <w:r>
        <w:t>10. Paragraph to send to your patent attorney</w:t>
      </w:r>
    </w:p>
    <w:p>
      <w:pPr>
        <w:ind w:left="288"/>
      </w:pPr>
      <w:r>
        <w:rPr>
          <w:i/>
        </w:rPr>
        <w:t>Please prepare a provisional application directed to a ground-based datalink conformance system that ingests the installed datalink's controlled software and hardware requirements baseline, compiles each requirement with its identifier, acceptance criterion and evidence class into an executable requirement monitor, evaluates the monitors against fused and time-aligned uplink, downlink, host-operating-system, partition-performance, fault and crew-action evidence for each flight, and issues per requirement one of four verdicts — conforming, non-conforming, not-exercised and indeterminate — where not-exercised accumulates into an operational coverage account for requirements never demonstrated in service, and where flight closure produces a signed, hash-chained conformance record usable as continuing-airworthiness evidence. The closest art is NASA TOP2-320, US 9,620,020 B2 (Honeywell), US 2025/0260475 A1 (Satcom Direct) and the runtime-verification literature; the differentiating limitations as to each are set out in the attached tables.</w:t>
      </w:r>
    </w:p>
    <w:p>
      <w:r>
        <w:br w:type="page"/>
      </w:r>
    </w:p>
    <w:p>
      <w:pPr>
        <w:pStyle w:val="Heading1"/>
      </w:pPr>
      <w:r>
        <w:t>Appendix A — References that matter for this revision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
            <w:shd w:fill="DCE6F1"/>
          </w:tcPr>
          <w:p>
            <w:r/>
            <w:r>
              <w:rPr>
                <w:b/>
                <w:sz w:val="18"/>
              </w:rPr>
              <w:t>#</w:t>
            </w:r>
          </w:p>
        </w:tc>
        <w:tc>
          <w:tcPr>
            <w:tcW w:type="dxa" w:w="3384"/>
            <w:shd w:fill="DCE6F1"/>
          </w:tcPr>
          <w:p>
            <w:r/>
            <w:r>
              <w:rPr>
                <w:b/>
                <w:sz w:val="18"/>
              </w:rPr>
              <w:t>Reference</w:t>
            </w:r>
          </w:p>
        </w:tc>
        <w:tc>
          <w:tcPr>
            <w:tcW w:type="dxa" w:w="1656"/>
            <w:shd w:fill="DCE6F1"/>
          </w:tcPr>
          <w:p>
            <w:r/>
            <w:r>
              <w:rPr>
                <w:b/>
                <w:sz w:val="18"/>
              </w:rPr>
              <w:t>Owner</w:t>
            </w:r>
          </w:p>
        </w:tc>
        <w:tc>
          <w:tcPr>
            <w:tcW w:type="dxa" w:w="1368"/>
            <w:shd w:fill="DCE6F1"/>
          </w:tcPr>
          <w:p>
            <w:r/>
            <w:r>
              <w:rPr>
                <w:b/>
                <w:sz w:val="18"/>
              </w:rPr>
              <w:t>Date</w:t>
            </w:r>
          </w:p>
        </w:tc>
        <w:tc>
          <w:tcPr>
            <w:tcW w:type="dxa" w:w="4176"/>
            <w:shd w:fill="DCE6F1"/>
          </w:tcPr>
          <w:p>
            <w:r/>
            <w:r>
              <w:rPr>
                <w:b/>
                <w:sz w:val="18"/>
              </w:rPr>
              <w:t>Why it matters</w:t>
            </w:r>
          </w:p>
        </w:tc>
      </w:tr>
      <w:tr>
        <w:tc>
          <w:tcPr>
            <w:tcW w:type="dxa" w:w="432"/>
          </w:tcPr>
          <w:p>
            <w:pPr>
              <w:spacing w:after="40"/>
            </w:pPr>
            <w:r/>
            <w:r>
              <w:rPr>
                <w:sz w:val="18"/>
              </w:rPr>
              <w:t>1</w:t>
            </w:r>
          </w:p>
        </w:tc>
        <w:tc>
          <w:tcPr>
            <w:tcW w:type="dxa" w:w="3384"/>
          </w:tcPr>
          <w:p>
            <w:pPr>
              <w:spacing w:after="40"/>
            </w:pPr>
            <w:r/>
            <w:r>
              <w:rPr>
                <w:sz w:val="18"/>
              </w:rPr>
              <w:t>US 2025/0260475 A1</w:t>
            </w:r>
          </w:p>
        </w:tc>
        <w:tc>
          <w:tcPr>
            <w:tcW w:type="dxa" w:w="1656"/>
          </w:tcPr>
          <w:p>
            <w:pPr>
              <w:spacing w:after="40"/>
            </w:pPr>
            <w:r/>
            <w:r>
              <w:rPr>
                <w:sz w:val="18"/>
              </w:rPr>
              <w:t>Satcom Direct LLC</w:t>
            </w:r>
          </w:p>
        </w:tc>
        <w:tc>
          <w:tcPr>
            <w:tcW w:type="dxa" w:w="1368"/>
          </w:tcPr>
          <w:p>
            <w:pPr>
              <w:spacing w:after="40"/>
            </w:pPr>
            <w:r/>
            <w:r>
              <w:rPr>
                <w:sz w:val="18"/>
              </w:rPr>
              <w:t>Priority 2024-02-09</w:t>
            </w:r>
          </w:p>
        </w:tc>
        <w:tc>
          <w:tcPr>
            <w:tcW w:type="dxa" w:w="4176"/>
          </w:tcPr>
          <w:p>
            <w:pPr>
              <w:spacing w:after="40"/>
            </w:pPr>
            <w:r/>
            <w:r>
              <w:rPr>
                <w:sz w:val="18"/>
              </w:rPr>
              <w:t>Closest art on the monitoring half: real-time datalink performance monitoring, per-step timing, benchmark comparison, greatest-delay attribution, alerts, link reconfiguration, pilot response time</w:t>
            </w:r>
          </w:p>
        </w:tc>
      </w:tr>
      <w:tr>
        <w:tc>
          <w:tcPr>
            <w:tcW w:type="dxa" w:w="432"/>
          </w:tcPr>
          <w:p>
            <w:pPr>
              <w:spacing w:after="40"/>
            </w:pPr>
            <w:r/>
            <w:r>
              <w:rPr>
                <w:sz w:val="18"/>
              </w:rPr>
              <w:t>2</w:t>
            </w:r>
          </w:p>
        </w:tc>
        <w:tc>
          <w:tcPr>
            <w:tcW w:type="dxa" w:w="3384"/>
          </w:tcPr>
          <w:p>
            <w:pPr>
              <w:spacing w:after="40"/>
            </w:pPr>
            <w:r/>
            <w:r>
              <w:rPr>
                <w:sz w:val="18"/>
              </w:rPr>
              <w:t>NASA TOP2-320 "Near-Real Time Verification and Validation of Autonomous Flight Operations"</w:t>
            </w:r>
          </w:p>
        </w:tc>
        <w:tc>
          <w:tcPr>
            <w:tcW w:type="dxa" w:w="1656"/>
          </w:tcPr>
          <w:p>
            <w:pPr>
              <w:spacing w:after="40"/>
            </w:pPr>
            <w:r/>
            <w:r>
              <w:rPr>
                <w:sz w:val="18"/>
              </w:rPr>
              <w:t>NASA</w:t>
            </w:r>
          </w:p>
        </w:tc>
        <w:tc>
          <w:tcPr>
            <w:tcW w:type="dxa" w:w="1368"/>
          </w:tcPr>
          <w:p>
            <w:pPr>
              <w:spacing w:after="40"/>
            </w:pPr>
            <w:r/>
            <w:r>
              <w:rPr>
                <w:sz w:val="18"/>
              </w:rPr>
              <w:t>Tech sheet 2024</w:t>
            </w:r>
          </w:p>
        </w:tc>
        <w:tc>
          <w:tcPr>
            <w:tcW w:type="dxa" w:w="4176"/>
          </w:tcPr>
          <w:p>
            <w:pPr>
              <w:spacing w:after="40"/>
            </w:pPr>
            <w:r/>
            <w:r>
              <w:rPr>
                <w:sz w:val="18"/>
              </w:rPr>
              <w:t>Closest art on the verification half: near-real-time and post-flight verification against system criteria, specifications and data-quality requirements for autonomous operations</w:t>
            </w:r>
          </w:p>
        </w:tc>
      </w:tr>
      <w:tr>
        <w:tc>
          <w:tcPr>
            <w:tcW w:type="dxa" w:w="432"/>
          </w:tcPr>
          <w:p>
            <w:pPr>
              <w:spacing w:after="40"/>
            </w:pPr>
            <w:r/>
            <w:r>
              <w:rPr>
                <w:sz w:val="18"/>
              </w:rPr>
              <w:t>3</w:t>
            </w:r>
          </w:p>
        </w:tc>
        <w:tc>
          <w:tcPr>
            <w:tcW w:type="dxa" w:w="3384"/>
          </w:tcPr>
          <w:p>
            <w:pPr>
              <w:spacing w:after="40"/>
            </w:pPr>
            <w:r/>
            <w:r>
              <w:rPr>
                <w:sz w:val="18"/>
              </w:rPr>
              <w:t>US 9,620,020 B2</w:t>
            </w:r>
          </w:p>
        </w:tc>
        <w:tc>
          <w:tcPr>
            <w:tcW w:type="dxa" w:w="1656"/>
          </w:tcPr>
          <w:p>
            <w:pPr>
              <w:spacing w:after="40"/>
            </w:pPr>
            <w:r/>
            <w:r>
              <w:rPr>
                <w:sz w:val="18"/>
              </w:rPr>
              <w:t>Honeywell</w:t>
            </w:r>
          </w:p>
        </w:tc>
        <w:tc>
          <w:tcPr>
            <w:tcW w:type="dxa" w:w="1368"/>
          </w:tcPr>
          <w:p>
            <w:pPr>
              <w:spacing w:after="40"/>
            </w:pPr>
            <w:r/>
            <w:r>
              <w:rPr>
                <w:sz w:val="18"/>
              </w:rPr>
              <w:t>Granted</w:t>
            </w:r>
          </w:p>
        </w:tc>
        <w:tc>
          <w:tcPr>
            <w:tcW w:type="dxa" w:w="4176"/>
          </w:tcPr>
          <w:p>
            <w:pPr>
              <w:spacing w:after="40"/>
            </w:pPr>
            <w:r/>
            <w:r>
              <w:rPr>
                <w:sz w:val="18"/>
              </w:rPr>
              <w:t>Communication-based monitoring of compliance with aviation regulations and operating procedures; compares required pilot action against action taken</w:t>
            </w:r>
          </w:p>
        </w:tc>
      </w:tr>
      <w:tr>
        <w:tc>
          <w:tcPr>
            <w:tcW w:type="dxa" w:w="432"/>
          </w:tcPr>
          <w:p>
            <w:pPr>
              <w:spacing w:after="40"/>
            </w:pPr>
            <w:r/>
            <w:r>
              <w:rPr>
                <w:sz w:val="18"/>
              </w:rPr>
              <w:t>4</w:t>
            </w:r>
          </w:p>
        </w:tc>
        <w:tc>
          <w:tcPr>
            <w:tcW w:type="dxa" w:w="3384"/>
          </w:tcPr>
          <w:p>
            <w:pPr>
              <w:spacing w:after="40"/>
            </w:pPr>
            <w:r/>
            <w:r>
              <w:rPr>
                <w:sz w:val="18"/>
              </w:rPr>
              <w:t>WO 2025/146353 A1</w:t>
            </w:r>
          </w:p>
        </w:tc>
        <w:tc>
          <w:tcPr>
            <w:tcW w:type="dxa" w:w="1656"/>
          </w:tcPr>
          <w:p>
            <w:pPr>
              <w:spacing w:after="40"/>
            </w:pPr>
            <w:r/>
            <w:r>
              <w:rPr>
                <w:sz w:val="18"/>
              </w:rPr>
              <w:t>Valeo Schalter und Sensoren GmbH</w:t>
            </w:r>
          </w:p>
        </w:tc>
        <w:tc>
          <w:tcPr>
            <w:tcW w:type="dxa" w:w="1368"/>
          </w:tcPr>
          <w:p>
            <w:pPr>
              <w:spacing w:after="40"/>
            </w:pPr>
            <w:r/>
            <w:r>
              <w:rPr>
                <w:sz w:val="18"/>
              </w:rPr>
              <w:t>Priority 2024-01-04</w:t>
            </w:r>
          </w:p>
        </w:tc>
        <w:tc>
          <w:tcPr>
            <w:tcW w:type="dxa" w:w="4176"/>
          </w:tcPr>
          <w:p>
            <w:pPr>
              <w:spacing w:after="40"/>
            </w:pPr>
            <w:r/>
            <w:r>
              <w:rPr>
                <w:sz w:val="18"/>
              </w:rPr>
              <w:t>Monitors a vehicle function from function information describing the data flow generated during execution</w:t>
            </w:r>
          </w:p>
        </w:tc>
      </w:tr>
      <w:tr>
        <w:tc>
          <w:tcPr>
            <w:tcW w:type="dxa" w:w="432"/>
          </w:tcPr>
          <w:p>
            <w:pPr>
              <w:spacing w:after="40"/>
            </w:pPr>
            <w:r/>
            <w:r>
              <w:rPr>
                <w:sz w:val="18"/>
              </w:rPr>
              <w:t>5</w:t>
            </w:r>
          </w:p>
        </w:tc>
        <w:tc>
          <w:tcPr>
            <w:tcW w:type="dxa" w:w="3384"/>
          </w:tcPr>
          <w:p>
            <w:pPr>
              <w:spacing w:after="40"/>
            </w:pPr>
            <w:r/>
            <w:r>
              <w:rPr>
                <w:sz w:val="18"/>
              </w:rPr>
              <w:t>US 10,839,401 B2 / US 2018/0211261 A1</w:t>
            </w:r>
          </w:p>
        </w:tc>
        <w:tc>
          <w:tcPr>
            <w:tcW w:type="dxa" w:w="1656"/>
          </w:tcPr>
          <w:p>
            <w:pPr>
              <w:spacing w:after="40"/>
            </w:pPr>
            <w:r/>
            <w:r>
              <w:rPr>
                <w:sz w:val="18"/>
              </w:rPr>
              <w:t>Honeywell</w:t>
            </w:r>
          </w:p>
        </w:tc>
        <w:tc>
          <w:tcPr>
            <w:tcW w:type="dxa" w:w="1368"/>
          </w:tcPr>
          <w:p>
            <w:pPr>
              <w:spacing w:after="40"/>
            </w:pPr>
            <w:r/>
            <w:r>
              <w:rPr>
                <w:sz w:val="18"/>
              </w:rPr>
              <w:t>Priority 2017 (IN)</w:t>
            </w:r>
          </w:p>
        </w:tc>
        <w:tc>
          <w:tcPr>
            <w:tcW w:type="dxa" w:w="4176"/>
          </w:tcPr>
          <w:p>
            <w:pPr>
              <w:spacing w:after="40"/>
            </w:pPr>
            <w:r/>
            <w:r>
              <w:rPr>
                <w:sz w:val="18"/>
              </w:rPr>
              <w:t>Qualifying data automatically generated from an unqualified system</w:t>
            </w:r>
          </w:p>
        </w:tc>
      </w:tr>
      <w:tr>
        <w:tc>
          <w:tcPr>
            <w:tcW w:type="dxa" w:w="432"/>
          </w:tcPr>
          <w:p>
            <w:pPr>
              <w:spacing w:after="40"/>
            </w:pPr>
            <w:r/>
            <w:r>
              <w:rPr>
                <w:sz w:val="18"/>
              </w:rPr>
              <w:t>6</w:t>
            </w:r>
          </w:p>
        </w:tc>
        <w:tc>
          <w:tcPr>
            <w:tcW w:type="dxa" w:w="3384"/>
          </w:tcPr>
          <w:p>
            <w:pPr>
              <w:spacing w:after="40"/>
            </w:pPr>
            <w:r/>
            <w:r>
              <w:rPr>
                <w:sz w:val="18"/>
              </w:rPr>
              <w:t>EP 3 651 022 A1 / CN 111 176 978 A</w:t>
            </w:r>
          </w:p>
        </w:tc>
        <w:tc>
          <w:tcPr>
            <w:tcW w:type="dxa" w:w="1656"/>
          </w:tcPr>
          <w:p>
            <w:pPr>
              <w:spacing w:after="40"/>
            </w:pPr>
            <w:r/>
            <w:r>
              <w:rPr>
                <w:sz w:val="18"/>
              </w:rPr>
              <w:t>GE Aviation Systems</w:t>
            </w:r>
          </w:p>
        </w:tc>
        <w:tc>
          <w:tcPr>
            <w:tcW w:type="dxa" w:w="1368"/>
          </w:tcPr>
          <w:p>
            <w:pPr>
              <w:spacing w:after="40"/>
            </w:pPr>
            <w:r/>
            <w:r>
              <w:rPr>
                <w:sz w:val="18"/>
              </w:rPr>
              <w:t>2018</w:t>
            </w:r>
          </w:p>
        </w:tc>
        <w:tc>
          <w:tcPr>
            <w:tcW w:type="dxa" w:w="4176"/>
          </w:tcPr>
          <w:p>
            <w:pPr>
              <w:spacing w:after="40"/>
            </w:pPr>
            <w:r/>
            <w:r>
              <w:rPr>
                <w:sz w:val="18"/>
              </w:rPr>
              <w:t>Verifying an unqualified component against a previously-qualified set of communications</w:t>
            </w:r>
          </w:p>
        </w:tc>
      </w:tr>
      <w:tr>
        <w:tc>
          <w:tcPr>
            <w:tcW w:type="dxa" w:w="432"/>
          </w:tcPr>
          <w:p>
            <w:pPr>
              <w:spacing w:after="40"/>
            </w:pPr>
            <w:r/>
            <w:r>
              <w:rPr>
                <w:sz w:val="18"/>
              </w:rPr>
              <w:t>7</w:t>
            </w:r>
          </w:p>
        </w:tc>
        <w:tc>
          <w:tcPr>
            <w:tcW w:type="dxa" w:w="3384"/>
          </w:tcPr>
          <w:p>
            <w:pPr>
              <w:spacing w:after="40"/>
            </w:pPr>
            <w:r/>
            <w:r>
              <w:rPr>
                <w:sz w:val="18"/>
              </w:rPr>
              <w:t>US 10,915,422 B2</w:t>
            </w:r>
          </w:p>
        </w:tc>
        <w:tc>
          <w:tcPr>
            <w:tcW w:type="dxa" w:w="1656"/>
          </w:tcPr>
          <w:p>
            <w:pPr>
              <w:spacing w:after="40"/>
            </w:pPr>
            <w:r/>
            <w:r>
              <w:rPr>
                <w:sz w:val="18"/>
              </w:rPr>
              <w:t>The MathWorks, Inc.</w:t>
            </w:r>
          </w:p>
        </w:tc>
        <w:tc>
          <w:tcPr>
            <w:tcW w:type="dxa" w:w="1368"/>
          </w:tcPr>
          <w:p>
            <w:pPr>
              <w:spacing w:after="40"/>
            </w:pPr>
            <w:r/>
            <w:r>
              <w:rPr>
                <w:sz w:val="18"/>
              </w:rPr>
              <w:t>2017</w:t>
            </w:r>
          </w:p>
        </w:tc>
        <w:tc>
          <w:tcPr>
            <w:tcW w:type="dxa" w:w="4176"/>
          </w:tcPr>
          <w:p>
            <w:pPr>
              <w:spacing w:after="40"/>
            </w:pPr>
            <w:r/>
            <w:r>
              <w:rPr>
                <w:sz w:val="18"/>
              </w:rPr>
              <w:t>Automatic setting of multitasking configurations for a code-checking system — task and interrupt-level checking of implementation code</w:t>
            </w:r>
          </w:p>
        </w:tc>
      </w:tr>
      <w:tr>
        <w:tc>
          <w:tcPr>
            <w:tcW w:type="dxa" w:w="432"/>
          </w:tcPr>
          <w:p>
            <w:pPr>
              <w:spacing w:after="40"/>
            </w:pPr>
            <w:r/>
            <w:r>
              <w:rPr>
                <w:sz w:val="18"/>
              </w:rPr>
              <w:t>8</w:t>
            </w:r>
          </w:p>
        </w:tc>
        <w:tc>
          <w:tcPr>
            <w:tcW w:type="dxa" w:w="3384"/>
          </w:tcPr>
          <w:p>
            <w:pPr>
              <w:spacing w:after="40"/>
            </w:pPr>
            <w:r/>
            <w:r>
              <w:rPr>
                <w:sz w:val="18"/>
              </w:rPr>
              <w:t>US 9,321,542 B2</w:t>
            </w:r>
          </w:p>
        </w:tc>
        <w:tc>
          <w:tcPr>
            <w:tcW w:type="dxa" w:w="1656"/>
          </w:tcPr>
          <w:p>
            <w:pPr>
              <w:spacing w:after="40"/>
            </w:pPr>
            <w:r/>
            <w:r>
              <w:rPr>
                <w:sz w:val="18"/>
              </w:rPr>
              <w:t>n/a</w:t>
            </w:r>
          </w:p>
        </w:tc>
        <w:tc>
          <w:tcPr>
            <w:tcW w:type="dxa" w:w="1368"/>
          </w:tcPr>
          <w:p>
            <w:pPr>
              <w:spacing w:after="40"/>
            </w:pPr>
            <w:r/>
            <w:r>
              <w:rPr>
                <w:sz w:val="18"/>
              </w:rPr>
              <w:t>2016</w:t>
            </w:r>
          </w:p>
        </w:tc>
        <w:tc>
          <w:tcPr>
            <w:tcW w:type="dxa" w:w="4176"/>
          </w:tcPr>
          <w:p>
            <w:pPr>
              <w:spacing w:after="40"/>
            </w:pPr>
            <w:r/>
            <w:r>
              <w:rPr>
                <w:sz w:val="18"/>
              </w:rPr>
              <w:t>Fleet-wide ground analysis of aircraft systems data with updated troubleshooting procedures redistributed to aircraft</w:t>
            </w:r>
          </w:p>
        </w:tc>
      </w:tr>
      <w:tr>
        <w:tc>
          <w:tcPr>
            <w:tcW w:type="dxa" w:w="432"/>
          </w:tcPr>
          <w:p>
            <w:pPr>
              <w:spacing w:after="40"/>
            </w:pPr>
            <w:r/>
            <w:r>
              <w:rPr>
                <w:sz w:val="18"/>
              </w:rPr>
              <w:t>9</w:t>
            </w:r>
          </w:p>
        </w:tc>
        <w:tc>
          <w:tcPr>
            <w:tcW w:type="dxa" w:w="3384"/>
          </w:tcPr>
          <w:p>
            <w:pPr>
              <w:spacing w:after="40"/>
            </w:pPr>
            <w:r/>
            <w:r>
              <w:rPr>
                <w:sz w:val="18"/>
              </w:rPr>
              <w:t>EP 2 040 392 B1</w:t>
            </w:r>
          </w:p>
        </w:tc>
        <w:tc>
          <w:tcPr>
            <w:tcW w:type="dxa" w:w="1656"/>
          </w:tcPr>
          <w:p>
            <w:pPr>
              <w:spacing w:after="40"/>
            </w:pPr>
            <w:r/>
            <w:r>
              <w:rPr>
                <w:sz w:val="18"/>
              </w:rPr>
              <w:t>n/a</w:t>
            </w:r>
          </w:p>
        </w:tc>
        <w:tc>
          <w:tcPr>
            <w:tcW w:type="dxa" w:w="1368"/>
          </w:tcPr>
          <w:p>
            <w:pPr>
              <w:spacing w:after="40"/>
            </w:pPr>
            <w:r/>
            <w:r>
              <w:rPr>
                <w:sz w:val="18"/>
              </w:rPr>
              <w:t>Granted</w:t>
            </w:r>
          </w:p>
        </w:tc>
        <w:tc>
          <w:tcPr>
            <w:tcW w:type="dxa" w:w="4176"/>
          </w:tcPr>
          <w:p>
            <w:pPr>
              <w:spacing w:after="40"/>
            </w:pPr>
            <w:r/>
            <w:r>
              <w:rPr>
                <w:sz w:val="18"/>
              </w:rPr>
              <w:t>Ground server evaluates downlinked aircraft data for abnormal operational events</w:t>
            </w:r>
          </w:p>
        </w:tc>
      </w:tr>
      <w:tr>
        <w:tc>
          <w:tcPr>
            <w:tcW w:type="dxa" w:w="432"/>
          </w:tcPr>
          <w:p>
            <w:pPr>
              <w:spacing w:after="40"/>
            </w:pPr>
            <w:r/>
            <w:r>
              <w:rPr>
                <w:sz w:val="18"/>
              </w:rPr>
              <w:t>10</w:t>
            </w:r>
          </w:p>
        </w:tc>
        <w:tc>
          <w:tcPr>
            <w:tcW w:type="dxa" w:w="3384"/>
          </w:tcPr>
          <w:p>
            <w:pPr>
              <w:spacing w:after="40"/>
            </w:pPr>
            <w:r/>
            <w:r>
              <w:rPr>
                <w:sz w:val="18"/>
              </w:rPr>
              <w:t>US 8,045,977 B2 / US 8,200,213 B2</w:t>
            </w:r>
          </w:p>
        </w:tc>
        <w:tc>
          <w:tcPr>
            <w:tcW w:type="dxa" w:w="1656"/>
          </w:tcPr>
          <w:p>
            <w:pPr>
              <w:spacing w:after="40"/>
            </w:pPr>
            <w:r/>
            <w:r>
              <w:rPr>
                <w:sz w:val="18"/>
              </w:rPr>
              <w:t>Honeywell</w:t>
            </w:r>
          </w:p>
        </w:tc>
        <w:tc>
          <w:tcPr>
            <w:tcW w:type="dxa" w:w="1368"/>
          </w:tcPr>
          <w:p>
            <w:pPr>
              <w:spacing w:after="40"/>
            </w:pPr>
            <w:r/>
            <w:r>
              <w:rPr>
                <w:sz w:val="18"/>
              </w:rPr>
              <w:t>2011 / 2012</w:t>
            </w:r>
          </w:p>
        </w:tc>
        <w:tc>
          <w:tcPr>
            <w:tcW w:type="dxa" w:w="4176"/>
          </w:tcPr>
          <w:p>
            <w:pPr>
              <w:spacing w:after="40"/>
            </w:pPr>
            <w:r/>
            <w:r>
              <w:rPr>
                <w:sz w:val="18"/>
              </w:rPr>
              <w:t>Round-trip time and channel occupancy monitoring within a CMU</w:t>
            </w:r>
          </w:p>
        </w:tc>
      </w:tr>
      <w:tr>
        <w:tc>
          <w:tcPr>
            <w:tcW w:type="dxa" w:w="432"/>
          </w:tcPr>
          <w:p>
            <w:pPr>
              <w:spacing w:after="40"/>
            </w:pPr>
            <w:r/>
            <w:r>
              <w:rPr>
                <w:sz w:val="18"/>
              </w:rPr>
              <w:t>11</w:t>
            </w:r>
          </w:p>
        </w:tc>
        <w:tc>
          <w:tcPr>
            <w:tcW w:type="dxa" w:w="3384"/>
          </w:tcPr>
          <w:p>
            <w:pPr>
              <w:spacing w:after="40"/>
            </w:pPr>
            <w:r/>
            <w:r>
              <w:rPr>
                <w:sz w:val="18"/>
              </w:rPr>
              <w:t>US 2019/0222298 A1</w:t>
            </w:r>
          </w:p>
        </w:tc>
        <w:tc>
          <w:tcPr>
            <w:tcW w:type="dxa" w:w="1656"/>
          </w:tcPr>
          <w:p>
            <w:pPr>
              <w:spacing w:after="40"/>
            </w:pPr>
            <w:r/>
            <w:r>
              <w:rPr>
                <w:sz w:val="18"/>
              </w:rPr>
              <w:t>n/a</w:t>
            </w:r>
          </w:p>
        </w:tc>
        <w:tc>
          <w:tcPr>
            <w:tcW w:type="dxa" w:w="1368"/>
          </w:tcPr>
          <w:p>
            <w:pPr>
              <w:spacing w:after="40"/>
            </w:pPr>
            <w:r/>
            <w:r>
              <w:rPr>
                <w:sz w:val="18"/>
              </w:rPr>
              <w:t>2019</w:t>
            </w:r>
          </w:p>
        </w:tc>
        <w:tc>
          <w:tcPr>
            <w:tcW w:type="dxa" w:w="4176"/>
          </w:tcPr>
          <w:p>
            <w:pPr>
              <w:spacing w:after="40"/>
            </w:pPr>
            <w:r/>
            <w:r>
              <w:rPr>
                <w:sz w:val="18"/>
              </w:rPr>
              <w:t>CMU interface device exposing a link test and a current fault list</w:t>
            </w:r>
          </w:p>
        </w:tc>
      </w:tr>
      <w:tr>
        <w:tc>
          <w:tcPr>
            <w:tcW w:type="dxa" w:w="432"/>
          </w:tcPr>
          <w:p>
            <w:pPr>
              <w:spacing w:after="40"/>
            </w:pPr>
            <w:r/>
            <w:r>
              <w:rPr>
                <w:sz w:val="18"/>
              </w:rPr>
              <w:t>12</w:t>
            </w:r>
          </w:p>
        </w:tc>
        <w:tc>
          <w:tcPr>
            <w:tcW w:type="dxa" w:w="3384"/>
          </w:tcPr>
          <w:p>
            <w:pPr>
              <w:spacing w:after="40"/>
            </w:pPr>
            <w:r/>
            <w:r>
              <w:rPr>
                <w:sz w:val="18"/>
              </w:rPr>
              <w:t>US 10,971,155 B2 / US 8,305,208 B2</w:t>
            </w:r>
          </w:p>
        </w:tc>
        <w:tc>
          <w:tcPr>
            <w:tcW w:type="dxa" w:w="1656"/>
          </w:tcPr>
          <w:p>
            <w:pPr>
              <w:spacing w:after="40"/>
            </w:pPr>
            <w:r/>
            <w:r>
              <w:rPr>
                <w:sz w:val="18"/>
              </w:rPr>
              <w:t>Honeywell</w:t>
            </w:r>
          </w:p>
        </w:tc>
        <w:tc>
          <w:tcPr>
            <w:tcW w:type="dxa" w:w="1368"/>
          </w:tcPr>
          <w:p>
            <w:pPr>
              <w:spacing w:after="40"/>
            </w:pPr>
            <w:r/>
            <w:r>
              <w:rPr>
                <w:sz w:val="18"/>
              </w:rPr>
              <w:t>2021 / granted</w:t>
            </w:r>
          </w:p>
        </w:tc>
        <w:tc>
          <w:tcPr>
            <w:tcW w:type="dxa" w:w="4176"/>
          </w:tcPr>
          <w:p>
            <w:pPr>
              <w:spacing w:after="40"/>
            </w:pPr>
            <w:r/>
            <w:r>
              <w:rPr>
                <w:sz w:val="18"/>
              </w:rPr>
              <w:t>Monitoring expected crew callouts and prompting responses to uplink messages</w:t>
            </w:r>
          </w:p>
        </w:tc>
      </w:tr>
      <w:tr>
        <w:tc>
          <w:tcPr>
            <w:tcW w:type="dxa" w:w="432"/>
          </w:tcPr>
          <w:p>
            <w:pPr>
              <w:spacing w:after="40"/>
            </w:pPr>
            <w:r/>
            <w:r>
              <w:rPr>
                <w:sz w:val="18"/>
              </w:rPr>
              <w:t>13</w:t>
            </w:r>
          </w:p>
        </w:tc>
        <w:tc>
          <w:tcPr>
            <w:tcW w:type="dxa" w:w="3384"/>
          </w:tcPr>
          <w:p>
            <w:pPr>
              <w:spacing w:after="40"/>
            </w:pPr>
            <w:r/>
            <w:r>
              <w:rPr>
                <w:sz w:val="18"/>
              </w:rPr>
              <w:t>US 2024/0086595 A1</w:t>
            </w:r>
          </w:p>
        </w:tc>
        <w:tc>
          <w:tcPr>
            <w:tcW w:type="dxa" w:w="1656"/>
          </w:tcPr>
          <w:p>
            <w:pPr>
              <w:spacing w:after="40"/>
            </w:pPr>
            <w:r/>
            <w:r>
              <w:rPr>
                <w:sz w:val="18"/>
              </w:rPr>
              <w:t>n/a</w:t>
            </w:r>
          </w:p>
        </w:tc>
        <w:tc>
          <w:tcPr>
            <w:tcW w:type="dxa" w:w="1368"/>
          </w:tcPr>
          <w:p>
            <w:pPr>
              <w:spacing w:after="40"/>
            </w:pPr>
            <w:r/>
            <w:r>
              <w:rPr>
                <w:sz w:val="18"/>
              </w:rPr>
              <w:t>2024</w:t>
            </w:r>
          </w:p>
        </w:tc>
        <w:tc>
          <w:tcPr>
            <w:tcW w:type="dxa" w:w="4176"/>
          </w:tcPr>
          <w:p>
            <w:pPr>
              <w:spacing w:after="40"/>
            </w:pPr>
            <w:r/>
            <w:r>
              <w:rPr>
                <w:sz w:val="18"/>
              </w:rPr>
              <w:t>Digital-twin synchronisation using a surrogate model and in-service data to determine impending faults</w:t>
            </w:r>
          </w:p>
        </w:tc>
      </w:tr>
      <w:tr>
        <w:tc>
          <w:tcPr>
            <w:tcW w:type="dxa" w:w="432"/>
          </w:tcPr>
          <w:p>
            <w:pPr>
              <w:spacing w:after="40"/>
            </w:pPr>
            <w:r/>
            <w:r>
              <w:rPr>
                <w:sz w:val="18"/>
              </w:rPr>
              <w:t>14</w:t>
            </w:r>
          </w:p>
        </w:tc>
        <w:tc>
          <w:tcPr>
            <w:tcW w:type="dxa" w:w="3384"/>
          </w:tcPr>
          <w:p>
            <w:pPr>
              <w:spacing w:after="40"/>
            </w:pPr>
            <w:r/>
            <w:r>
              <w:rPr>
                <w:sz w:val="18"/>
              </w:rPr>
              <w:t>US 11,488,063 B2</w:t>
            </w:r>
          </w:p>
        </w:tc>
        <w:tc>
          <w:tcPr>
            <w:tcW w:type="dxa" w:w="1656"/>
          </w:tcPr>
          <w:p>
            <w:pPr>
              <w:spacing w:after="40"/>
            </w:pPr>
            <w:r/>
            <w:r>
              <w:rPr>
                <w:sz w:val="18"/>
              </w:rPr>
              <w:t>Honeywell</w:t>
            </w:r>
          </w:p>
        </w:tc>
        <w:tc>
          <w:tcPr>
            <w:tcW w:type="dxa" w:w="1368"/>
          </w:tcPr>
          <w:p>
            <w:pPr>
              <w:spacing w:after="40"/>
            </w:pPr>
            <w:r/>
            <w:r>
              <w:rPr>
                <w:sz w:val="18"/>
              </w:rPr>
              <w:t>2019</w:t>
            </w:r>
          </w:p>
        </w:tc>
        <w:tc>
          <w:tcPr>
            <w:tcW w:type="dxa" w:w="4176"/>
          </w:tcPr>
          <w:p>
            <w:pPr>
              <w:spacing w:after="40"/>
            </w:pPr>
            <w:r/>
            <w:r>
              <w:rPr>
                <w:sz w:val="18"/>
              </w:rPr>
              <w:t>Cloud-trained machine-learning models served to connected avionics</w:t>
            </w:r>
          </w:p>
        </w:tc>
      </w:tr>
      <w:tr>
        <w:tc>
          <w:tcPr>
            <w:tcW w:type="dxa" w:w="432"/>
          </w:tcPr>
          <w:p>
            <w:pPr>
              <w:spacing w:after="40"/>
            </w:pPr>
            <w:r/>
            <w:r>
              <w:rPr>
                <w:sz w:val="18"/>
              </w:rPr>
              <w:t>15</w:t>
            </w:r>
          </w:p>
        </w:tc>
        <w:tc>
          <w:tcPr>
            <w:tcW w:type="dxa" w:w="3384"/>
          </w:tcPr>
          <w:p>
            <w:pPr>
              <w:spacing w:after="40"/>
            </w:pPr>
            <w:r/>
            <w:r>
              <w:rPr>
                <w:sz w:val="18"/>
              </w:rPr>
              <w:t>US 2020/0167677 A1</w:t>
            </w:r>
          </w:p>
        </w:tc>
        <w:tc>
          <w:tcPr>
            <w:tcW w:type="dxa" w:w="1656"/>
          </w:tcPr>
          <w:p>
            <w:pPr>
              <w:spacing w:after="40"/>
            </w:pPr>
            <w:r/>
            <w:r>
              <w:rPr>
                <w:sz w:val="18"/>
              </w:rPr>
              <w:t>IBM</w:t>
            </w:r>
          </w:p>
        </w:tc>
        <w:tc>
          <w:tcPr>
            <w:tcW w:type="dxa" w:w="1368"/>
          </w:tcPr>
          <w:p>
            <w:pPr>
              <w:spacing w:after="40"/>
            </w:pPr>
            <w:r/>
            <w:r>
              <w:rPr>
                <w:sz w:val="18"/>
              </w:rPr>
              <w:t>2020</w:t>
            </w:r>
          </w:p>
        </w:tc>
        <w:tc>
          <w:tcPr>
            <w:tcW w:type="dxa" w:w="4176"/>
          </w:tcPr>
          <w:p>
            <w:pPr>
              <w:spacing w:after="40"/>
            </w:pPr>
            <w:r/>
            <w:r>
              <w:rPr>
                <w:sz w:val="18"/>
              </w:rPr>
              <w:t>Surrogate-model explanations of neural networks — blocks generic explainability claims</w:t>
            </w:r>
          </w:p>
        </w:tc>
      </w:tr>
    </w:tbl>
    <w:p>
      <w:pPr>
        <w:spacing w:after="40"/>
      </w:pPr>
    </w:p>
    <w:p>
      <w:pPr>
        <w:pStyle w:val="Heading1"/>
      </w:pPr>
      <w:r>
        <w:t>Appendix B — Non-patent prior art to acknowledge</w:t>
      </w:r>
    </w:p>
    <w:p>
      <w:pPr>
        <w:pStyle w:val="ListBullet"/>
      </w:pPr>
      <w:r>
        <w:t>ICAO Doc 9869 — PBCS manual: defines ACTP, PORT, ACP, ASP, RCP 240 and RSP 180.</w:t>
      </w:r>
    </w:p>
    <w:p>
      <w:pPr>
        <w:pStyle w:val="ListBullet"/>
      </w:pPr>
      <w:r>
        <w:t>EUROCONTROL Datalink Performance Monitoring Function reports and dashboards.</w:t>
      </w:r>
    </w:p>
    <w:p>
      <w:pPr>
        <w:pStyle w:val="ListBullet"/>
      </w:pPr>
      <w:r>
        <w:t>DO-178C, DO-254, DO-330 and ARP4754A — the assurance standards whose requirement baselines are the ground truth of this invention.</w:t>
      </w:r>
    </w:p>
    <w:p>
      <w:pPr>
        <w:pStyle w:val="ListBullet"/>
      </w:pPr>
      <w:r>
        <w:t>RTLola / Volocopter, "Monitoring Unmanned Aircraft: Specification, Integration, and Lessons-Learned" (arXiv 2404.12035, 2024).</w:t>
      </w:r>
    </w:p>
    <w:p>
      <w:pPr>
        <w:pStyle w:val="ListBullet"/>
      </w:pPr>
      <w:r>
        <w:t>Three-valued runtime verification of spoken ATC operational procedures (2026).</w:t>
      </w:r>
    </w:p>
    <w:p>
      <w:pPr>
        <w:pStyle w:val="ListBullet"/>
      </w:pPr>
      <w:r>
        <w:t>"A Verification Framework for Certifying Learning-Based Safety-Critical Aviation Systems" (arXiv 2205.04590).</w:t>
      </w:r>
    </w:p>
    <w:p>
      <w:pPr>
        <w:pStyle w:val="ListBullet"/>
      </w:pPr>
      <w:r>
        <w:t>EASA CoDANN I and II concept papers; RTCA SC-240 and SC-228.</w:t>
      </w:r>
    </w:p>
    <w:p>
      <w:pPr>
        <w:pStyle w:val="ListBullet"/>
      </w:pPr>
      <w:r>
        <w:t>NASA NTRS 20210019093 and 20210025705 on certification and design assurance of machine-learning airborne systems.</w:t>
      </w:r>
    </w:p>
    <w:p>
      <w:pPr>
        <w:pStyle w:val="ListBullet"/>
      </w:pPr>
      <w:r>
        <w:t>Simplex architecture literature: Sha et al. (2001); Neural Simplex Architecture (arXiv 1908.00528); NASA DASC 2024 runtime-assurance verification framework.</w:t>
      </w:r>
    </w:p>
    <w:p>
      <w:pPr>
        <w:pStyle w:val="ListBullet"/>
      </w:pPr>
      <w:r>
        <w:t>Commercial DO-178C tooling and lifecycle platforms: LDRA, VectorCAST, Parasoft, MathWorks DO Qualification Kit, Ketryx, Visure, Polarion.</w:t>
      </w:r>
    </w:p>
    <w:p/>
    <w:p>
      <w:pPr>
        <w:jc w:val="center"/>
      </w:pPr>
      <w:r>
        <w:rPr>
          <w:i/>
          <w:sz w:val="17"/>
        </w:rPr>
        <w:t>Engineering input only. Not a legal opinion. Verify all references, dates and legal status with counsel before filing.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355"/>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335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3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