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355"/>
          <w:sz w:val="38"/>
        </w:rPr>
        <w:t>PATENT-WORTHY INVENTION DISCLOSURE</w:t>
      </w:r>
    </w:p>
    <w:p>
      <w:pPr>
        <w:jc w:val="center"/>
      </w:pPr>
      <w:r>
        <w:rPr>
          <w:b/>
          <w:sz w:val="26"/>
        </w:rPr>
        <w:t>Datalink AI — Certification-Grade Datalink Attribution Platform (CG-DAP)</w:t>
      </w:r>
    </w:p>
    <w:p>
      <w:pPr>
        <w:jc w:val="center"/>
      </w:pPr>
      <w:r>
        <w:rPr>
          <w:i/>
          <w:sz w:val="19"/>
        </w:rPr>
        <w:t>Prepared after a prior-art review of 44 patent documents and 10 non-patent references</w:t>
        <w:br/>
        <w:t>Date of review: 8 October 2026   |   Status: engineering input for patent counsel</w:t>
      </w:r>
    </w:p>
    <w:p>
      <w:pPr>
        <w:pStyle w:val="Heading1"/>
      </w:pPr>
      <w:r>
        <w:t>1. Basis of this document</w:t>
      </w:r>
    </w:p>
    <w:p>
      <w:r>
        <w:rPr>
          <w:b w:val="0"/>
          <w:i w:val="0"/>
        </w:rPr>
        <w:t>The original proposal was: run datalink infrastructure on a ground server, ingest live CMU/datalink data, find issues, and characterise datalink performance — latency, network issues, OS issues and pilot actions — supported by explainable AI, hybrid deterministic + AI processing, self-learning interference/threat models, and validation and verification toolchains for DO-178C / DO-254 environments.</w:t>
      </w:r>
    </w:p>
    <w:p>
      <w:r>
        <w:rPr>
          <w:b w:val="0"/>
          <w:i w:val="0"/>
        </w:rPr>
        <w:t>A structured prior-art search was then performed (Google Patents including its structured query endpoint, Justia Patents, and public academic and industry literature). 44 patent documents and 10 non-patent references were collected and assessed element by element.</w:t>
      </w:r>
    </w:p>
    <w:p>
      <w:r>
        <w:rPr>
          <w:b w:val="0"/>
          <w:i w:val="0"/>
        </w:rPr>
        <w:t>Finding: the proposal as originally framed is approximately 60–70% anticipated. The single most damaging reference is US 2025/0260475 A1 "Systems and methods for aircraft datalink performance monitoring" (Satcom Direct LLC; priority 9 February 2024; published 14 August 2025; pending), which already claims ground-side real-time monitoring of CPDLC and ADS-C message exchanges, per-leg transmission and receipt timestamps, comparison against the mandated PBCS benchmarks (RCP 240 / RSP 180), identification of the transmission step that is the greatest cause of delay, NOC alerting, datalink reconfiguration, and pilot operational response time (PORT).</w:t>
      </w:r>
    </w:p>
    <w:p>
      <w:r>
        <w:rPr>
          <w:b/>
          <w:i w:val="0"/>
        </w:rPr>
        <w:t>This document therefore does two things: it states plainly what can no longer be claimed, and it defines the invention that remains — one lead invention, one strategic invention, and one portfolio invention — in enough detail to be filed.</w:t>
      </w:r>
    </w:p>
    <w:p>
      <w:pPr>
        <w:pStyle w:val="Heading1"/>
      </w:pPr>
      <w:r>
        <w:t>2. What can no longer be claimed (do not spend filing budget here)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744"/>
            <w:shd w:fill="DCE6F1"/>
          </w:tcPr>
          <w:p>
            <w:r/>
            <w:r>
              <w:rPr>
                <w:b/>
                <w:sz w:val="19"/>
              </w:rPr>
              <w:t>Proposed element</w:t>
            </w:r>
          </w:p>
        </w:tc>
        <w:tc>
          <w:tcPr>
            <w:tcW w:type="dxa" w:w="4176"/>
            <w:shd w:fill="DCE6F1"/>
          </w:tcPr>
          <w:p>
            <w:r/>
            <w:r>
              <w:rPr>
                <w:b/>
                <w:sz w:val="19"/>
              </w:rPr>
              <w:t>Anticipated by</w:t>
            </w:r>
          </w:p>
        </w:tc>
        <w:tc>
          <w:tcPr>
            <w:tcW w:type="dxa" w:w="2304"/>
            <w:shd w:fill="DCE6F1"/>
          </w:tcPr>
          <w:p>
            <w:r/>
            <w:r>
              <w:rPr>
                <w:b/>
                <w:sz w:val="19"/>
              </w:rPr>
              <w:t>Verdict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Ground server ingesting live datalink data, dashboard, alerting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US2025/0260475A1; EP2040392B1; US9321542B2; US7612716B2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Not claimable — anticipated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End-to-end latency measured against a threshold or mandated benchmark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US2025/0260475A1; US8045977B2 / US8200213B2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Not claimable — benchmarks are public standards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Attribution of delay to a network hop / transmission step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US2025/0260475A1 (explicit claim limitation)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Not claimable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Monitoring or prompting a pilot response to a datalink message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US8305208B2; US10971155B2; US2025/0260475A1 (PORT)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Not claimable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"Verify integrity of AI output, then pass it to a certified system"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US10839401B2 / US2018/0211261A1 (Honeywell); EP3651022A1 (GE Aviation)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Not claimable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Explaining a black-box AI decision with a surrogate model (generic XAI)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US2020/0167677A1 (IBM)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Not claimable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Hybrid deterministic core + AI fallback architecture (Simplex-style)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Simplex/RTA literature (Sha 2001 onward); US2023/0176577A1 (NVIDIA)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Not claimable as architecture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19"/>
              </w:rPr>
              <w:t>Cloud-trained ML models served to avionics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US11488063B2 (Honeywell); US12149560B2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Not claimable broadly</w:t>
            </w:r>
          </w:p>
        </w:tc>
      </w:tr>
    </w:tbl>
    <w:p>
      <w:pPr>
        <w:spacing w:after="40"/>
      </w:pPr>
    </w:p>
    <w:p>
      <w:pPr>
        <w:pStyle w:val="Heading1"/>
      </w:pPr>
      <w:r>
        <w:t>3. The patent-worthy idea (single statement)</w:t>
      </w:r>
    </w:p>
    <w:p>
      <w:pPr>
        <w:ind w:left="288"/>
      </w:pPr>
      <w:r>
        <w:rPr>
          <w:b/>
          <w:sz w:val="23"/>
        </w:rPr>
        <w:t>A ground-based datalink diagnostic platform that resolves a three-way observational confound — ground network versus air-ground link versus aircraft host platform — into one attributed root cause by time-aligning per-leg datalink transaction timing against aircraft host-platform scheduling telemetry under a bounded clock-offset uncertainty, and that makes the attribution admissible as certification evidence by emitting a hash-chained attribution record and deterministically re-executing the attribution to reproduce an identical result.</w:t>
      </w:r>
    </w:p>
    <w:p>
      <w:r>
        <w:rPr>
          <w:b/>
          <w:i w:val="0"/>
        </w:rPr>
        <w:t>Why this survives the prior art:</w:t>
      </w:r>
    </w:p>
    <w:p>
      <w:pPr>
        <w:pStyle w:val="ListBullet"/>
      </w:pPr>
      <w:r>
        <w:rPr>
          <w:b/>
        </w:rPr>
        <w:t xml:space="preserve">It solves a real technical problem, not a business one. </w:t>
      </w:r>
      <w:r>
        <w:t>Ground congestion, link degradation and an aircraft host-platform stall (partition overrun, comms-application resource starvation, data-link stack or driver fault) all present identically as increased transaction time. Existing monitors observe only the network side, so they misattribute platform faults to the network.</w:t>
      </w:r>
    </w:p>
    <w:p>
      <w:pPr>
        <w:pStyle w:val="ListBullet"/>
      </w:pPr>
      <w:r>
        <w:rPr>
          <w:b/>
        </w:rPr>
        <w:t xml:space="preserve">It is a specific mechanism, not an aim. </w:t>
      </w:r>
      <w:r>
        <w:t>The claimed subject matter is a correlation and disambiguation procedure with an explicit resolvability condition and a replayable record — not "use AI to find datalink issues".</w:t>
      </w:r>
    </w:p>
    <w:p>
      <w:pPr>
        <w:pStyle w:val="ListBullet"/>
      </w:pPr>
      <w:r>
        <w:rPr>
          <w:b/>
        </w:rPr>
        <w:t xml:space="preserve">It improves the operation of the network. </w:t>
      </w:r>
      <w:r>
        <w:t>The attribution selects the remediation: a network cause triggers link reconfiguration; a platform cause triggers a maintenance action instead of an unnecessary and disruptive link switch. This is the kind of technical improvement that supports patent eligibility.</w:t>
      </w:r>
    </w:p>
    <w:p>
      <w:pPr>
        <w:pStyle w:val="ListBullet"/>
      </w:pPr>
      <w:r>
        <w:rPr>
          <w:b/>
        </w:rPr>
        <w:t>Nothing found in the prior art attributes a datalink symptom to the aircraft's own platform, and nothing found makes a monitoring output deterministically replayable for audit.</w:t>
      </w:r>
      <w:r/>
    </w:p>
    <w:p>
      <w:pPr>
        <w:pStyle w:val="Heading1"/>
      </w:pPr>
      <w:r>
        <w:t>4. Invention 1 (LEAD) — Cross-domain causal disambiguation with deterministic audit replay</w:t>
      </w:r>
    </w:p>
    <w:p>
      <w:r>
        <w:rPr>
          <w:b w:val="0"/>
          <w:i/>
        </w:rPr>
        <w:t>Working title: Datalink Root-Cause Disambiguation Engine (DRDE)</w:t>
      </w:r>
    </w:p>
    <w:p>
      <w:pPr>
        <w:pStyle w:val="Heading2"/>
      </w:pPr>
      <w:r>
        <w:t>4.1 Technical problem</w:t>
      </w:r>
    </w:p>
    <w:p>
      <w:r>
        <w:rPr>
          <w:b w:val="0"/>
          <w:i w:val="0"/>
        </w:rPr>
        <w:t>For a single datalink transaction, the ground network, the air-ground link and the aircraft host platform are observationally confounded: all three produce the same symptom (a slow or failed transaction). State-of-the-art ground monitoring decomposes the transaction into transmission steps and blames the slowest step — a network artifact. Consequently a platform defect (for example an avionics partition overrun during which the CMU cannot service its transmit queue) is reported as, and remediated as, a network problem, and recurs indefinitely.</w:t>
      </w:r>
    </w:p>
    <w:p>
      <w:pPr>
        <w:pStyle w:val="Heading2"/>
      </w:pPr>
      <w:r>
        <w:t>4.2 Inventive mechanism (the limitations that carry the claim)</w:t>
      </w:r>
    </w:p>
    <w:p>
      <w:pPr>
        <w:pStyle w:val="ListNumber"/>
      </w:pPr>
      <w:r>
        <w:t>Per-transaction delay budget: every leg of the transaction is timestamped (uplink send, ground-station receive, network transit, air-ground link, aircraft receipt, application handling, downlink send, ground receipt) and the measured end-to-end time is allocated across the legs.</w:t>
      </w:r>
    </w:p>
    <w:p>
      <w:pPr>
        <w:pStyle w:val="ListNumber"/>
      </w:pPr>
      <w:r>
        <w:t>Simultaneous host-platform telemetry: for the same aircraft and the same time window, the system acquires aircraft host-platform telemetry through a read-only, non-interfering collection path — partition execution and scheduling statistics of the avionics operating system, processor/memory/queue pressure of the communications application, data-link stack and device-driver error counters, and interface (bus/Ethernet) statistics.</w:t>
      </w:r>
    </w:p>
    <w:p>
      <w:pPr>
        <w:pStyle w:val="ListNumber"/>
      </w:pPr>
      <w:r>
        <w:t>Bounded clock discipline and a resolvability condition: the aircraft-to-ground clock offset is estimated per flight leg and a bound on its uncertainty is propagated. Attribution for a transaction is permitted only when the transaction dwell interval remains distinguishable from the telemetry sampling interval given that bound; otherwise the system outputs an INDETERMINATE cause rather than a guess. (This constraint is deliberately conservative and is the reason the output is usable as evidence.)</w:t>
      </w:r>
    </w:p>
    <w:p>
      <w:pPr>
        <w:pStyle w:val="ListNumber"/>
      </w:pPr>
      <w:r>
        <w:t>Asymmetric-evidence resolution rule: a platform hypothesis is selected only when a host-platform stall interval overlaps the transaction dwell interval by more than a threshold AND the ground and link legs are within their own per-aircraft baselines; a network hypothesis requires the platform telemetry to be clean across the interval. Requiring both a positive platform indication and a negative network indication — rather than ranking contributions — is the core inventive step.</w:t>
      </w:r>
    </w:p>
    <w:p>
      <w:pPr>
        <w:pStyle w:val="ListNumber"/>
      </w:pPr>
      <w:r>
        <w:t>Per-tail latency fingerprint: a deterministic baseline per aircraft (software load, CMU/ATSU part number, modem type, subscription, route and time-of-day) built from that aircraft's own historical transactions, so the comparison is against the tail's baseline rather than a fleet average. This removes any need for a trained model to achieve attribution, which is what allows the result to be reproduced exactly.</w:t>
      </w:r>
    </w:p>
    <w:p>
      <w:pPr>
        <w:pStyle w:val="ListNumber"/>
      </w:pPr>
      <w:r>
        <w:t>Hash-chained attribution record and deterministic replay: the record contains the delay budget, the correlated telemetry samples, the clock-offset bound, the rule path taken, the declared cause and a content hash over all inputs; each record is chained to its predecessor; and the engine can re-execute the attribution from the stored record and inputs to reproduce an identical result, marking the record verified for audit only when the re-execution matches.</w:t>
      </w:r>
    </w:p>
    <w:p>
      <w:pPr>
        <w:pStyle w:val="ListNumber"/>
      </w:pPr>
      <w:r>
        <w:t>Domain-selected remediation: an alert, a datalink reconfiguration command (terrestrial VHF to satellite or vice versa), or a maintenance action, selected according to the attributed domain.</w:t>
      </w:r>
    </w:p>
    <w:p>
      <w:pPr>
        <w:pStyle w:val="Heading2"/>
      </w:pPr>
      <w:r>
        <w:t>4.3 Why this is novel and not obvious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592"/>
            <w:shd w:fill="DCE6F1"/>
          </w:tcPr>
          <w:p>
            <w:r/>
            <w:r>
              <w:rPr>
                <w:b/>
                <w:sz w:val="19"/>
              </w:rPr>
              <w:t>Closest reference</w:t>
            </w:r>
          </w:p>
        </w:tc>
        <w:tc>
          <w:tcPr>
            <w:tcW w:type="dxa" w:w="4896"/>
            <w:shd w:fill="DCE6F1"/>
          </w:tcPr>
          <w:p>
            <w:r/>
            <w:r>
              <w:rPr>
                <w:b/>
                <w:sz w:val="19"/>
              </w:rPr>
              <w:t>What it discloses</w:t>
            </w:r>
          </w:p>
        </w:tc>
        <w:tc>
          <w:tcPr>
            <w:tcW w:type="dxa" w:w="2736"/>
            <w:shd w:fill="DCE6F1"/>
          </w:tcPr>
          <w:p>
            <w:r/>
            <w:r>
              <w:rPr>
                <w:b/>
                <w:sz w:val="19"/>
              </w:rPr>
              <w:t>What it does not have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  <w:t>US2025/0260475A1 (Satcom Direct)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Real-time ground monitoring of CPDLC/ADS-C; per-step timestamps; benchmark comparison; greatest-delay step; NOC alert; link reconfiguration; PORT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No aircraft host-platform telemetry; no clock-offset uncertainty bound; no resolvability/indeterminate output; no deterministic replay; remediation is always network-side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  <w:t>US8045977B2 / US8200213B2 (Honeywell)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Measures round-trip time and channel occupancy in a CMU; delays low-priority messages under congestion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No multi-domain attribution; remedy is message prioritisation only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  <w:t>US11150885B2 (Transportation IP); BR102012028497A2 (GE)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Remote software management and integrity-data aggregation across subsystems that include a CMU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No correlation of platform state to link-level latency symptoms; no attribution at all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  <w:t>US9321542B2 (aircraft diagnostics)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Fleet-wide ground learning of non-predetermined troubleshooting procedures, redistributed to aircraft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No per-transaction causal attribution; no replay; no bounded-uncertainty decision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Non-obviousness rests on the counter-intuitive step: given recurring datalink slowness, the natural engineering response is to measure the network harder (more probes, more hops, more granular thresholds). This invention instead introduces a second, unrelated telemetry domain and a condition that restricts when an answer may be given at all. A skilled person optimising an existing network monitor would not arrive at a host-platform stall-overlap test, nor at deliberately declining to answer.</w:t>
      </w:r>
    </w:p>
    <w:p>
      <w:pPr>
        <w:pStyle w:val="Heading2"/>
      </w:pPr>
      <w:r>
        <w:t>4.4 Detailed embodiment (enablement notes)</w:t>
      </w:r>
    </w:p>
    <w:p>
      <w:pPr>
        <w:pStyle w:val="ListBullet"/>
      </w:pPr>
      <w:r>
        <w:rPr>
          <w:b/>
        </w:rPr>
        <w:t xml:space="preserve">Transaction sources: </w:t>
      </w:r>
      <w:r>
        <w:t>CMU/ATSU transaction records for ACARS, CPDLC and ADS-C obtained from ground service provider feeds, together with ground-station and network telemetry from CSP/ANSP interfaces.</w:t>
      </w:r>
    </w:p>
    <w:p>
      <w:pPr>
        <w:pStyle w:val="ListBullet"/>
      </w:pPr>
      <w:r>
        <w:rPr>
          <w:b/>
        </w:rPr>
        <w:t xml:space="preserve">Aircraft telemetry: </w:t>
      </w:r>
      <w:r>
        <w:t>read-only collection from the communications LRU or through an aircraft interface device; no write access to any certified function — a deliberate design choice that keeps the airborne side unchanged and therefore certifiable.</w:t>
      </w:r>
    </w:p>
    <w:p>
      <w:pPr>
        <w:pStyle w:val="ListBullet"/>
      </w:pPr>
      <w:r>
        <w:rPr>
          <w:b/>
        </w:rPr>
        <w:t xml:space="preserve">Time reference: </w:t>
      </w:r>
      <w:r>
        <w:t>GNSS-disciplined ground clocks; offset estimation by round-trip timing messages with the aircraft; per-leg offset and drift state maintained with an uncertainty bound.</w:t>
      </w:r>
    </w:p>
    <w:p>
      <w:pPr>
        <w:pStyle w:val="ListBullet"/>
      </w:pPr>
      <w:r>
        <w:rPr>
          <w:b/>
        </w:rPr>
        <w:t xml:space="preserve">Compute: </w:t>
      </w:r>
      <w:r>
        <w:t>a stream processor for delay budgets; a per-tail fingerprint store; a rule engine executing the asymmetric-evidence rules; an append-only hash-chained ledger; a replay service that re-executes an attribution from a stored record.</w:t>
      </w:r>
    </w:p>
    <w:p>
      <w:pPr>
        <w:pStyle w:val="ListBullet"/>
      </w:pPr>
      <w:r>
        <w:rPr>
          <w:b/>
        </w:rPr>
        <w:t xml:space="preserve">Outputs: </w:t>
      </w:r>
      <w:r>
        <w:t>attribution record (JSON), operator view linking symptom to cause and evidence, remediation command or maintenance work order, and an evidence bundle for compliance or certification submissions.</w:t>
      </w:r>
    </w:p>
    <w:p>
      <w:pPr>
        <w:pStyle w:val="Heading2"/>
      </w:pPr>
      <w:r>
        <w:t>4.5 Draft claim 1 (system)</w:t>
      </w:r>
    </w:p>
    <w:p>
      <w:pPr>
        <w:spacing w:after="160"/>
        <w:ind w:left="403"/>
        <w:pBdr>
          <w:left w:val="single" w:sz="18" w:space="6" w:color="1F3355"/>
        </w:pBdr>
      </w:pPr>
      <w:r>
        <w:rPr>
          <w:b/>
        </w:rPr>
        <w:t xml:space="preserve">1. </w:t>
      </w:r>
      <w:r>
        <w:rPr>
          <w:sz w:val="20"/>
        </w:rPr>
        <w:t>A datalink diagnostic system comprising at least one ground-based server having a processor and memory storing instructions that, when executed, cause the system to: receive a stream of aircraft datalink transaction records, each record identifying a transaction between a ground station and an aircraft communication management unit and comprising per-leg transmission and reception timestamps; receive aircraft host-platform telemetry for the aircraft associated with the transaction, the telemetry comprising at least one of partition scheduling statistics of an avionics operating system, resource utilisation of a communications application, data-link stack error counters, or device-driver fault records; compute a transaction delay budget by allocating measured delay to each leg of the transaction; estimate a clock offset between the aircraft and the ground-based server for a flight leg and propagate an uncertainty bound of the clock offset; determine, from the uncertainty bound, that a dwell interval of the transaction is resolvable against a sampling interval of the host-platform telemetry, and in response to a determination that the dwell interval is not resolvable, record an indeterminate cause without attributing the delay; in response to a determination that the dwell interval is resolvable, correlate the host-platform telemetry with the delay budget over a time window aligned to the transaction by a common time reference to determine an attribution selecting between a ground-network cause, an air-ground link cause and an aircraft host-platform cause, wherein the aircraft host-platform cause is selected only when a host-platform stall interval overlaps the dwell interval by more than a first threshold and the ground-network and air-ground link legs are within respective per-aircraft baselines, and the ground-network cause or the air-ground link cause is selected only when the host-platform telemetry indicates absence of a stall during the time window; generate an attribution record comprising the attribution, the correlated telemetry, the uncertainty bound, an indication of a rule path taken, and a content hash over inputs used to determine the attribution; chain the attribution record to a previously generated attribution record; re-execute the attribution from the stored attribution record and the content hash to produce a re-executed attribution, and mark the attribution record as verified for audit when the re-executed attribution matches the attribution; and cause at least one of an alert, a datalink reconfiguration command, or a maintenance action based on the attribution.</w:t>
      </w:r>
    </w:p>
    <w:p>
      <w:r>
        <w:rPr>
          <w:b/>
          <w:i w:val="0"/>
        </w:rPr>
        <w:t>Dependent claims to pursue:</w:t>
      </w:r>
    </w:p>
    <w:p>
      <w:pPr>
        <w:pStyle w:val="ListBullet"/>
      </w:pPr>
      <w:r>
        <w:t>The system of claim 1, wherein the per-aircraft baseline is a deterministic fingerprint computed from at least one of a software load identifier, a part number of the communication management unit, a modem type, a service subscription, a route and a time of day for the aircraft.</w:t>
      </w:r>
    </w:p>
    <w:p>
      <w:pPr>
        <w:pStyle w:val="ListBullet"/>
      </w:pPr>
      <w:r>
        <w:t>The system of claim 1, wherein the common time reference is established by exchanging timing messages with the communication management unit and computing a per-flight-leg offset and drift.</w:t>
      </w:r>
    </w:p>
    <w:p>
      <w:pPr>
        <w:pStyle w:val="ListBullet"/>
      </w:pPr>
      <w:r>
        <w:t>The system of claim 1, wherein the host-platform telemetry comprises partition timing of an ARINC-653-style partitioned operating system and the aircraft host-platform cause is selected when a partition overrun interval overlaps the dwell interval.</w:t>
      </w:r>
    </w:p>
    <w:p>
      <w:pPr>
        <w:pStyle w:val="ListBullet"/>
      </w:pPr>
      <w:r>
        <w:t>The system of claim 1, wherein the datalink reconfiguration command switches subsequent transactions from a terrestrial VHF subnetwork to a satellite subnetwork or from the satellite subnetwork to the terrestrial VHF subnetwork.</w:t>
      </w:r>
    </w:p>
    <w:p>
      <w:pPr>
        <w:pStyle w:val="ListBullet"/>
      </w:pPr>
      <w:r>
        <w:t>The system of claim 1, wherein the transaction is a CPDLC or ADS-C exchange and the delay budget is decomposed into a technical component and a pilot operational response component, and the attribution further distinguishes a human-origin delay from a host-platform-origin delay.</w:t>
      </w:r>
    </w:p>
    <w:p>
      <w:pPr>
        <w:pStyle w:val="ListBullet"/>
      </w:pPr>
      <w:r>
        <w:t>The system of claim 1, wherein the attribution record is chained by a cryptographic hash to form an append-only audit trail and the re-execution is performed by a third party from a supplied verification recipe.</w:t>
      </w:r>
    </w:p>
    <w:p>
      <w:pPr>
        <w:pStyle w:val="Heading1"/>
      </w:pPr>
      <w:r>
        <w:t>5. Invention 2 (STRATEGIC) — Certification admission controller with objective-mapped evidence ledger</w:t>
      </w:r>
    </w:p>
    <w:p>
      <w:r>
        <w:rPr>
          <w:b w:val="0"/>
          <w:i/>
        </w:rPr>
        <w:t>Working title: Certified AI Admission Controller (CAAC)</w:t>
      </w:r>
    </w:p>
    <w:p>
      <w:pPr>
        <w:pStyle w:val="Heading2"/>
      </w:pPr>
      <w:r>
        <w:t>5.1 Technical problem</w:t>
      </w:r>
    </w:p>
    <w:p>
      <w:r>
        <w:rPr>
          <w:b w:val="0"/>
          <w:i w:val="0"/>
        </w:rPr>
        <w:t>AI cannot enter a path that must satisfy DO-178C or DO-254 because its output is unbounded and cannot be traced to certification objectives, and because a system that changes behaviour at run time is difficult to qualify. The generic remedy — "verify the integrity of data from an unqualified system, then qualify it" — is already patented (US10839401B2, EP3651022A1), so the invention must lie in a different verification basis and in what the system produces.</w:t>
      </w:r>
    </w:p>
    <w:p>
      <w:pPr>
        <w:pStyle w:val="Heading2"/>
      </w:pPr>
      <w:r>
        <w:t>5.2 Inventive mechanism</w:t>
      </w:r>
    </w:p>
    <w:p>
      <w:pPr>
        <w:pStyle w:val="ListNumber"/>
      </w:pPr>
      <w:r>
        <w:t>Dual path: a deterministic diagnostic path computes the datalink fault classification from rules and thresholds and always operates; a separate advisory path computes a candidate diagnosis with a machine-learning model. The AI is never the sole source of an operational output.</w:t>
      </w:r>
    </w:p>
    <w:p>
      <w:pPr>
        <w:pStyle w:val="ListNumber"/>
      </w:pPr>
      <w:r>
        <w:t>A behavioural admission gate with three independent tests applied to the candidate diagnosis: an out-of-distribution score of the model input against a declared operational design domain; a calibrated uncertainty measure of the model output against a threshold; and a robustness perturbation test of the input. The gate is a statistical and behavioural test, not a comparison against a previously-qualified reference set.</w:t>
      </w:r>
    </w:p>
    <w:p>
      <w:pPr>
        <w:pStyle w:val="ListNumber"/>
      </w:pPr>
      <w:r>
        <w:t>Admission and rejection both recorded: when the gate passes, the AI diagnosis is admitted and tagged as AI-assisted with the deterministic result retained alongside it; when the gate fails, only the deterministic result is output and a rejection record is written. Rejections are treated as evidence of correct system behaviour, not as failures.</w:t>
      </w:r>
    </w:p>
    <w:p>
      <w:pPr>
        <w:pStyle w:val="ListNumber"/>
      </w:pPr>
      <w:r>
        <w:t>Evidence record: an append-only, tamper-evident record binding an identifier and hash of the model and version, a hash of the input window, the gate inputs and decision, an explanation artifact generated for the admitted diagnosis together with a fidelity score of that explanation against the model output, and an identifier of a certification objective of a software or hardware assurance standard to which the record is mapped.</w:t>
      </w:r>
    </w:p>
    <w:p>
      <w:pPr>
        <w:pStyle w:val="ListNumber"/>
      </w:pPr>
      <w:r>
        <w:t>Automated objective-by-objective bundle: on request, the system aggregates evidence records by objective identifier into a compliance matrix, together with a verification recipe that allows a third party to re-derive each record independently.</w:t>
      </w:r>
    </w:p>
    <w:p>
      <w:pPr>
        <w:pStyle w:val="Heading2"/>
      </w:pPr>
      <w:r>
        <w:t>5.3 Why this is novel</w:t>
      </w:r>
    </w:p>
    <w:p>
      <w:pPr>
        <w:pStyle w:val="ListBullet"/>
      </w:pPr>
      <w:r>
        <w:rPr>
          <w:b/>
        </w:rPr>
        <w:t xml:space="preserve">US10839401B2 / US2018/0211261A1 (Honeywell): </w:t>
      </w:r>
      <w:r>
        <w:t>claims verifying integrity of data from an unqualified system and providing qualified data to a qualified system — silent on how integrity is verified and produces no certification artifacts, gate rejections, or replay recipe.</w:t>
      </w:r>
    </w:p>
    <w:p>
      <w:pPr>
        <w:pStyle w:val="ListBullet"/>
      </w:pPr>
      <w:r>
        <w:rPr>
          <w:b/>
        </w:rPr>
        <w:t xml:space="preserve">EP3651022A1 / CN111176978A (GE Aviation Systems): </w:t>
      </w:r>
      <w:r>
        <w:t>verification by comparison against a previously-qualified set of communications — a reference-comparison scheme, not a statistical/behavioural admission test.</w:t>
      </w:r>
    </w:p>
    <w:p>
      <w:pPr>
        <w:pStyle w:val="ListBullet"/>
      </w:pPr>
      <w:r>
        <w:rPr>
          <w:b/>
        </w:rPr>
        <w:t xml:space="preserve">US11580009B2 (Northrop Grumman): </w:t>
      </w:r>
      <w:r>
        <w:t>evaluates code defect and acceptability for use within a certification framework, but does not address machine-learning model assurance or runtime admission of AI outputs.</w:t>
      </w:r>
    </w:p>
    <w:p>
      <w:pPr>
        <w:pStyle w:val="ListBullet"/>
      </w:pPr>
      <w:r>
        <w:rPr>
          <w:b/>
        </w:rPr>
        <w:t xml:space="preserve">US2020/0167677A1 (IBM): </w:t>
      </w:r>
      <w:r>
        <w:t>explains a neural network by training a surrogate and returning its decision path — it produces an explanation, not a certification artifact bound to an objective, and no admission decision.</w:t>
      </w:r>
    </w:p>
    <w:p>
      <w:pPr>
        <w:pStyle w:val="ListBullet"/>
      </w:pPr>
      <w:r>
        <w:rPr>
          <w:b/>
        </w:rPr>
        <w:t xml:space="preserve">Literature (EASA CoDANN I/II, NASA NTRS 20210019093/20210025705, AMLAS): </w:t>
      </w:r>
      <w:r>
        <w:t>describe assurance approaches but are not implemented as a system that admits or rejects an AI output at run time and emits objective-linked evidence.</w:t>
      </w:r>
    </w:p>
    <w:p>
      <w:pPr>
        <w:pStyle w:val="Heading2"/>
      </w:pPr>
      <w:r>
        <w:t>5.4 Draft claim 1 (method)</w:t>
      </w:r>
    </w:p>
    <w:p>
      <w:pPr>
        <w:spacing w:after="160"/>
        <w:ind w:left="403"/>
        <w:pBdr>
          <w:left w:val="single" w:sz="18" w:space="6" w:color="1F3355"/>
        </w:pBdr>
      </w:pPr>
      <w:r>
        <w:rPr>
          <w:b/>
        </w:rPr>
        <w:t xml:space="preserve">1. </w:t>
      </w:r>
      <w:r>
        <w:rPr>
          <w:sz w:val="20"/>
        </w:rPr>
        <w:t>A computer-implemented method of operating an AI-assisted diagnostic function for aircraft datalink, comprising: operating a deterministic diagnostic path that computes a fault classification from datalink transaction records using rules and thresholds without a machine-learning model; operating an advisory path in which a machine-learning model produces a candidate diagnosis for a transaction; applying an admission gate to the candidate diagnosis, the admission gate comprising an out-of-distribution score of an input of the model against a declared operational design domain, a calibrated uncertainty measure of an output of the model against an uncertainty threshold, and a robustness perturbation test of the input; admitting the candidate diagnosis to an operational output only when the admission gate passes, and otherwise outputting the fault classification from the deterministic diagnostic path and recording a gate rejection; writing an evidence record into an append-only store, the evidence record binding a model identifier and model version hash, a hash of an input window, the out-of-distribution score, the calibrated uncertainty measure, a result of the robustness perturbation test, the admission decision, an explanation artifact generated for the admitted candidate diagnosis and a fidelity score of the explanation artifact against the output of the model, and an identifier of a certification objective of a software or hardware assurance standard; and generating, on request, a certification evidence bundle comprising a plurality of evidence records aggregated by the identifier of the certification objective and a verification recipe configured to re-derive each of the plurality of evidence records.</w:t>
      </w:r>
    </w:p>
    <w:p>
      <w:r>
        <w:rPr>
          <w:b/>
          <w:i w:val="0"/>
        </w:rPr>
        <w:t>Dependent claims to pursue:</w:t>
      </w:r>
    </w:p>
    <w:p>
      <w:pPr>
        <w:pStyle w:val="ListBullet"/>
      </w:pPr>
      <w:r>
        <w:t>The method of claim 1, wherein the certification objective identifier maps to an objective of DO-178C, DO-254 or DO-330, and the bundle is formatted as an objective-by-objective compliance matrix.</w:t>
      </w:r>
    </w:p>
    <w:p>
      <w:pPr>
        <w:pStyle w:val="ListBullet"/>
      </w:pPr>
      <w:r>
        <w:t>The method of claim 1, wherein the explanation artifact is a surrogate-model decision path and the fidelity score is stored in the evidence record.</w:t>
      </w:r>
    </w:p>
    <w:p>
      <w:pPr>
        <w:pStyle w:val="ListBullet"/>
      </w:pPr>
      <w:r>
        <w:t>The method of claim 1, further comprising executing a tool-qualification regression against the admission gate and including a result of the regression in the bundle.</w:t>
      </w:r>
    </w:p>
    <w:p>
      <w:pPr>
        <w:pStyle w:val="ListBullet"/>
      </w:pPr>
      <w:r>
        <w:t>The method of claim 1, wherein the append-only store is hash-chained, and the verification recipe enables a third party to reproduce each evidence record and each admission decision.</w:t>
      </w:r>
    </w:p>
    <w:p>
      <w:pPr>
        <w:pStyle w:val="ListBullet"/>
      </w:pPr>
      <w:r>
        <w:t>The method of claim 1, wherein the deterministic diagnostic path is unchanged by the machine-learning model, such that the deterministic diagnostic path remains independent of the model for a design-assurance demonstration.</w:t>
      </w:r>
    </w:p>
    <w:p>
      <w:pPr>
        <w:pStyle w:val="Heading1"/>
      </w:pPr>
      <w:r>
        <w:t>6. Invention 3 (PORTFOLIO) — Safety-gated ground-learned advisory threat models</w:t>
      </w:r>
    </w:p>
    <w:p>
      <w:r>
        <w:rPr>
          <w:b w:val="0"/>
          <w:i/>
        </w:rPr>
        <w:t>Working title: Gated Advisory Threat Model Distribution (GATMD)</w:t>
      </w:r>
    </w:p>
    <w:p>
      <w:pPr>
        <w:pStyle w:val="Heading2"/>
      </w:pPr>
      <w:r>
        <w:t>6.1 Technical problem</w:t>
      </w:r>
    </w:p>
    <w:p>
      <w:r>
        <w:rPr>
          <w:b w:val="0"/>
          <w:i w:val="0"/>
        </w:rPr>
        <w:t>Interference and spoofing patterns change continuously, but adaptive or self-modifying software on the aircraft is close to uncertifiable: a model that learns in service cannot be frozen, traced to requirements, or covered by structural-coverage arguments. The industry therefore cannot exploit fleet-scale learning without breaking its certification basis.</w:t>
      </w:r>
    </w:p>
    <w:p>
      <w:pPr>
        <w:pStyle w:val="Heading2"/>
      </w:pPr>
      <w:r>
        <w:t>6.2 Inventive mechanism</w:t>
      </w:r>
    </w:p>
    <w:p>
      <w:pPr>
        <w:pStyle w:val="ListNumber"/>
      </w:pPr>
      <w:r>
        <w:t>Ground aggregation of datalink radio-frequency, transaction-quality and interference observations from a plurality of aircraft, with per-aircraft provenance retained.</w:t>
      </w:r>
    </w:p>
    <w:p>
      <w:pPr>
        <w:pStyle w:val="ListNumber"/>
      </w:pPr>
      <w:r>
        <w:t>Training or updating a threat signature model configured to classify interference or spoofing phenomena affecting aeronautical datalink.</w:t>
      </w:r>
    </w:p>
    <w:p>
      <w:pPr>
        <w:pStyle w:val="ListNumber"/>
      </w:pPr>
      <w:r>
        <w:t>Envelope validation: an updated model is accepted only if it stays inside a certified operational envelope and passes a frozen regression corpus in which the model must reproduce deterministic reference outputs within a tolerance — a counterfactual regression harness. Updates that fail are rejected and the rejection is recorded.</w:t>
      </w:r>
    </w:p>
    <w:p>
      <w:pPr>
        <w:pStyle w:val="ListNumber"/>
      </w:pPr>
      <w:r>
        <w:t>Advisory-only distribution: an accepted update is distributed to aircraft as signed advisory threat data only, without modifying any airborne software subject to a design-assurance standard; the aircraft-side decision function that consumes the advisory data is certified and deterministic and independently decides whether to act.</w:t>
      </w:r>
    </w:p>
    <w:p>
      <w:pPr>
        <w:pStyle w:val="ListNumber"/>
      </w:pPr>
      <w:r>
        <w:t>Provenance, applicability predicate and roll-back: each distribution records which aircraft received which model version under which applicability predicate, enabling roll-back to a prior accepted model and audit of the fleet state at any past time.</w:t>
      </w:r>
    </w:p>
    <w:p>
      <w:pPr>
        <w:pStyle w:val="Heading2"/>
      </w:pPr>
      <w:r>
        <w:t>6.3 Why this is novel</w:t>
      </w:r>
    </w:p>
    <w:p>
      <w:r>
        <w:rPr>
          <w:b w:val="0"/>
          <w:i w:val="0"/>
        </w:rPr>
        <w:t>US11212015B2 (The Aerospace Corporation) claims in-line machine-learning interference suppression; US11488063B2 (Honeywell) claims training models in a cloud/SaaS platform and serving them to connected avionics; CN121887829A (COMAC) claims airborne security-event log analysis with isolation control signals; US12149560B2 claims avionics cyber-attack detection. None of them discloses the combination of an envelope-validated, frozen-regression-gated update loop that distributes models as advisory data only, with an applicability predicate and fleet-state roll-back, leaving the consuming airborne logic certified and unchanged. The regulatory reality — that this advisory-only structure is the only form a certification authority is likely to accept — is itself evidence that the combination is not an obvious engineering choice.</w:t>
      </w:r>
    </w:p>
    <w:p>
      <w:pPr>
        <w:pStyle w:val="Heading1"/>
      </w:pPr>
      <w:r>
        <w:t>7. Claim strategy — what to file, in what 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720"/>
            <w:shd w:fill="DCE6F1"/>
          </w:tcPr>
          <w:p>
            <w:r/>
            <w:r>
              <w:rPr>
                <w:b/>
                <w:sz w:val="19"/>
              </w:rPr>
              <w:t>Order</w:t>
            </w:r>
          </w:p>
        </w:tc>
        <w:tc>
          <w:tcPr>
            <w:tcW w:type="dxa" w:w="2160"/>
            <w:shd w:fill="DCE6F1"/>
          </w:tcPr>
          <w:p>
            <w:r/>
            <w:r>
              <w:rPr>
                <w:b/>
                <w:sz w:val="19"/>
              </w:rPr>
              <w:t>Filing</w:t>
            </w:r>
          </w:p>
        </w:tc>
        <w:tc>
          <w:tcPr>
            <w:tcW w:type="dxa" w:w="2160"/>
            <w:shd w:fill="DCE6F1"/>
          </w:tcPr>
          <w:p>
            <w:r/>
            <w:r>
              <w:rPr>
                <w:b/>
                <w:sz w:val="19"/>
              </w:rPr>
              <w:t>Covers</w:t>
            </w:r>
          </w:p>
        </w:tc>
        <w:tc>
          <w:tcPr>
            <w:tcW w:type="dxa" w:w="4464"/>
            <w:shd w:fill="DCE6F1"/>
          </w:tcPr>
          <w:p>
            <w:r/>
            <w:r>
              <w:rPr>
                <w:b/>
                <w:sz w:val="19"/>
              </w:rPr>
              <w:t>Why this order</w:t>
            </w:r>
          </w:p>
        </w:tc>
        <w:tc>
          <w:tcPr>
            <w:tcW w:type="dxa" w:w="2160"/>
            <w:shd w:fill="DCE6F1"/>
          </w:tcPr>
          <w:p>
            <w:r/>
            <w:r>
              <w:rPr>
                <w:b/>
                <w:sz w:val="19"/>
              </w:rPr>
              <w:t>Indicative cost</w:t>
            </w:r>
          </w:p>
        </w:tc>
      </w:tr>
      <w:tr>
        <w:tc>
          <w:tcPr>
            <w:tcW w:type="dxa" w:w="720"/>
          </w:tcPr>
          <w:p>
            <w:pPr>
              <w:spacing w:after="4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Provisional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Invention 1 (lead)</w:t>
            </w:r>
          </w:p>
        </w:tc>
        <w:tc>
          <w:tcPr>
            <w:tcW w:type="dxa" w:w="4464"/>
          </w:tcPr>
          <w:p>
            <w:pPr>
              <w:spacing w:after="40"/>
            </w:pPr>
            <w:r/>
            <w:r>
              <w:rPr>
                <w:sz w:val="19"/>
              </w:rPr>
              <w:t>Easiest to enable today; secures the priority date immediately; supports a product demo and partner conversations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USD 2–6k, file within 2–4 weeks</w:t>
            </w:r>
          </w:p>
        </w:tc>
      </w:tr>
      <w:tr>
        <w:tc>
          <w:tcPr>
            <w:tcW w:type="dxa" w:w="720"/>
          </w:tcPr>
          <w:p>
            <w:pPr>
              <w:spacing w:after="4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Non-provisional / PCT (within 12 months)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Inventions 1 + 2</w:t>
            </w:r>
          </w:p>
        </w:tc>
        <w:tc>
          <w:tcPr>
            <w:tcW w:type="dxa" w:w="4464"/>
          </w:tcPr>
          <w:p>
            <w:pPr>
              <w:spacing w:after="40"/>
            </w:pPr>
            <w:r/>
            <w:r>
              <w:rPr>
                <w:sz w:val="19"/>
              </w:rPr>
              <w:t>The strategic value sits here; it needs the frozen gate design and evidence schema to satisfy written description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USD 12–25k</w:t>
            </w:r>
          </w:p>
        </w:tc>
      </w:tr>
      <w:tr>
        <w:tc>
          <w:tcPr>
            <w:tcW w:type="dxa" w:w="720"/>
          </w:tcPr>
          <w:p>
            <w:pPr>
              <w:spacing w:after="4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Separate filing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Invention 3</w:t>
            </w:r>
          </w:p>
        </w:tc>
        <w:tc>
          <w:tcPr>
            <w:tcW w:type="dxa" w:w="4464"/>
          </w:tcPr>
          <w:p>
            <w:pPr>
              <w:spacing w:after="40"/>
            </w:pPr>
            <w:r/>
            <w:r>
              <w:rPr>
                <w:sz w:val="19"/>
              </w:rPr>
              <w:t>File once the frozen regression corpus and envelope definition exist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USD 10–18k</w:t>
            </w:r>
          </w:p>
        </w:tc>
      </w:tr>
    </w:tbl>
    <w:p>
      <w:pPr>
        <w:spacing w:after="40"/>
      </w:pPr>
    </w:p>
    <w:p>
      <w:r>
        <w:rPr>
          <w:b w:val="0"/>
          <w:i/>
        </w:rPr>
        <w:t>Unifying position for all three: the platform never modifies certified airborne software and never places AI in the sole operational path; it earns trust by producing evidence rather than by asserting accuracy. That single design principle is what makes the portfolio both novel and sellable to an airworthiness authority.</w:t>
      </w:r>
    </w:p>
    <w:p>
      <w:pPr>
        <w:pStyle w:val="Heading1"/>
      </w:pPr>
      <w:r>
        <w:t>8. What to build in the next 60 days to make the filing strong</w:t>
      </w:r>
    </w:p>
    <w:p>
      <w:pPr>
        <w:pStyle w:val="ListNumber"/>
      </w:pPr>
      <w:r>
        <w:t>A bench test bed: one communications LRU or a datalink protocol simulator, a host-platform telemetry tap, a controllable interference source, and a ground-side ingest service.</w:t>
      </w:r>
    </w:p>
    <w:p>
      <w:pPr>
        <w:pStyle w:val="ListNumber"/>
      </w:pPr>
      <w:r>
        <w:t>The headline numbers for the specification: over N transactions, the percentage exceeding the benchmark; of those, the proportion attributed to the aircraft host platform and the rule path used; the percentage of transactions declared indeterminate under the resolvability condition; and a replay run in which 100% of attributions are reproduced identically.</w:t>
      </w:r>
    </w:p>
    <w:p>
      <w:pPr>
        <w:pStyle w:val="ListNumber"/>
      </w:pPr>
      <w:r>
        <w:t>A frozen evidence-record schema (JSON) and the objective-mapping table. Put both in the specification text: they are the enablement insurance for Invention 2.</w:t>
      </w:r>
    </w:p>
    <w:p>
      <w:pPr>
        <w:pStyle w:val="ListNumber"/>
      </w:pPr>
      <w:r>
        <w:t>A written clock-offset methodology, including how the uncertainty bound is computed and what happens at the boundary. Examiners and certifiers both probe this.</w:t>
      </w:r>
    </w:p>
    <w:p>
      <w:pPr>
        <w:pStyle w:val="ListNumber"/>
      </w:pPr>
      <w:r>
        <w:t>A one-page prior-art acknowledgement: the twelve references in the appendix, each with the sentence that distinguishes this invention from it.</w:t>
      </w:r>
    </w:p>
    <w:p>
      <w:pPr>
        <w:pStyle w:val="Heading1"/>
      </w:pPr>
      <w:r>
        <w:t>9. Risks to manage before filing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160"/>
            <w:shd w:fill="DCE6F1"/>
          </w:tcPr>
          <w:p>
            <w:r/>
            <w:r>
              <w:rPr>
                <w:b/>
                <w:sz w:val="19"/>
              </w:rPr>
              <w:t>Risk</w:t>
            </w:r>
          </w:p>
        </w:tc>
        <w:tc>
          <w:tcPr>
            <w:tcW w:type="dxa" w:w="5184"/>
            <w:shd w:fill="DCE6F1"/>
          </w:tcPr>
          <w:p>
            <w:r/>
            <w:r>
              <w:rPr>
                <w:b/>
                <w:sz w:val="19"/>
              </w:rPr>
              <w:t>Detail</w:t>
            </w:r>
          </w:p>
        </w:tc>
        <w:tc>
          <w:tcPr>
            <w:tcW w:type="dxa" w:w="2592"/>
            <w:shd w:fill="DCE6F1"/>
          </w:tcPr>
          <w:p>
            <w:r/>
            <w:r>
              <w:rPr>
                <w:b/>
                <w:sz w:val="19"/>
              </w:rPr>
              <w:t>Action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Patent eligibility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"Collect data, analyse, display" is abstract. Keep the remediation step and the resolvability condition inside claim 1 so the claim recites an improvement in the operation of the network.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  <w:t>Draft as in sections 4.5 and 5.4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Written description / enablement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"Explainable AI for avionics" and "hybrid deterministic + AI" are aims, not designs. Freeze the gate algorithm, the record schema, thresholds and one worked numeric example.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  <w:t>Complete section 8 items 2–4 before the non-provisional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Public disclosure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US has a 12-month grace period; most other jurisdictions (EP, IN, CN) have essentially absolute novelty. If the concept was presented publicly, the calendar changes immediately.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  <w:t>Confirm the dates of any conference, slide deck or recording BEFORE filing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Freedom to operate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US2025/0260475A1 is pending and its claims can still move; Satcom Direct already sells a PBCS monitoring module.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  <w:t>Re-run an FTO review when a product specification is frozen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Inventorship and ownership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Three distinct inventive contributions across possibly multiple parties (airline, OEM, CSP, university).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  <w:t>Record contributions per element contemporaneously; settle assignments before filing</w:t>
            </w:r>
          </w:p>
        </w:tc>
      </w:tr>
    </w:tbl>
    <w:p>
      <w:pPr>
        <w:spacing w:after="40"/>
      </w:pPr>
    </w:p>
    <w:p>
      <w:pPr>
        <w:pStyle w:val="Heading1"/>
      </w:pPr>
      <w:r>
        <w:t>10. Paragraph to send to your patent attorney</w:t>
      </w:r>
    </w:p>
    <w:p>
      <w:pPr>
        <w:ind w:left="288"/>
      </w:pPr>
      <w:r>
        <w:rPr>
          <w:i/>
        </w:rPr>
        <w:t>Please prepare a provisional application directed to a ground-based aircraft datalink diagnostic system that correlates per-leg datalink transaction timing with aircraft host-platform telemetry — including partition scheduling and communications-application resource telemetry — under a bounded clock-offset uncertainty, applies a resolvability condition that yields an indeterminate result when the transaction cannot be resolved against the telemetry, selects a cause using an asymmetric-evidence rule requiring both a positive platform indication and an absence of network indication, and emits a hash-chained attribution record that can be deterministically re-executed for audit. A second independent claim family should cover a behavioural admission gate for an advisory AI diagnosis with an objective-mapped evidence ledger. The closest art is US 2025/0260475 A1 (Satcom Direct), US 10,839,401 B2 (Honeywell) and EP 3 651 022 A1 (GE Aviation); the differentiating limitations as to each are set out in the attached claim charts.</w:t>
      </w:r>
    </w:p>
    <w:p>
      <w:r>
        <w:br w:type="page"/>
      </w:r>
    </w:p>
    <w:p>
      <w:pPr>
        <w:pStyle w:val="Heading1"/>
      </w:pPr>
      <w:r>
        <w:t>Appendix A — The twelve references that matter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504"/>
            <w:shd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520"/>
            <w:shd w:fill="DCE6F1"/>
          </w:tcPr>
          <w:p>
            <w:r/>
            <w:r>
              <w:rPr>
                <w:b/>
                <w:sz w:val="19"/>
              </w:rPr>
              <w:t>Reference</w:t>
            </w:r>
          </w:p>
        </w:tc>
        <w:tc>
          <w:tcPr>
            <w:tcW w:type="dxa" w:w="1800"/>
            <w:shd w:fill="DCE6F1"/>
          </w:tcPr>
          <w:p>
            <w:r/>
            <w:r>
              <w:rPr>
                <w:b/>
                <w:sz w:val="19"/>
              </w:rPr>
              <w:t>Assignee / owner</w:t>
            </w:r>
          </w:p>
        </w:tc>
        <w:tc>
          <w:tcPr>
            <w:tcW w:type="dxa" w:w="1440"/>
            <w:shd w:fill="DCE6F1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392"/>
            <w:shd w:fill="DCE6F1"/>
          </w:tcPr>
          <w:p>
            <w:r/>
            <w:r>
              <w:rPr>
                <w:b/>
                <w:sz w:val="19"/>
              </w:rPr>
              <w:t>Why it matters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520"/>
          </w:tcPr>
          <w:p>
            <w:pPr>
              <w:spacing w:after="40"/>
            </w:pPr>
            <w:r/>
            <w:r>
              <w:rPr>
                <w:sz w:val="19"/>
              </w:rPr>
              <w:t>US 2025/0260475 A1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  <w:t>Satcom Direct LLC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sz w:val="19"/>
              </w:rPr>
              <w:t>Priority 2024-02-09</w:t>
            </w:r>
          </w:p>
        </w:tc>
        <w:tc>
          <w:tcPr>
            <w:tcW w:type="dxa" w:w="4392"/>
          </w:tcPr>
          <w:p>
            <w:pPr>
              <w:spacing w:after="40"/>
            </w:pPr>
            <w:r/>
            <w:r>
              <w:rPr>
                <w:sz w:val="19"/>
              </w:rPr>
              <w:t>Closest art. Anticipates ground monitoring, latency, hop attribution, alerts, link reconfiguration and pilot response time.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520"/>
          </w:tcPr>
          <w:p>
            <w:pPr>
              <w:spacing w:after="40"/>
            </w:pPr>
            <w:r/>
            <w:r>
              <w:rPr>
                <w:sz w:val="19"/>
              </w:rPr>
              <w:t>US 8045977 B2 / US 8200213 B2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  <w:t>Honeywell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sz w:val="19"/>
              </w:rPr>
              <w:t>2011 / 2012</w:t>
            </w:r>
          </w:p>
        </w:tc>
        <w:tc>
          <w:tcPr>
            <w:tcW w:type="dxa" w:w="4392"/>
          </w:tcPr>
          <w:p>
            <w:pPr>
              <w:spacing w:after="40"/>
            </w:pPr>
            <w:r/>
            <w:r>
              <w:rPr>
                <w:sz w:val="19"/>
              </w:rPr>
              <w:t>Round-trip time and channel occupancy monitoring in a CMU.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520"/>
          </w:tcPr>
          <w:p>
            <w:pPr>
              <w:spacing w:after="40"/>
            </w:pPr>
            <w:r/>
            <w:r>
              <w:rPr>
                <w:sz w:val="19"/>
              </w:rPr>
              <w:t>US 7729263 B2 / US 8284674 B2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  <w:t>Honeywell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sz w:val="19"/>
              </w:rPr>
              <w:t>2008 / 2012</w:t>
            </w:r>
          </w:p>
        </w:tc>
        <w:tc>
          <w:tcPr>
            <w:tcW w:type="dxa" w:w="4392"/>
          </w:tcPr>
          <w:p>
            <w:pPr>
              <w:spacing w:after="40"/>
            </w:pPr>
            <w:r/>
            <w:r>
              <w:rPr>
                <w:sz w:val="19"/>
              </w:rPr>
              <w:t>CMU network selection and routing rules based on aircraft state.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520"/>
          </w:tcPr>
          <w:p>
            <w:pPr>
              <w:spacing w:after="40"/>
            </w:pPr>
            <w:r/>
            <w:r>
              <w:rPr>
                <w:sz w:val="19"/>
              </w:rPr>
              <w:t>US 7027812 B2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  <w:t>Honeywell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sz w:val="19"/>
              </w:rPr>
              <w:t>2006</w:t>
            </w:r>
          </w:p>
        </w:tc>
        <w:tc>
          <w:tcPr>
            <w:tcW w:type="dxa" w:w="4392"/>
          </w:tcPr>
          <w:p>
            <w:pPr>
              <w:spacing w:after="40"/>
            </w:pPr>
            <w:r/>
            <w:r>
              <w:rPr>
                <w:sz w:val="19"/>
              </w:rPr>
              <w:t>Channel selection by zone load and preference tables.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520"/>
          </w:tcPr>
          <w:p>
            <w:pPr>
              <w:spacing w:after="40"/>
            </w:pPr>
            <w:r/>
            <w:r>
              <w:rPr>
                <w:sz w:val="19"/>
              </w:rPr>
              <w:t>EP 2040392 B1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  <w:t>n/v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sz w:val="19"/>
              </w:rPr>
              <w:t>Granted</w:t>
            </w:r>
          </w:p>
        </w:tc>
        <w:tc>
          <w:tcPr>
            <w:tcW w:type="dxa" w:w="4392"/>
          </w:tcPr>
          <w:p>
            <w:pPr>
              <w:spacing w:after="40"/>
            </w:pPr>
            <w:r/>
            <w:r>
              <w:rPr>
                <w:sz w:val="19"/>
              </w:rPr>
              <w:t>Ground server evaluates downlinked aircraft data for abnormal events.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520"/>
          </w:tcPr>
          <w:p>
            <w:pPr>
              <w:spacing w:after="40"/>
            </w:pPr>
            <w:r/>
            <w:r>
              <w:rPr>
                <w:sz w:val="19"/>
              </w:rPr>
              <w:t>US 9321542 B2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  <w:t>n/v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sz w:val="19"/>
              </w:rPr>
              <w:t>2016</w:t>
            </w:r>
          </w:p>
        </w:tc>
        <w:tc>
          <w:tcPr>
            <w:tcW w:type="dxa" w:w="4392"/>
          </w:tcPr>
          <w:p>
            <w:pPr>
              <w:spacing w:after="40"/>
            </w:pPr>
            <w:r/>
            <w:r>
              <w:rPr>
                <w:sz w:val="19"/>
              </w:rPr>
              <w:t>Fleet-wide ground learning of troubleshooting procedures pushed back to aircraft.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520"/>
          </w:tcPr>
          <w:p>
            <w:pPr>
              <w:spacing w:after="40"/>
            </w:pPr>
            <w:r/>
            <w:r>
              <w:rPr>
                <w:sz w:val="19"/>
              </w:rPr>
              <w:t>US 2019/0222298 A1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  <w:t>n/v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sz w:val="19"/>
              </w:rPr>
              <w:t>2019</w:t>
            </w:r>
          </w:p>
        </w:tc>
        <w:tc>
          <w:tcPr>
            <w:tcW w:type="dxa" w:w="4392"/>
          </w:tcPr>
          <w:p>
            <w:pPr>
              <w:spacing w:after="40"/>
            </w:pPr>
            <w:r/>
            <w:r>
              <w:rPr>
                <w:sz w:val="19"/>
              </w:rPr>
              <w:t>CMU interface with LINK TEST and a current fault list.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520"/>
          </w:tcPr>
          <w:p>
            <w:pPr>
              <w:spacing w:after="40"/>
            </w:pPr>
            <w:r/>
            <w:r>
              <w:rPr>
                <w:sz w:val="19"/>
              </w:rPr>
              <w:t>CN 106516159 A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  <w:t>CETC Avionics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sz w:val="19"/>
              </w:rPr>
              <w:t>2017</w:t>
            </w:r>
          </w:p>
        </w:tc>
        <w:tc>
          <w:tcPr>
            <w:tcW w:type="dxa" w:w="4392"/>
          </w:tcPr>
          <w:p>
            <w:pPr>
              <w:spacing w:after="40"/>
            </w:pPr>
            <w:r/>
            <w:r>
              <w:rPr>
                <w:sz w:val="19"/>
              </w:rPr>
              <w:t>ACARS/CMU malfunction diagnosis and health management.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2520"/>
          </w:tcPr>
          <w:p>
            <w:pPr>
              <w:spacing w:after="40"/>
            </w:pPr>
            <w:r/>
            <w:r>
              <w:rPr>
                <w:sz w:val="19"/>
              </w:rPr>
              <w:t>US 10,839,401 B2 / US 2018/0211261 A1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  <w:t>Honeywell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sz w:val="19"/>
              </w:rPr>
              <w:t>2017 (IN priority)</w:t>
            </w:r>
          </w:p>
        </w:tc>
        <w:tc>
          <w:tcPr>
            <w:tcW w:type="dxa" w:w="4392"/>
          </w:tcPr>
          <w:p>
            <w:pPr>
              <w:spacing w:after="40"/>
            </w:pPr>
            <w:r/>
            <w:r>
              <w:rPr>
                <w:sz w:val="19"/>
              </w:rPr>
              <w:t>Qualifying data from an unqualified system for a qualified system — blocks generic certifiable-AI claims.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10</w:t>
            </w:r>
          </w:p>
        </w:tc>
        <w:tc>
          <w:tcPr>
            <w:tcW w:type="dxa" w:w="2520"/>
          </w:tcPr>
          <w:p>
            <w:pPr>
              <w:spacing w:after="40"/>
            </w:pPr>
            <w:r/>
            <w:r>
              <w:rPr>
                <w:sz w:val="19"/>
              </w:rPr>
              <w:t>EP 3 651 022 A1 / CN 111 176 978 A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  <w:t>GE Aviation Systems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sz w:val="19"/>
              </w:rPr>
              <w:t>2018</w:t>
            </w:r>
          </w:p>
        </w:tc>
        <w:tc>
          <w:tcPr>
            <w:tcW w:type="dxa" w:w="4392"/>
          </w:tcPr>
          <w:p>
            <w:pPr>
              <w:spacing w:after="40"/>
            </w:pPr>
            <w:r/>
            <w:r>
              <w:rPr>
                <w:sz w:val="19"/>
              </w:rPr>
              <w:t>Verifying an unqualified component against a qualified reference set.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11</w:t>
            </w:r>
          </w:p>
        </w:tc>
        <w:tc>
          <w:tcPr>
            <w:tcW w:type="dxa" w:w="2520"/>
          </w:tcPr>
          <w:p>
            <w:pPr>
              <w:spacing w:after="40"/>
            </w:pPr>
            <w:r/>
            <w:r>
              <w:rPr>
                <w:sz w:val="19"/>
              </w:rPr>
              <w:t>US 2020/0167677 A1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  <w:t>IBM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sz w:val="19"/>
              </w:rPr>
              <w:t>2020</w:t>
            </w:r>
          </w:p>
        </w:tc>
        <w:tc>
          <w:tcPr>
            <w:tcW w:type="dxa" w:w="4392"/>
          </w:tcPr>
          <w:p>
            <w:pPr>
              <w:spacing w:after="40"/>
            </w:pPr>
            <w:r/>
            <w:r>
              <w:rPr>
                <w:sz w:val="19"/>
              </w:rPr>
              <w:t>Surrogate-model explanation of neural networks — blocks generic XAI claims.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12</w:t>
            </w:r>
          </w:p>
        </w:tc>
        <w:tc>
          <w:tcPr>
            <w:tcW w:type="dxa" w:w="2520"/>
          </w:tcPr>
          <w:p>
            <w:pPr>
              <w:spacing w:after="40"/>
            </w:pPr>
            <w:r/>
            <w:r>
              <w:rPr>
                <w:sz w:val="19"/>
              </w:rPr>
              <w:t>US 11,488,063 B2</w:t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  <w:t>Honeywell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sz w:val="19"/>
              </w:rPr>
              <w:t>2019</w:t>
            </w:r>
          </w:p>
        </w:tc>
        <w:tc>
          <w:tcPr>
            <w:tcW w:type="dxa" w:w="4392"/>
          </w:tcPr>
          <w:p>
            <w:pPr>
              <w:spacing w:after="40"/>
            </w:pPr>
            <w:r/>
            <w:r>
              <w:rPr>
                <w:sz w:val="19"/>
              </w:rPr>
              <w:t>Cloud-trained machine-learning models served to connected avionics.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B — Non-patent prior art to acknowledge</w:t>
      </w:r>
    </w:p>
    <w:p>
      <w:pPr>
        <w:pStyle w:val="ListBullet"/>
      </w:pPr>
      <w:r>
        <w:t>ICAO Doc 9869 — Performance-based Communication and Surveillance manual (defines ACTP, PORT, ACP, ASP, RCP 240, RSP 180).</w:t>
      </w:r>
    </w:p>
    <w:p>
      <w:pPr>
        <w:pStyle w:val="ListBullet"/>
      </w:pPr>
      <w:r>
        <w:t>EUROCONTROL Datalink Performance Monitoring Function reports and dashboards.</w:t>
      </w:r>
    </w:p>
    <w:p>
      <w:pPr>
        <w:pStyle w:val="ListBullet"/>
      </w:pPr>
      <w:r>
        <w:t>EASA CoDANN I (2020) and CoDANN II (2024) concept papers; RTCA SC-240 and SC-228.</w:t>
      </w:r>
    </w:p>
    <w:p>
      <w:pPr>
        <w:pStyle w:val="ListBullet"/>
      </w:pPr>
      <w:r>
        <w:t>NASA NTRS 20210019093 and 20210025705 — certification and design assurance of machine-learning airborne systems.</w:t>
      </w:r>
    </w:p>
    <w:p>
      <w:pPr>
        <w:pStyle w:val="ListBullet"/>
      </w:pPr>
      <w:r>
        <w:t>Simplex architecture literature: Sha et al. (IEEE Software, 2001), Neural Simplex Architecture (arXiv 1908.00528), NASA DASC 2024 runtime-assurance verification framework.</w:t>
      </w:r>
    </w:p>
    <w:p>
      <w:pPr>
        <w:pStyle w:val="ListBullet"/>
      </w:pPr>
      <w:r>
        <w:t>arXiv 2504.14443 SkyNetPredictor — machine-learning prediction of avionic network performance.</w:t>
      </w:r>
    </w:p>
    <w:p>
      <w:pPr>
        <w:pStyle w:val="ListBullet"/>
      </w:pPr>
      <w:r>
        <w:t>Stanford GPS Lab ION GNSS+ 2021 — GNSS interference detection in ADS-B data using neural networks; Journal of Navigation 2024 — semi-supervised GNSS RFI detection on real aircraft data.</w:t>
      </w:r>
    </w:p>
    <w:p/>
    <w:p>
      <w:pPr>
        <w:jc w:val="center"/>
      </w:pPr>
      <w:r>
        <w:rPr>
          <w:i/>
          <w:sz w:val="17"/>
        </w:rPr>
        <w:t>Engineering input only. Not a legal opinion. Verify all references, dates and legal status with counsel before filing.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33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33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33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