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IoMT Medical NIDS Simulation Blueprint</w:t>
      </w:r>
    </w:p>
    <w:p>
      <w:pPr>
        <w:pStyle w:val="Subtitle"/>
        <w:jc w:val="center"/>
      </w:pPr>
      <w:r>
        <w:t>Flow-level + protocol-metadata dataset design based on recent healthcare operational threat reports, FDA guidance, and CISA medical advisories</w:t>
      </w:r>
    </w:p>
    <w:p>
      <w:pPr>
        <w:jc w:val="center"/>
      </w:pPr>
      <w:r>
        <w:rPr>
          <w:i/>
          <w:sz w:val="20"/>
        </w:rPr>
        <w:t>Prepared for synthetic but realistic hospital/clinical network scenario generation</w:t>
        <w:br/>
      </w:r>
    </w:p>
    <w:tbl>
      <w:tblPr>
        <w:tblW w:type="auto" w:w="0"/>
        <w:jc w:val="center"/>
        <w:tblLayout w:type="fixed"/>
        <w:tblLook w:firstColumn="1" w:firstRow="1" w:lastColumn="0" w:lastRow="0" w:noHBand="0" w:noVBand="1" w:val="04A0"/>
      </w:tblPr>
      <w:tblGrid>
        <w:gridCol w:w="9792"/>
      </w:tblGrid>
      <w:tr>
        <w:tc>
          <w:tcPr>
            <w:tcW w:type="dxa" w:w="10200"/>
            <w:shd w:fill="EAF3FB"/>
          </w:tcPr>
          <w:p>
            <w:pPr>
              <w:spacing w:after="0"/>
            </w:pPr>
            <w:r/>
            <w:r>
              <w:rPr>
                <w:b/>
                <w:color w:val="0B5EA8"/>
                <w:sz w:val="22"/>
              </w:rPr>
              <w:t>What this file is for</w:t>
              <w:br/>
            </w:r>
          </w:p>
          <w:p>
            <w:pPr>
              <w:ind w:left="227"/>
            </w:pPr>
            <w:r>
              <w:t>• Turn current real-world IoMT and hospital cyber risks into simulation-ready attack scenarios.</w:t>
            </w:r>
          </w:p>
          <w:p>
            <w:pPr>
              <w:ind w:left="227"/>
            </w:pPr>
            <w:r>
              <w:t>• Target representation: flow-level records enriched with medical protocol metadata rather than raw packet payloads.</w:t>
            </w:r>
          </w:p>
          <w:p>
            <w:pPr>
              <w:ind w:left="227"/>
            </w:pPr>
            <w:r>
              <w:t>• Designed so another AI or developer can build a GUI simulator and export CSV/Parquet datasets.</w:t>
            </w:r>
          </w:p>
        </w:tc>
      </w:tr>
    </w:tbl>
    <w:p/>
    <w:p>
      <w:pPr>
        <w:pStyle w:val="Heading1"/>
      </w:pPr>
      <w:r>
        <w:t>1. Recommended dataset representation</w:t>
      </w:r>
    </w:p>
    <w:p>
      <w:r>
        <w:t>Use fixed windows over flow records plus protocol counters. This is the best trade-off for real-time detection, manageable storage, and simulation realism in hospitals where DICOM, HL7, FHIR, vendor remote access, PACS, imaging servers, and bedside devices coexist.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
              <w:rPr>
                <w:b/>
                <w:sz w:val="19"/>
              </w:rPr>
              <w:t>Layer</w:t>
            </w:r>
          </w:p>
        </w:tc>
        <w:tc>
          <w:tcPr>
            <w:tcW w:type="dxa" w:w="2550"/>
            <w:vAlign w:val="center"/>
            <w:shd w:fill="D9EAF7"/>
          </w:tcPr>
          <w:p>
            <w:pPr>
              <w:spacing w:after="0"/>
            </w:pPr>
            <w:r/>
            <w:r>
              <w:rPr>
                <w:b/>
                <w:sz w:val="19"/>
              </w:rPr>
              <w:t>What one row means</w:t>
            </w:r>
          </w:p>
        </w:tc>
        <w:tc>
          <w:tcPr>
            <w:tcW w:type="dxa" w:w="2550"/>
            <w:vAlign w:val="center"/>
            <w:shd w:fill="D9EAF7"/>
          </w:tcPr>
          <w:p>
            <w:pPr>
              <w:spacing w:after="0"/>
            </w:pPr>
            <w:r/>
            <w:r>
              <w:rPr>
                <w:b/>
                <w:sz w:val="19"/>
              </w:rPr>
              <w:t>Why include it</w:t>
            </w:r>
          </w:p>
        </w:tc>
        <w:tc>
          <w:tcPr>
            <w:tcW w:type="dxa" w:w="2550"/>
            <w:vAlign w:val="center"/>
            <w:shd w:fill="D9EAF7"/>
          </w:tcPr>
          <w:p>
            <w:pPr>
              <w:spacing w:after="0"/>
            </w:pPr>
            <w:r/>
            <w:r>
              <w:rPr>
                <w:b/>
                <w:sz w:val="19"/>
              </w:rPr>
              <w:t>Priority</w:t>
            </w:r>
          </w:p>
        </w:tc>
      </w:tr>
      <w:tr>
        <w:tc>
          <w:tcPr>
            <w:tcW w:type="dxa" w:w="2550"/>
            <w:vAlign w:val="center"/>
          </w:tcPr>
          <w:p>
            <w:pPr>
              <w:spacing w:after="0"/>
            </w:pPr>
            <w:r/>
            <w:r>
              <w:rPr>
                <w:b w:val="0"/>
                <w:sz w:val="17"/>
              </w:rPr>
              <w:t>Flow</w:t>
            </w:r>
          </w:p>
        </w:tc>
        <w:tc>
          <w:tcPr>
            <w:tcW w:type="dxa" w:w="2550"/>
            <w:vAlign w:val="center"/>
          </w:tcPr>
          <w:p>
            <w:pPr>
              <w:spacing w:after="0"/>
            </w:pPr>
            <w:r/>
            <w:r>
              <w:rPr>
                <w:b w:val="0"/>
                <w:sz w:val="17"/>
              </w:rPr>
              <w:t>One bidirectional flow or connection summary</w:t>
            </w:r>
          </w:p>
        </w:tc>
        <w:tc>
          <w:tcPr>
            <w:tcW w:type="dxa" w:w="2550"/>
            <w:vAlign w:val="center"/>
          </w:tcPr>
          <w:p>
            <w:pPr>
              <w:spacing w:after="0"/>
            </w:pPr>
            <w:r/>
            <w:r>
              <w:rPr>
                <w:b w:val="0"/>
                <w:sz w:val="17"/>
              </w:rPr>
              <w:t>Core NIDS input: fast, scalable, enough for scanning, brute force, exfiltration, lateral movement, ransomware staging</w:t>
            </w:r>
          </w:p>
        </w:tc>
        <w:tc>
          <w:tcPr>
            <w:tcW w:type="dxa" w:w="2550"/>
            <w:vAlign w:val="center"/>
          </w:tcPr>
          <w:p>
            <w:pPr>
              <w:spacing w:after="0"/>
            </w:pPr>
            <w:r/>
            <w:r>
              <w:rPr>
                <w:b w:val="0"/>
                <w:sz w:val="17"/>
              </w:rPr>
              <w:t>Must-have</w:t>
            </w:r>
          </w:p>
        </w:tc>
      </w:tr>
      <w:tr>
        <w:tc>
          <w:tcPr>
            <w:tcW w:type="dxa" w:w="2550"/>
            <w:vAlign w:val="center"/>
          </w:tcPr>
          <w:p>
            <w:pPr>
              <w:spacing w:after="0"/>
            </w:pPr>
            <w:r/>
            <w:r>
              <w:rPr>
                <w:b w:val="0"/>
                <w:sz w:val="17"/>
              </w:rPr>
              <w:t>Protocol metadata</w:t>
            </w:r>
          </w:p>
        </w:tc>
        <w:tc>
          <w:tcPr>
            <w:tcW w:type="dxa" w:w="2550"/>
            <w:vAlign w:val="center"/>
          </w:tcPr>
          <w:p>
            <w:pPr>
              <w:spacing w:after="0"/>
            </w:pPr>
            <w:r/>
            <w:r>
              <w:rPr>
                <w:b w:val="0"/>
                <w:sz w:val="17"/>
              </w:rPr>
              <w:t>Counts/flags extracted from DICOM, HL7, FHIR, BLE telemetry, PACS/web admin actions</w:t>
            </w:r>
          </w:p>
        </w:tc>
        <w:tc>
          <w:tcPr>
            <w:tcW w:type="dxa" w:w="2550"/>
            <w:vAlign w:val="center"/>
          </w:tcPr>
          <w:p>
            <w:pPr>
              <w:spacing w:after="0"/>
            </w:pPr>
            <w:r/>
            <w:r>
              <w:rPr>
                <w:b w:val="0"/>
                <w:sz w:val="17"/>
              </w:rPr>
              <w:t>Adds medical semantics so attacks on imaging and connected devices become distinguishable</w:t>
            </w:r>
          </w:p>
        </w:tc>
        <w:tc>
          <w:tcPr>
            <w:tcW w:type="dxa" w:w="2550"/>
            <w:vAlign w:val="center"/>
          </w:tcPr>
          <w:p>
            <w:pPr>
              <w:spacing w:after="0"/>
            </w:pPr>
            <w:r/>
            <w:r>
              <w:rPr>
                <w:b w:val="0"/>
                <w:sz w:val="17"/>
              </w:rPr>
              <w:t>Must-have</w:t>
            </w:r>
          </w:p>
        </w:tc>
      </w:tr>
      <w:tr>
        <w:tc>
          <w:tcPr>
            <w:tcW w:type="dxa" w:w="2550"/>
            <w:vAlign w:val="center"/>
          </w:tcPr>
          <w:p>
            <w:pPr>
              <w:spacing w:after="0"/>
            </w:pPr>
            <w:r/>
            <w:r>
              <w:rPr>
                <w:b w:val="0"/>
                <w:sz w:val="17"/>
              </w:rPr>
              <w:t>Time window</w:t>
            </w:r>
          </w:p>
        </w:tc>
        <w:tc>
          <w:tcPr>
            <w:tcW w:type="dxa" w:w="2550"/>
            <w:vAlign w:val="center"/>
          </w:tcPr>
          <w:p>
            <w:pPr>
              <w:spacing w:after="0"/>
            </w:pPr>
            <w:r/>
            <w:r>
              <w:rPr>
                <w:b w:val="0"/>
                <w:sz w:val="17"/>
              </w:rPr>
              <w:t>1 s / 5 s / 10 s aggregate features from flows and protocol events</w:t>
            </w:r>
          </w:p>
        </w:tc>
        <w:tc>
          <w:tcPr>
            <w:tcW w:type="dxa" w:w="2550"/>
            <w:vAlign w:val="center"/>
          </w:tcPr>
          <w:p>
            <w:pPr>
              <w:spacing w:after="0"/>
            </w:pPr>
            <w:r/>
            <w:r>
              <w:rPr>
                <w:b w:val="0"/>
                <w:sz w:val="17"/>
              </w:rPr>
              <w:t>Turns the data into multivariate time-series for sequence models and early warning</w:t>
            </w:r>
          </w:p>
        </w:tc>
        <w:tc>
          <w:tcPr>
            <w:tcW w:type="dxa" w:w="2550"/>
            <w:vAlign w:val="center"/>
          </w:tcPr>
          <w:p>
            <w:pPr>
              <w:spacing w:after="0"/>
            </w:pPr>
            <w:r/>
            <w:r>
              <w:rPr>
                <w:b w:val="0"/>
                <w:sz w:val="17"/>
              </w:rPr>
              <w:t>Must-have</w:t>
            </w:r>
          </w:p>
        </w:tc>
      </w:tr>
      <w:tr>
        <w:tc>
          <w:tcPr>
            <w:tcW w:type="dxa" w:w="2550"/>
            <w:vAlign w:val="center"/>
          </w:tcPr>
          <w:p>
            <w:pPr>
              <w:spacing w:after="0"/>
            </w:pPr>
            <w:r/>
            <w:r>
              <w:rPr>
                <w:b w:val="0"/>
                <w:sz w:val="17"/>
              </w:rPr>
              <w:t>Optional packet-lite</w:t>
            </w:r>
          </w:p>
        </w:tc>
        <w:tc>
          <w:tcPr>
            <w:tcW w:type="dxa" w:w="2550"/>
            <w:vAlign w:val="center"/>
          </w:tcPr>
          <w:p>
            <w:pPr>
              <w:spacing w:after="0"/>
            </w:pPr>
            <w:r/>
            <w:r>
              <w:rPr>
                <w:b w:val="0"/>
                <w:sz w:val="17"/>
              </w:rPr>
              <w:t>Only lightweight per-flow packet statistics such as inter-arrival bursts, SYN/RST mix, retransmissions</w:t>
            </w:r>
          </w:p>
        </w:tc>
        <w:tc>
          <w:tcPr>
            <w:tcW w:type="dxa" w:w="2550"/>
            <w:vAlign w:val="center"/>
          </w:tcPr>
          <w:p>
            <w:pPr>
              <w:spacing w:after="0"/>
            </w:pPr>
            <w:r/>
            <w:r>
              <w:rPr>
                <w:b w:val="0"/>
                <w:sz w:val="17"/>
              </w:rPr>
              <w:t>Useful for DoS, replay, malformed traffic, or exploit delivery without full PCAP overhead</w:t>
            </w:r>
          </w:p>
        </w:tc>
        <w:tc>
          <w:tcPr>
            <w:tcW w:type="dxa" w:w="2550"/>
            <w:vAlign w:val="center"/>
          </w:tcPr>
          <w:p>
            <w:pPr>
              <w:spacing w:after="0"/>
            </w:pPr>
            <w:r/>
            <w:r>
              <w:rPr>
                <w:b w:val="0"/>
                <w:sz w:val="17"/>
              </w:rPr>
              <w:t>Recommended</w:t>
            </w:r>
          </w:p>
        </w:tc>
      </w:tr>
    </w:tbl>
    <w:p>
      <w:pPr>
        <w:pStyle w:val="Heading1"/>
      </w:pPr>
      <w:r>
        <w:t>2. Hospital reference environment to simulate</w:t>
      </w:r>
    </w:p>
    <w:p>
      <w:r>
        <w:t>Model a medium-sized connected hospital rather than a single isolated device. Most major healthcare incidents propagate through a larger clinical system, not through one device in a vacuum.</w:t>
      </w:r>
    </w:p>
    <w:p>
      <w:pPr>
        <w:pStyle w:val="ListBullet"/>
      </w:pPr>
      <w:r>
        <w:t>Zone A: Internet / vendor cloud / telehealth APIs / email / remote access gateway.</w:t>
      </w:r>
    </w:p>
    <w:p>
      <w:pPr>
        <w:pStyle w:val="ListBullet"/>
      </w:pPr>
      <w:r>
        <w:t>Zone B: Enterprise IT: Active Directory, DNS, DHCP, EHR front end, file shares, backup server, SOC collector.</w:t>
      </w:r>
    </w:p>
    <w:p>
      <w:pPr>
        <w:pStyle w:val="ListBullet"/>
      </w:pPr>
      <w:r>
        <w:t>Zone C: Clinical core: PACS, VNA, RIS, LIS, FHIR server, HL7 interface engine, nurse-station workstations, device management server.</w:t>
      </w:r>
    </w:p>
    <w:p>
      <w:pPr>
        <w:pStyle w:val="ListBullet"/>
      </w:pPr>
      <w:r>
        <w:t>Zone D: Imaging subnet: CT, MRI, ultrasound, radiology workstations, DICOM viewer, imaging archive gateway.</w:t>
      </w:r>
    </w:p>
    <w:p>
      <w:pPr>
        <w:pStyle w:val="ListBullet"/>
      </w:pPr>
      <w:r>
        <w:t>Zone E: IoMT subnet: patient monitors, infusion systems, ventilators, mobile medical apps, BLE/Wi-Fi gateways, telemetry aggregator.</w:t>
      </w:r>
    </w:p>
    <w:p>
      <w:pPr>
        <w:pStyle w:val="ListBullet"/>
      </w:pPr>
      <w:r>
        <w:t>Zone F: Third-party support path: vendor VPN / jump host / remote maintenance appliance.</w:t>
      </w:r>
    </w:p>
    <w:p>
      <w:pPr>
        <w:pStyle w:val="Heading1"/>
      </w:pPr>
      <w:r>
        <w:t>3. Attack classes to include in the synthetic dataset</w:t>
      </w:r>
    </w:p>
    <w:p>
      <w:r>
        <w:t>The list below focuses on network-visible or protocol-visible behaviors that are realistic to simulate from current healthcare threat reports and medical advisories. Each class is intended to become a dataset label.</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vAlign w:val="center"/>
            <w:shd w:fill="D9EAF7"/>
          </w:tcPr>
          <w:p>
            <w:pPr>
              <w:spacing w:after="0"/>
            </w:pPr>
            <w:r/>
            <w:r>
              <w:rPr>
                <w:b/>
                <w:sz w:val="17"/>
              </w:rPr>
              <w:t>ID</w:t>
            </w:r>
          </w:p>
        </w:tc>
        <w:tc>
          <w:tcPr>
            <w:tcW w:type="dxa" w:w="1700"/>
            <w:vAlign w:val="center"/>
            <w:shd w:fill="D9EAF7"/>
          </w:tcPr>
          <w:p>
            <w:pPr>
              <w:spacing w:after="0"/>
            </w:pPr>
            <w:r/>
            <w:r>
              <w:rPr>
                <w:b/>
                <w:sz w:val="17"/>
              </w:rPr>
              <w:t>Scenario label</w:t>
            </w:r>
          </w:p>
        </w:tc>
        <w:tc>
          <w:tcPr>
            <w:tcW w:type="dxa" w:w="1700"/>
            <w:vAlign w:val="center"/>
            <w:shd w:fill="D9EAF7"/>
          </w:tcPr>
          <w:p>
            <w:pPr>
              <w:spacing w:after="0"/>
            </w:pPr>
            <w:r/>
            <w:r>
              <w:rPr>
                <w:b/>
                <w:sz w:val="17"/>
              </w:rPr>
              <w:t>Attack path</w:t>
            </w:r>
          </w:p>
        </w:tc>
        <w:tc>
          <w:tcPr>
            <w:tcW w:type="dxa" w:w="1700"/>
            <w:vAlign w:val="center"/>
            <w:shd w:fill="D9EAF7"/>
          </w:tcPr>
          <w:p>
            <w:pPr>
              <w:spacing w:after="0"/>
            </w:pPr>
            <w:r/>
            <w:r>
              <w:rPr>
                <w:b/>
                <w:sz w:val="17"/>
              </w:rPr>
              <w:t>Primary target</w:t>
            </w:r>
          </w:p>
        </w:tc>
        <w:tc>
          <w:tcPr>
            <w:tcW w:type="dxa" w:w="1700"/>
            <w:vAlign w:val="center"/>
            <w:shd w:fill="D9EAF7"/>
          </w:tcPr>
          <w:p>
            <w:pPr>
              <w:spacing w:after="0"/>
            </w:pPr>
            <w:r/>
            <w:r>
              <w:rPr>
                <w:b/>
                <w:sz w:val="17"/>
              </w:rPr>
              <w:t>Main flow / metadata signature</w:t>
            </w:r>
          </w:p>
        </w:tc>
        <w:tc>
          <w:tcPr>
            <w:tcW w:type="dxa" w:w="1700"/>
            <w:vAlign w:val="center"/>
            <w:shd w:fill="D9EAF7"/>
          </w:tcPr>
          <w:p>
            <w:pPr>
              <w:spacing w:after="0"/>
            </w:pPr>
            <w:r/>
            <w:r>
              <w:rPr>
                <w:b/>
                <w:sz w:val="17"/>
              </w:rPr>
              <w:t>Why it is realistic</w:t>
            </w:r>
          </w:p>
        </w:tc>
      </w:tr>
      <w:tr>
        <w:tc>
          <w:tcPr>
            <w:tcW w:type="dxa" w:w="1700"/>
            <w:vAlign w:val="center"/>
          </w:tcPr>
          <w:p>
            <w:pPr>
              <w:spacing w:after="0"/>
            </w:pPr>
            <w:r/>
            <w:r>
              <w:rPr>
                <w:b w:val="0"/>
                <w:sz w:val="16"/>
              </w:rPr>
              <w:t>A01</w:t>
            </w:r>
          </w:p>
        </w:tc>
        <w:tc>
          <w:tcPr>
            <w:tcW w:type="dxa" w:w="1700"/>
            <w:vAlign w:val="center"/>
          </w:tcPr>
          <w:p>
            <w:pPr>
              <w:spacing w:after="0"/>
            </w:pPr>
            <w:r/>
            <w:r>
              <w:rPr>
                <w:b w:val="0"/>
                <w:sz w:val="16"/>
              </w:rPr>
              <w:t>External recon on hospital edge</w:t>
            </w:r>
          </w:p>
        </w:tc>
        <w:tc>
          <w:tcPr>
            <w:tcW w:type="dxa" w:w="1700"/>
            <w:vAlign w:val="center"/>
          </w:tcPr>
          <w:p>
            <w:pPr>
              <w:spacing w:after="0"/>
            </w:pPr>
            <w:r/>
            <w:r>
              <w:rPr>
                <w:b w:val="0"/>
                <w:sz w:val="16"/>
              </w:rPr>
              <w:t>Internet</w:t>
            </w:r>
          </w:p>
        </w:tc>
        <w:tc>
          <w:tcPr>
            <w:tcW w:type="dxa" w:w="1700"/>
            <w:vAlign w:val="center"/>
          </w:tcPr>
          <w:p>
            <w:pPr>
              <w:spacing w:after="0"/>
            </w:pPr>
            <w:r/>
            <w:r>
              <w:rPr>
                <w:b w:val="0"/>
                <w:sz w:val="16"/>
              </w:rPr>
              <w:t>Gateway, PACS web, FHIR, VPN</w:t>
            </w:r>
          </w:p>
        </w:tc>
        <w:tc>
          <w:tcPr>
            <w:tcW w:type="dxa" w:w="1700"/>
            <w:vAlign w:val="center"/>
          </w:tcPr>
          <w:p>
            <w:pPr>
              <w:spacing w:after="0"/>
            </w:pPr>
            <w:r/>
            <w:r>
              <w:rPr>
                <w:b w:val="0"/>
                <w:sz w:val="16"/>
              </w:rPr>
              <w:t>Short flows to many hosts/ports, high unique_dst_ip and unique_dst_port, low bytes/flow</w:t>
            </w:r>
          </w:p>
        </w:tc>
        <w:tc>
          <w:tcPr>
            <w:tcW w:type="dxa" w:w="1700"/>
            <w:vAlign w:val="center"/>
          </w:tcPr>
          <w:p>
            <w:pPr>
              <w:spacing w:after="0"/>
            </w:pPr>
            <w:r/>
            <w:r>
              <w:rPr>
                <w:b w:val="0"/>
                <w:sz w:val="16"/>
              </w:rPr>
              <w:t>Health-ISAC top threat; common precursor to ransomware and credential attacks</w:t>
            </w:r>
          </w:p>
        </w:tc>
      </w:tr>
      <w:tr>
        <w:tc>
          <w:tcPr>
            <w:tcW w:type="dxa" w:w="1700"/>
            <w:vAlign w:val="center"/>
          </w:tcPr>
          <w:p>
            <w:pPr>
              <w:spacing w:after="0"/>
            </w:pPr>
            <w:r/>
            <w:r>
              <w:rPr>
                <w:b w:val="0"/>
                <w:sz w:val="16"/>
              </w:rPr>
              <w:t>A02</w:t>
            </w:r>
          </w:p>
        </w:tc>
        <w:tc>
          <w:tcPr>
            <w:tcW w:type="dxa" w:w="1700"/>
            <w:vAlign w:val="center"/>
          </w:tcPr>
          <w:p>
            <w:pPr>
              <w:spacing w:after="0"/>
            </w:pPr>
            <w:r/>
            <w:r>
              <w:rPr>
                <w:b w:val="0"/>
                <w:sz w:val="16"/>
              </w:rPr>
              <w:t>Service enumeration of clinical web apps</w:t>
            </w:r>
          </w:p>
        </w:tc>
        <w:tc>
          <w:tcPr>
            <w:tcW w:type="dxa" w:w="1700"/>
            <w:vAlign w:val="center"/>
          </w:tcPr>
          <w:p>
            <w:pPr>
              <w:spacing w:after="0"/>
            </w:pPr>
            <w:r/>
            <w:r>
              <w:rPr>
                <w:b w:val="0"/>
                <w:sz w:val="16"/>
              </w:rPr>
              <w:t>Internet</w:t>
            </w:r>
          </w:p>
        </w:tc>
        <w:tc>
          <w:tcPr>
            <w:tcW w:type="dxa" w:w="1700"/>
            <w:vAlign w:val="center"/>
          </w:tcPr>
          <w:p>
            <w:pPr>
              <w:spacing w:after="0"/>
            </w:pPr>
            <w:r/>
            <w:r>
              <w:rPr>
                <w:b w:val="0"/>
                <w:sz w:val="16"/>
              </w:rPr>
              <w:t>PACS, Synapse, web portals</w:t>
            </w:r>
          </w:p>
        </w:tc>
        <w:tc>
          <w:tcPr>
            <w:tcW w:type="dxa" w:w="1700"/>
            <w:vAlign w:val="center"/>
          </w:tcPr>
          <w:p>
            <w:pPr>
              <w:spacing w:after="0"/>
            </w:pPr>
            <w:r/>
            <w:r>
              <w:rPr>
                <w:b w:val="0"/>
                <w:sz w:val="16"/>
              </w:rPr>
              <w:t>Repeated HTTP(S) hits across admin paths, moderate request bursts, small responses</w:t>
            </w:r>
          </w:p>
        </w:tc>
        <w:tc>
          <w:tcPr>
            <w:tcW w:type="dxa" w:w="1700"/>
            <w:vAlign w:val="center"/>
          </w:tcPr>
          <w:p>
            <w:pPr>
              <w:spacing w:after="0"/>
            </w:pPr>
            <w:r/>
            <w:r>
              <w:rPr>
                <w:b w:val="0"/>
                <w:sz w:val="16"/>
              </w:rPr>
              <w:t>Current healthcare campaigns increasingly target exposed services and third-party software</w:t>
            </w:r>
          </w:p>
        </w:tc>
      </w:tr>
      <w:tr>
        <w:tc>
          <w:tcPr>
            <w:tcW w:type="dxa" w:w="1700"/>
            <w:vAlign w:val="center"/>
          </w:tcPr>
          <w:p>
            <w:pPr>
              <w:spacing w:after="0"/>
            </w:pPr>
            <w:r/>
            <w:r>
              <w:rPr>
                <w:b w:val="0"/>
                <w:sz w:val="16"/>
              </w:rPr>
              <w:t>A03</w:t>
            </w:r>
          </w:p>
        </w:tc>
        <w:tc>
          <w:tcPr>
            <w:tcW w:type="dxa" w:w="1700"/>
            <w:vAlign w:val="center"/>
          </w:tcPr>
          <w:p>
            <w:pPr>
              <w:spacing w:after="0"/>
            </w:pPr>
            <w:r/>
            <w:r>
              <w:rPr>
                <w:b w:val="0"/>
                <w:sz w:val="16"/>
              </w:rPr>
              <w:t>Password spraying against VPN/portal</w:t>
            </w:r>
          </w:p>
        </w:tc>
        <w:tc>
          <w:tcPr>
            <w:tcW w:type="dxa" w:w="1700"/>
            <w:vAlign w:val="center"/>
          </w:tcPr>
          <w:p>
            <w:pPr>
              <w:spacing w:after="0"/>
            </w:pPr>
            <w:r/>
            <w:r>
              <w:rPr>
                <w:b w:val="0"/>
                <w:sz w:val="16"/>
              </w:rPr>
              <w:t>Internet</w:t>
            </w:r>
          </w:p>
        </w:tc>
        <w:tc>
          <w:tcPr>
            <w:tcW w:type="dxa" w:w="1700"/>
            <w:vAlign w:val="center"/>
          </w:tcPr>
          <w:p>
            <w:pPr>
              <w:spacing w:after="0"/>
            </w:pPr>
            <w:r/>
            <w:r>
              <w:rPr>
                <w:b w:val="0"/>
                <w:sz w:val="16"/>
              </w:rPr>
              <w:t>Remote access gateway</w:t>
            </w:r>
          </w:p>
        </w:tc>
        <w:tc>
          <w:tcPr>
            <w:tcW w:type="dxa" w:w="1700"/>
            <w:vAlign w:val="center"/>
          </w:tcPr>
          <w:p>
            <w:pPr>
              <w:spacing w:after="0"/>
            </w:pPr>
            <w:r/>
            <w:r>
              <w:rPr>
                <w:b w:val="0"/>
                <w:sz w:val="16"/>
              </w:rPr>
              <w:t>Low-rate repeated login attempts across many usernames, failures dominate, source IP reuse</w:t>
            </w:r>
          </w:p>
        </w:tc>
        <w:tc>
          <w:tcPr>
            <w:tcW w:type="dxa" w:w="1700"/>
            <w:vAlign w:val="center"/>
          </w:tcPr>
          <w:p>
            <w:pPr>
              <w:spacing w:after="0"/>
            </w:pPr>
            <w:r/>
            <w:r>
              <w:rPr>
                <w:b w:val="0"/>
                <w:sz w:val="16"/>
              </w:rPr>
              <w:t>Compromised credentials remain a top healthcare threat</w:t>
            </w:r>
          </w:p>
        </w:tc>
      </w:tr>
      <w:tr>
        <w:tc>
          <w:tcPr>
            <w:tcW w:type="dxa" w:w="1700"/>
            <w:vAlign w:val="center"/>
          </w:tcPr>
          <w:p>
            <w:pPr>
              <w:spacing w:after="0"/>
            </w:pPr>
            <w:r/>
            <w:r>
              <w:rPr>
                <w:b w:val="0"/>
                <w:sz w:val="16"/>
              </w:rPr>
              <w:t>A04</w:t>
            </w:r>
          </w:p>
        </w:tc>
        <w:tc>
          <w:tcPr>
            <w:tcW w:type="dxa" w:w="1700"/>
            <w:vAlign w:val="center"/>
          </w:tcPr>
          <w:p>
            <w:pPr>
              <w:spacing w:after="0"/>
            </w:pPr>
            <w:r/>
            <w:r>
              <w:rPr>
                <w:b w:val="0"/>
                <w:sz w:val="16"/>
              </w:rPr>
              <w:t>Brute force against PACS / imaging portal</w:t>
            </w:r>
          </w:p>
        </w:tc>
        <w:tc>
          <w:tcPr>
            <w:tcW w:type="dxa" w:w="1700"/>
            <w:vAlign w:val="center"/>
          </w:tcPr>
          <w:p>
            <w:pPr>
              <w:spacing w:after="0"/>
            </w:pPr>
            <w:r/>
            <w:r>
              <w:rPr>
                <w:b w:val="0"/>
                <w:sz w:val="16"/>
              </w:rPr>
              <w:t>Internet</w:t>
            </w:r>
          </w:p>
        </w:tc>
        <w:tc>
          <w:tcPr>
            <w:tcW w:type="dxa" w:w="1700"/>
            <w:vAlign w:val="center"/>
          </w:tcPr>
          <w:p>
            <w:pPr>
              <w:spacing w:after="0"/>
            </w:pPr>
            <w:r/>
            <w:r>
              <w:rPr>
                <w:b w:val="0"/>
                <w:sz w:val="16"/>
              </w:rPr>
              <w:t>Imaging portal</w:t>
            </w:r>
          </w:p>
        </w:tc>
        <w:tc>
          <w:tcPr>
            <w:tcW w:type="dxa" w:w="1700"/>
            <w:vAlign w:val="center"/>
          </w:tcPr>
          <w:p>
            <w:pPr>
              <w:spacing w:after="0"/>
            </w:pPr>
            <w:r/>
            <w:r>
              <w:rPr>
                <w:b w:val="0"/>
                <w:sz w:val="16"/>
              </w:rPr>
              <w:t>Higher request rate, repeated auth failures, one or two usernames targeted</w:t>
            </w:r>
          </w:p>
        </w:tc>
        <w:tc>
          <w:tcPr>
            <w:tcW w:type="dxa" w:w="1700"/>
            <w:vAlign w:val="center"/>
          </w:tcPr>
          <w:p>
            <w:pPr>
              <w:spacing w:after="0"/>
            </w:pPr>
            <w:r/>
            <w:r>
              <w:rPr>
                <w:b w:val="0"/>
                <w:sz w:val="16"/>
              </w:rPr>
              <w:t>Imaging software and portals are a major exposed surface</w:t>
            </w:r>
          </w:p>
        </w:tc>
      </w:tr>
      <w:tr>
        <w:tc>
          <w:tcPr>
            <w:tcW w:type="dxa" w:w="1700"/>
            <w:vAlign w:val="center"/>
          </w:tcPr>
          <w:p>
            <w:pPr>
              <w:spacing w:after="0"/>
            </w:pPr>
            <w:r/>
            <w:r>
              <w:rPr>
                <w:b w:val="0"/>
                <w:sz w:val="16"/>
              </w:rPr>
              <w:t>A05</w:t>
            </w:r>
          </w:p>
        </w:tc>
        <w:tc>
          <w:tcPr>
            <w:tcW w:type="dxa" w:w="1700"/>
            <w:vAlign w:val="center"/>
          </w:tcPr>
          <w:p>
            <w:pPr>
              <w:spacing w:after="0"/>
            </w:pPr>
            <w:r/>
            <w:r>
              <w:rPr>
                <w:b w:val="0"/>
                <w:sz w:val="16"/>
              </w:rPr>
              <w:t>Third-party remote support abuse</w:t>
            </w:r>
          </w:p>
        </w:tc>
        <w:tc>
          <w:tcPr>
            <w:tcW w:type="dxa" w:w="1700"/>
            <w:vAlign w:val="center"/>
          </w:tcPr>
          <w:p>
            <w:pPr>
              <w:spacing w:after="0"/>
            </w:pPr>
            <w:r/>
            <w:r>
              <w:rPr>
                <w:b w:val="0"/>
                <w:sz w:val="16"/>
              </w:rPr>
              <w:t>Compromised vendor path</w:t>
            </w:r>
          </w:p>
        </w:tc>
        <w:tc>
          <w:tcPr>
            <w:tcW w:type="dxa" w:w="1700"/>
            <w:vAlign w:val="center"/>
          </w:tcPr>
          <w:p>
            <w:pPr>
              <w:spacing w:after="0"/>
            </w:pPr>
            <w:r/>
            <w:r>
              <w:rPr>
                <w:b w:val="0"/>
                <w:sz w:val="16"/>
              </w:rPr>
              <w:t>Vendor jump host -&gt; clinical zone</w:t>
            </w:r>
          </w:p>
        </w:tc>
        <w:tc>
          <w:tcPr>
            <w:tcW w:type="dxa" w:w="1700"/>
            <w:vAlign w:val="center"/>
          </w:tcPr>
          <w:p>
            <w:pPr>
              <w:spacing w:after="0"/>
            </w:pPr>
            <w:r/>
            <w:r>
              <w:rPr>
                <w:b w:val="0"/>
                <w:sz w:val="16"/>
              </w:rPr>
              <w:t>New remote-admin sessions, off-hours access, unusual vendor IP, sudden internal pivot</w:t>
            </w:r>
          </w:p>
        </w:tc>
        <w:tc>
          <w:tcPr>
            <w:tcW w:type="dxa" w:w="1700"/>
            <w:vAlign w:val="center"/>
          </w:tcPr>
          <w:p>
            <w:pPr>
              <w:spacing w:after="0"/>
            </w:pPr>
            <w:r/>
            <w:r>
              <w:rPr>
                <w:b w:val="0"/>
                <w:sz w:val="16"/>
              </w:rPr>
              <w:t>Third-party breaches rank among the top 2025 health-sector concerns</w:t>
            </w:r>
          </w:p>
        </w:tc>
      </w:tr>
      <w:tr>
        <w:tc>
          <w:tcPr>
            <w:tcW w:type="dxa" w:w="1700"/>
            <w:vAlign w:val="center"/>
          </w:tcPr>
          <w:p>
            <w:pPr>
              <w:spacing w:after="0"/>
            </w:pPr>
            <w:r/>
            <w:r>
              <w:rPr>
                <w:b w:val="0"/>
                <w:sz w:val="16"/>
              </w:rPr>
              <w:t>A06</w:t>
            </w:r>
          </w:p>
        </w:tc>
        <w:tc>
          <w:tcPr>
            <w:tcW w:type="dxa" w:w="1700"/>
            <w:vAlign w:val="center"/>
          </w:tcPr>
          <w:p>
            <w:pPr>
              <w:spacing w:after="0"/>
            </w:pPr>
            <w:r/>
            <w:r>
              <w:rPr>
                <w:b w:val="0"/>
                <w:sz w:val="16"/>
              </w:rPr>
              <w:t>Default credential login to patient monitor</w:t>
            </w:r>
          </w:p>
        </w:tc>
        <w:tc>
          <w:tcPr>
            <w:tcW w:type="dxa" w:w="1700"/>
            <w:vAlign w:val="center"/>
          </w:tcPr>
          <w:p>
            <w:pPr>
              <w:spacing w:after="0"/>
            </w:pPr>
            <w:r/>
            <w:r>
              <w:rPr>
                <w:b w:val="0"/>
                <w:sz w:val="16"/>
              </w:rPr>
              <w:t>Internal / physical foothold</w:t>
            </w:r>
          </w:p>
        </w:tc>
        <w:tc>
          <w:tcPr>
            <w:tcW w:type="dxa" w:w="1700"/>
            <w:vAlign w:val="center"/>
          </w:tcPr>
          <w:p>
            <w:pPr>
              <w:spacing w:after="0"/>
            </w:pPr>
            <w:r/>
            <w:r>
              <w:rPr>
                <w:b w:val="0"/>
                <w:sz w:val="16"/>
              </w:rPr>
              <w:t>Patient monitor / bedside device</w:t>
            </w:r>
          </w:p>
        </w:tc>
        <w:tc>
          <w:tcPr>
            <w:tcW w:type="dxa" w:w="1700"/>
            <w:vAlign w:val="center"/>
          </w:tcPr>
          <w:p>
            <w:pPr>
              <w:spacing w:after="0"/>
            </w:pPr>
            <w:r/>
            <w:r>
              <w:rPr>
                <w:b w:val="0"/>
                <w:sz w:val="16"/>
              </w:rPr>
              <w:t>Immediate successful admin session after minimal attempts; device management queries follow</w:t>
            </w:r>
          </w:p>
        </w:tc>
        <w:tc>
          <w:tcPr>
            <w:tcW w:type="dxa" w:w="1700"/>
            <w:vAlign w:val="center"/>
          </w:tcPr>
          <w:p>
            <w:pPr>
              <w:spacing w:after="0"/>
            </w:pPr>
            <w:r/>
            <w:r>
              <w:rPr>
                <w:b w:val="0"/>
                <w:sz w:val="16"/>
              </w:rPr>
              <w:t>CISA CMS8000 advisory: global default credentials</w:t>
            </w:r>
          </w:p>
        </w:tc>
      </w:tr>
      <w:tr>
        <w:tc>
          <w:tcPr>
            <w:tcW w:type="dxa" w:w="1700"/>
            <w:vAlign w:val="center"/>
          </w:tcPr>
          <w:p>
            <w:pPr>
              <w:spacing w:after="0"/>
            </w:pPr>
            <w:r/>
            <w:r>
              <w:rPr>
                <w:b w:val="0"/>
                <w:sz w:val="16"/>
              </w:rPr>
              <w:t>A07</w:t>
            </w:r>
          </w:p>
        </w:tc>
        <w:tc>
          <w:tcPr>
            <w:tcW w:type="dxa" w:w="1700"/>
            <w:vAlign w:val="center"/>
          </w:tcPr>
          <w:p>
            <w:pPr>
              <w:spacing w:after="0"/>
            </w:pPr>
            <w:r/>
            <w:r>
              <w:rPr>
                <w:b w:val="0"/>
                <w:sz w:val="16"/>
              </w:rPr>
              <w:t>Hard-coded credential abuse on ventilator/app/device</w:t>
            </w:r>
          </w:p>
        </w:tc>
        <w:tc>
          <w:tcPr>
            <w:tcW w:type="dxa" w:w="1700"/>
            <w:vAlign w:val="center"/>
          </w:tcPr>
          <w:p>
            <w:pPr>
              <w:spacing w:after="0"/>
            </w:pPr>
            <w:r/>
            <w:r>
              <w:rPr>
                <w:b w:val="0"/>
                <w:sz w:val="16"/>
              </w:rPr>
              <w:t>Internal / mobile foothold</w:t>
            </w:r>
          </w:p>
        </w:tc>
        <w:tc>
          <w:tcPr>
            <w:tcW w:type="dxa" w:w="1700"/>
            <w:vAlign w:val="center"/>
          </w:tcPr>
          <w:p>
            <w:pPr>
              <w:spacing w:after="0"/>
            </w:pPr>
            <w:r/>
            <w:r>
              <w:rPr>
                <w:b w:val="0"/>
                <w:sz w:val="16"/>
              </w:rPr>
              <w:t>Ventilator, mobile logic app, service interface</w:t>
            </w:r>
          </w:p>
        </w:tc>
        <w:tc>
          <w:tcPr>
            <w:tcW w:type="dxa" w:w="1700"/>
            <w:vAlign w:val="center"/>
          </w:tcPr>
          <w:p>
            <w:pPr>
              <w:spacing w:after="0"/>
            </w:pPr>
            <w:r/>
            <w:r>
              <w:rPr>
                <w:b w:val="0"/>
                <w:sz w:val="16"/>
              </w:rPr>
              <w:t>Successful privileged access without normal auth pattern, config reads/writes follow</w:t>
            </w:r>
          </w:p>
        </w:tc>
        <w:tc>
          <w:tcPr>
            <w:tcW w:type="dxa" w:w="1700"/>
            <w:vAlign w:val="center"/>
          </w:tcPr>
          <w:p>
            <w:pPr>
              <w:spacing w:after="0"/>
            </w:pPr>
            <w:r/>
            <w:r>
              <w:rPr>
                <w:b w:val="0"/>
                <w:sz w:val="16"/>
              </w:rPr>
              <w:t>CISA medical advisories repeatedly cite CWE-798 in medical products</w:t>
            </w:r>
          </w:p>
        </w:tc>
      </w:tr>
      <w:tr>
        <w:tc>
          <w:tcPr>
            <w:tcW w:type="dxa" w:w="1700"/>
            <w:vAlign w:val="center"/>
          </w:tcPr>
          <w:p>
            <w:pPr>
              <w:spacing w:after="0"/>
            </w:pPr>
            <w:r/>
            <w:r>
              <w:rPr>
                <w:b w:val="0"/>
                <w:sz w:val="16"/>
              </w:rPr>
              <w:t>A08</w:t>
            </w:r>
          </w:p>
        </w:tc>
        <w:tc>
          <w:tcPr>
            <w:tcW w:type="dxa" w:w="1700"/>
            <w:vAlign w:val="center"/>
          </w:tcPr>
          <w:p>
            <w:pPr>
              <w:spacing w:after="0"/>
            </w:pPr>
            <w:r/>
            <w:r>
              <w:rPr>
                <w:b w:val="0"/>
                <w:sz w:val="16"/>
              </w:rPr>
              <w:t>Authentication bypass on imaging application</w:t>
            </w:r>
          </w:p>
        </w:tc>
        <w:tc>
          <w:tcPr>
            <w:tcW w:type="dxa" w:w="1700"/>
            <w:vAlign w:val="center"/>
          </w:tcPr>
          <w:p>
            <w:pPr>
              <w:spacing w:after="0"/>
            </w:pPr>
            <w:r/>
            <w:r>
              <w:rPr>
                <w:b w:val="0"/>
                <w:sz w:val="16"/>
              </w:rPr>
              <w:t>Internet or internal</w:t>
            </w:r>
          </w:p>
        </w:tc>
        <w:tc>
          <w:tcPr>
            <w:tcW w:type="dxa" w:w="1700"/>
            <w:vAlign w:val="center"/>
          </w:tcPr>
          <w:p>
            <w:pPr>
              <w:spacing w:after="0"/>
            </w:pPr>
            <w:r/>
            <w:r>
              <w:rPr>
                <w:b w:val="0"/>
                <w:sz w:val="16"/>
              </w:rPr>
              <w:t>Synapse/medical imaging app</w:t>
            </w:r>
          </w:p>
        </w:tc>
        <w:tc>
          <w:tcPr>
            <w:tcW w:type="dxa" w:w="1700"/>
            <w:vAlign w:val="center"/>
          </w:tcPr>
          <w:p>
            <w:pPr>
              <w:spacing w:after="0"/>
            </w:pPr>
            <w:r/>
            <w:r>
              <w:rPr>
                <w:b w:val="0"/>
                <w:sz w:val="16"/>
              </w:rPr>
              <w:t>Privileged resource access without prior login sequence, abnormal role escalation</w:t>
            </w:r>
          </w:p>
        </w:tc>
        <w:tc>
          <w:tcPr>
            <w:tcW w:type="dxa" w:w="1700"/>
            <w:vAlign w:val="center"/>
          </w:tcPr>
          <w:p>
            <w:pPr>
              <w:spacing w:after="0"/>
            </w:pPr>
            <w:r/>
            <w:r>
              <w:rPr>
                <w:b w:val="0"/>
                <w:sz w:val="16"/>
              </w:rPr>
              <w:t>CISA advisories include auth bypass in imaging systems</w:t>
            </w:r>
          </w:p>
        </w:tc>
      </w:tr>
    </w:tbl>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vAlign w:val="center"/>
            <w:shd w:fill="D9EAF7"/>
          </w:tcPr>
          <w:p>
            <w:pPr>
              <w:spacing w:after="0"/>
            </w:pPr>
            <w:r/>
            <w:r>
              <w:rPr>
                <w:b/>
                <w:sz w:val="17"/>
              </w:rPr>
              <w:t>ID</w:t>
            </w:r>
          </w:p>
        </w:tc>
        <w:tc>
          <w:tcPr>
            <w:tcW w:type="dxa" w:w="1700"/>
            <w:vAlign w:val="center"/>
            <w:shd w:fill="D9EAF7"/>
          </w:tcPr>
          <w:p>
            <w:pPr>
              <w:spacing w:after="0"/>
            </w:pPr>
            <w:r/>
            <w:r>
              <w:rPr>
                <w:b/>
                <w:sz w:val="17"/>
              </w:rPr>
              <w:t>Scenario label</w:t>
            </w:r>
          </w:p>
        </w:tc>
        <w:tc>
          <w:tcPr>
            <w:tcW w:type="dxa" w:w="1700"/>
            <w:vAlign w:val="center"/>
            <w:shd w:fill="D9EAF7"/>
          </w:tcPr>
          <w:p>
            <w:pPr>
              <w:spacing w:after="0"/>
            </w:pPr>
            <w:r/>
            <w:r>
              <w:rPr>
                <w:b/>
                <w:sz w:val="17"/>
              </w:rPr>
              <w:t>Attack path</w:t>
            </w:r>
          </w:p>
        </w:tc>
        <w:tc>
          <w:tcPr>
            <w:tcW w:type="dxa" w:w="1700"/>
            <w:vAlign w:val="center"/>
            <w:shd w:fill="D9EAF7"/>
          </w:tcPr>
          <w:p>
            <w:pPr>
              <w:spacing w:after="0"/>
            </w:pPr>
            <w:r/>
            <w:r>
              <w:rPr>
                <w:b/>
                <w:sz w:val="17"/>
              </w:rPr>
              <w:t>Primary target</w:t>
            </w:r>
          </w:p>
        </w:tc>
        <w:tc>
          <w:tcPr>
            <w:tcW w:type="dxa" w:w="1700"/>
            <w:vAlign w:val="center"/>
            <w:shd w:fill="D9EAF7"/>
          </w:tcPr>
          <w:p>
            <w:pPr>
              <w:spacing w:after="0"/>
            </w:pPr>
            <w:r/>
            <w:r>
              <w:rPr>
                <w:b/>
                <w:sz w:val="17"/>
              </w:rPr>
              <w:t>Main flow / metadata signature</w:t>
            </w:r>
          </w:p>
        </w:tc>
        <w:tc>
          <w:tcPr>
            <w:tcW w:type="dxa" w:w="1700"/>
            <w:vAlign w:val="center"/>
            <w:shd w:fill="D9EAF7"/>
          </w:tcPr>
          <w:p>
            <w:pPr>
              <w:spacing w:after="0"/>
            </w:pPr>
            <w:r/>
            <w:r>
              <w:rPr>
                <w:b/>
                <w:sz w:val="17"/>
              </w:rPr>
              <w:t>Why it is realistic</w:t>
            </w:r>
          </w:p>
        </w:tc>
      </w:tr>
      <w:tr>
        <w:tc>
          <w:tcPr>
            <w:tcW w:type="dxa" w:w="1700"/>
            <w:vAlign w:val="center"/>
          </w:tcPr>
          <w:p>
            <w:pPr>
              <w:spacing w:after="0"/>
            </w:pPr>
            <w:r/>
            <w:r>
              <w:rPr>
                <w:b w:val="0"/>
                <w:sz w:val="16"/>
              </w:rPr>
              <w:t>A09</w:t>
            </w:r>
          </w:p>
        </w:tc>
        <w:tc>
          <w:tcPr>
            <w:tcW w:type="dxa" w:w="1700"/>
            <w:vAlign w:val="center"/>
          </w:tcPr>
          <w:p>
            <w:pPr>
              <w:spacing w:after="0"/>
            </w:pPr>
            <w:r/>
            <w:r>
              <w:rPr>
                <w:b w:val="0"/>
                <w:sz w:val="16"/>
              </w:rPr>
              <w:t>Replay-token attack on cardiology platform</w:t>
            </w:r>
          </w:p>
        </w:tc>
        <w:tc>
          <w:tcPr>
            <w:tcW w:type="dxa" w:w="1700"/>
            <w:vAlign w:val="center"/>
          </w:tcPr>
          <w:p>
            <w:pPr>
              <w:spacing w:after="0"/>
            </w:pPr>
            <w:r/>
            <w:r>
              <w:rPr>
                <w:b w:val="0"/>
                <w:sz w:val="16"/>
              </w:rPr>
              <w:t>Internal / compromised endpoint</w:t>
            </w:r>
          </w:p>
        </w:tc>
        <w:tc>
          <w:tcPr>
            <w:tcW w:type="dxa" w:w="1700"/>
            <w:vAlign w:val="center"/>
          </w:tcPr>
          <w:p>
            <w:pPr>
              <w:spacing w:after="0"/>
            </w:pPr>
            <w:r/>
            <w:r>
              <w:rPr>
                <w:b w:val="0"/>
                <w:sz w:val="16"/>
              </w:rPr>
              <w:t>Clinical application</w:t>
            </w:r>
          </w:p>
        </w:tc>
        <w:tc>
          <w:tcPr>
            <w:tcW w:type="dxa" w:w="1700"/>
            <w:vAlign w:val="center"/>
          </w:tcPr>
          <w:p>
            <w:pPr>
              <w:spacing w:after="0"/>
            </w:pPr>
            <w:r/>
            <w:r>
              <w:rPr>
                <w:b w:val="0"/>
                <w:sz w:val="16"/>
              </w:rPr>
              <w:t>Reused auth token/session identifier, repeated access from shifted client context</w:t>
            </w:r>
          </w:p>
        </w:tc>
        <w:tc>
          <w:tcPr>
            <w:tcW w:type="dxa" w:w="1700"/>
            <w:vAlign w:val="center"/>
          </w:tcPr>
          <w:p>
            <w:pPr>
              <w:spacing w:after="0"/>
            </w:pPr>
            <w:r/>
            <w:r>
              <w:rPr>
                <w:b w:val="0"/>
                <w:sz w:val="16"/>
              </w:rPr>
              <w:t>Philips ISCV advisory highlighted replay and auth bypass</w:t>
            </w:r>
          </w:p>
        </w:tc>
      </w:tr>
      <w:tr>
        <w:tc>
          <w:tcPr>
            <w:tcW w:type="dxa" w:w="1700"/>
            <w:vAlign w:val="center"/>
          </w:tcPr>
          <w:p>
            <w:pPr>
              <w:spacing w:after="0"/>
            </w:pPr>
            <w:r/>
            <w:r>
              <w:rPr>
                <w:b w:val="0"/>
                <w:sz w:val="16"/>
              </w:rPr>
              <w:t>A10</w:t>
            </w:r>
          </w:p>
        </w:tc>
        <w:tc>
          <w:tcPr>
            <w:tcW w:type="dxa" w:w="1700"/>
            <w:vAlign w:val="center"/>
          </w:tcPr>
          <w:p>
            <w:pPr>
              <w:spacing w:after="0"/>
            </w:pPr>
            <w:r/>
            <w:r>
              <w:rPr>
                <w:b w:val="0"/>
                <w:sz w:val="16"/>
              </w:rPr>
              <w:t>Cleartext credential capture and reuse</w:t>
            </w:r>
          </w:p>
        </w:tc>
        <w:tc>
          <w:tcPr>
            <w:tcW w:type="dxa" w:w="1700"/>
            <w:vAlign w:val="center"/>
          </w:tcPr>
          <w:p>
            <w:pPr>
              <w:spacing w:after="0"/>
            </w:pPr>
            <w:r/>
            <w:r>
              <w:rPr>
                <w:b w:val="0"/>
                <w:sz w:val="16"/>
              </w:rPr>
              <w:t>Internal same subnet</w:t>
            </w:r>
          </w:p>
        </w:tc>
        <w:tc>
          <w:tcPr>
            <w:tcW w:type="dxa" w:w="1700"/>
            <w:vAlign w:val="center"/>
          </w:tcPr>
          <w:p>
            <w:pPr>
              <w:spacing w:after="0"/>
            </w:pPr>
            <w:r/>
            <w:r>
              <w:rPr>
                <w:b w:val="0"/>
                <w:sz w:val="16"/>
              </w:rPr>
              <w:t>Web portal / mobile app</w:t>
            </w:r>
          </w:p>
        </w:tc>
        <w:tc>
          <w:tcPr>
            <w:tcW w:type="dxa" w:w="1700"/>
            <w:vAlign w:val="center"/>
          </w:tcPr>
          <w:p>
            <w:pPr>
              <w:spacing w:after="0"/>
            </w:pPr>
            <w:r/>
            <w:r>
              <w:rPr>
                <w:b w:val="0"/>
                <w:sz w:val="16"/>
              </w:rPr>
              <w:t>First cleartext auth exchange, then successful reuse from another source; low crypto indicators</w:t>
            </w:r>
          </w:p>
        </w:tc>
        <w:tc>
          <w:tcPr>
            <w:tcW w:type="dxa" w:w="1700"/>
            <w:vAlign w:val="center"/>
          </w:tcPr>
          <w:p>
            <w:pPr>
              <w:spacing w:after="0"/>
            </w:pPr>
            <w:r/>
            <w:r>
              <w:rPr>
                <w:b w:val="0"/>
                <w:sz w:val="16"/>
              </w:rPr>
              <w:t>CISA advisories cite cleartext transmission of sensitive credentials</w:t>
            </w:r>
          </w:p>
        </w:tc>
      </w:tr>
      <w:tr>
        <w:tc>
          <w:tcPr>
            <w:tcW w:type="dxa" w:w="1700"/>
            <w:vAlign w:val="center"/>
          </w:tcPr>
          <w:p>
            <w:pPr>
              <w:spacing w:after="0"/>
            </w:pPr>
            <w:r/>
            <w:r>
              <w:rPr>
                <w:b w:val="0"/>
                <w:sz w:val="16"/>
              </w:rPr>
              <w:t>A11</w:t>
            </w:r>
          </w:p>
        </w:tc>
        <w:tc>
          <w:tcPr>
            <w:tcW w:type="dxa" w:w="1700"/>
            <w:vAlign w:val="center"/>
          </w:tcPr>
          <w:p>
            <w:pPr>
              <w:spacing w:after="0"/>
            </w:pPr>
            <w:r/>
            <w:r>
              <w:rPr>
                <w:b w:val="0"/>
                <w:sz w:val="16"/>
              </w:rPr>
              <w:t>BLE telemetry sniff-and-replay</w:t>
            </w:r>
          </w:p>
        </w:tc>
        <w:tc>
          <w:tcPr>
            <w:tcW w:type="dxa" w:w="1700"/>
            <w:vAlign w:val="center"/>
          </w:tcPr>
          <w:p>
            <w:pPr>
              <w:spacing w:after="0"/>
            </w:pPr>
            <w:r/>
            <w:r>
              <w:rPr>
                <w:b w:val="0"/>
                <w:sz w:val="16"/>
              </w:rPr>
              <w:t>Near-device attacker</w:t>
            </w:r>
          </w:p>
        </w:tc>
        <w:tc>
          <w:tcPr>
            <w:tcW w:type="dxa" w:w="1700"/>
            <w:vAlign w:val="center"/>
          </w:tcPr>
          <w:p>
            <w:pPr>
              <w:spacing w:after="0"/>
            </w:pPr>
            <w:r/>
            <w:r>
              <w:rPr>
                <w:b w:val="0"/>
                <w:sz w:val="16"/>
              </w:rPr>
              <w:t>Wearable / BLE medical device</w:t>
            </w:r>
          </w:p>
        </w:tc>
        <w:tc>
          <w:tcPr>
            <w:tcW w:type="dxa" w:w="1700"/>
            <w:vAlign w:val="center"/>
          </w:tcPr>
          <w:p>
            <w:pPr>
              <w:spacing w:after="0"/>
            </w:pPr>
            <w:r/>
            <w:r>
              <w:rPr>
                <w:b w:val="0"/>
                <w:sz w:val="16"/>
              </w:rPr>
              <w:t>Duplicate message timings, repeated sequence behavior, telemetry integrity anomaly</w:t>
            </w:r>
          </w:p>
        </w:tc>
        <w:tc>
          <w:tcPr>
            <w:tcW w:type="dxa" w:w="1700"/>
            <w:vAlign w:val="center"/>
          </w:tcPr>
          <w:p>
            <w:pPr>
              <w:spacing w:after="0"/>
            </w:pPr>
            <w:r/>
            <w:r>
              <w:rPr>
                <w:b w:val="0"/>
                <w:sz w:val="16"/>
              </w:rPr>
              <w:t>CISA advisory: unencrypted BLE packets lacking auth/integrity</w:t>
            </w:r>
          </w:p>
        </w:tc>
      </w:tr>
      <w:tr>
        <w:tc>
          <w:tcPr>
            <w:tcW w:type="dxa" w:w="1700"/>
            <w:vAlign w:val="center"/>
          </w:tcPr>
          <w:p>
            <w:pPr>
              <w:spacing w:after="0"/>
            </w:pPr>
            <w:r/>
            <w:r>
              <w:rPr>
                <w:b w:val="0"/>
                <w:sz w:val="16"/>
              </w:rPr>
              <w:t>A12</w:t>
            </w:r>
          </w:p>
        </w:tc>
        <w:tc>
          <w:tcPr>
            <w:tcW w:type="dxa" w:w="1700"/>
            <w:vAlign w:val="center"/>
          </w:tcPr>
          <w:p>
            <w:pPr>
              <w:spacing w:after="0"/>
            </w:pPr>
            <w:r/>
            <w:r>
              <w:rPr>
                <w:b w:val="0"/>
                <w:sz w:val="16"/>
              </w:rPr>
              <w:t>Unauthorized firmware push / update tampering</w:t>
            </w:r>
          </w:p>
        </w:tc>
        <w:tc>
          <w:tcPr>
            <w:tcW w:type="dxa" w:w="1700"/>
            <w:vAlign w:val="center"/>
          </w:tcPr>
          <w:p>
            <w:pPr>
              <w:spacing w:after="0"/>
            </w:pPr>
            <w:r/>
            <w:r>
              <w:rPr>
                <w:b w:val="0"/>
                <w:sz w:val="16"/>
              </w:rPr>
              <w:t>Internal privileged access</w:t>
            </w:r>
          </w:p>
        </w:tc>
        <w:tc>
          <w:tcPr>
            <w:tcW w:type="dxa" w:w="1700"/>
            <w:vAlign w:val="center"/>
          </w:tcPr>
          <w:p>
            <w:pPr>
              <w:spacing w:after="0"/>
            </w:pPr>
            <w:r/>
            <w:r>
              <w:rPr>
                <w:b w:val="0"/>
                <w:sz w:val="16"/>
              </w:rPr>
              <w:t>IoMT device fleet</w:t>
            </w:r>
          </w:p>
        </w:tc>
        <w:tc>
          <w:tcPr>
            <w:tcW w:type="dxa" w:w="1700"/>
            <w:vAlign w:val="center"/>
          </w:tcPr>
          <w:p>
            <w:pPr>
              <w:spacing w:after="0"/>
            </w:pPr>
            <w:r/>
            <w:r>
              <w:rPr>
                <w:b w:val="0"/>
                <w:sz w:val="16"/>
              </w:rPr>
              <w:t>Large management transfers, update endpoint traffic, device reboot silence or reconnect wave</w:t>
            </w:r>
          </w:p>
        </w:tc>
        <w:tc>
          <w:tcPr>
            <w:tcW w:type="dxa" w:w="1700"/>
            <w:vAlign w:val="center"/>
          </w:tcPr>
          <w:p>
            <w:pPr>
              <w:spacing w:after="0"/>
            </w:pPr>
            <w:r/>
            <w:r>
              <w:rPr>
                <w:b w:val="0"/>
                <w:sz w:val="16"/>
              </w:rPr>
              <w:t>FDA stresses authenticated updates; CISA CMS8000 notes firmware modification risk</w:t>
            </w:r>
          </w:p>
        </w:tc>
      </w:tr>
      <w:tr>
        <w:tc>
          <w:tcPr>
            <w:tcW w:type="dxa" w:w="1700"/>
            <w:vAlign w:val="center"/>
          </w:tcPr>
          <w:p>
            <w:pPr>
              <w:spacing w:after="0"/>
            </w:pPr>
            <w:r/>
            <w:r>
              <w:rPr>
                <w:b w:val="0"/>
                <w:sz w:val="16"/>
              </w:rPr>
              <w:t>A13</w:t>
            </w:r>
          </w:p>
        </w:tc>
        <w:tc>
          <w:tcPr>
            <w:tcW w:type="dxa" w:w="1700"/>
            <w:vAlign w:val="center"/>
          </w:tcPr>
          <w:p>
            <w:pPr>
              <w:spacing w:after="0"/>
            </w:pPr>
            <w:r/>
            <w:r>
              <w:rPr>
                <w:b w:val="0"/>
                <w:sz w:val="16"/>
              </w:rPr>
              <w:t>DICOM study discovery / patient lookup abuse</w:t>
            </w:r>
          </w:p>
        </w:tc>
        <w:tc>
          <w:tcPr>
            <w:tcW w:type="dxa" w:w="1700"/>
            <w:vAlign w:val="center"/>
          </w:tcPr>
          <w:p>
            <w:pPr>
              <w:spacing w:after="0"/>
            </w:pPr>
            <w:r/>
            <w:r>
              <w:rPr>
                <w:b w:val="0"/>
                <w:sz w:val="16"/>
              </w:rPr>
              <w:t>Compromised workstation</w:t>
            </w:r>
          </w:p>
        </w:tc>
        <w:tc>
          <w:tcPr>
            <w:tcW w:type="dxa" w:w="1700"/>
            <w:vAlign w:val="center"/>
          </w:tcPr>
          <w:p>
            <w:pPr>
              <w:spacing w:after="0"/>
            </w:pPr>
            <w:r/>
            <w:r>
              <w:rPr>
                <w:b w:val="0"/>
                <w:sz w:val="16"/>
              </w:rPr>
              <w:t>PACS / archive</w:t>
            </w:r>
          </w:p>
        </w:tc>
        <w:tc>
          <w:tcPr>
            <w:tcW w:type="dxa" w:w="1700"/>
            <w:vAlign w:val="center"/>
          </w:tcPr>
          <w:p>
            <w:pPr>
              <w:spacing w:after="0"/>
            </w:pPr>
            <w:r/>
            <w:r>
              <w:rPr>
                <w:b w:val="0"/>
                <w:sz w:val="16"/>
              </w:rPr>
              <w:t>Spike in DICOM query/retrieve actions, many C-FIND-like queries, low initial bytes then larger fetches</w:t>
            </w:r>
          </w:p>
        </w:tc>
        <w:tc>
          <w:tcPr>
            <w:tcW w:type="dxa" w:w="1700"/>
            <w:vAlign w:val="center"/>
          </w:tcPr>
          <w:p>
            <w:pPr>
              <w:spacing w:after="0"/>
            </w:pPr>
            <w:r/>
            <w:r>
              <w:rPr>
                <w:b w:val="0"/>
                <w:sz w:val="16"/>
              </w:rPr>
              <w:t>Imaging systems are the most at-risk healthcare device category in Claroty 2025</w:t>
            </w:r>
          </w:p>
        </w:tc>
      </w:tr>
      <w:tr>
        <w:tc>
          <w:tcPr>
            <w:tcW w:type="dxa" w:w="1700"/>
            <w:vAlign w:val="center"/>
          </w:tcPr>
          <w:p>
            <w:pPr>
              <w:spacing w:after="0"/>
            </w:pPr>
            <w:r/>
            <w:r>
              <w:rPr>
                <w:b w:val="0"/>
                <w:sz w:val="16"/>
              </w:rPr>
              <w:t>A14</w:t>
            </w:r>
          </w:p>
        </w:tc>
        <w:tc>
          <w:tcPr>
            <w:tcW w:type="dxa" w:w="1700"/>
            <w:vAlign w:val="center"/>
          </w:tcPr>
          <w:p>
            <w:pPr>
              <w:spacing w:after="0"/>
            </w:pPr>
            <w:r/>
            <w:r>
              <w:rPr>
                <w:b w:val="0"/>
                <w:sz w:val="16"/>
              </w:rPr>
              <w:t>Bulk DICOM/PACS image exfiltration</w:t>
            </w:r>
          </w:p>
        </w:tc>
        <w:tc>
          <w:tcPr>
            <w:tcW w:type="dxa" w:w="1700"/>
            <w:vAlign w:val="center"/>
          </w:tcPr>
          <w:p>
            <w:pPr>
              <w:spacing w:after="0"/>
            </w:pPr>
            <w:r/>
            <w:r>
              <w:rPr>
                <w:b w:val="0"/>
                <w:sz w:val="16"/>
              </w:rPr>
              <w:t>Compromised radiology host</w:t>
            </w:r>
          </w:p>
        </w:tc>
        <w:tc>
          <w:tcPr>
            <w:tcW w:type="dxa" w:w="1700"/>
            <w:vAlign w:val="center"/>
          </w:tcPr>
          <w:p>
            <w:pPr>
              <w:spacing w:after="0"/>
            </w:pPr>
            <w:r/>
            <w:r>
              <w:rPr>
                <w:b w:val="0"/>
                <w:sz w:val="16"/>
              </w:rPr>
              <w:t>PACS / viewer / archive</w:t>
            </w:r>
          </w:p>
        </w:tc>
        <w:tc>
          <w:tcPr>
            <w:tcW w:type="dxa" w:w="1700"/>
            <w:vAlign w:val="center"/>
          </w:tcPr>
          <w:p>
            <w:pPr>
              <w:spacing w:after="0"/>
            </w:pPr>
            <w:r/>
            <w:r>
              <w:rPr>
                <w:b w:val="0"/>
                <w:sz w:val="16"/>
              </w:rPr>
              <w:t>Sustained large DICOM bytes to unusual peer, many study moves, outbound bytes surge</w:t>
            </w:r>
          </w:p>
        </w:tc>
        <w:tc>
          <w:tcPr>
            <w:tcW w:type="dxa" w:w="1700"/>
            <w:vAlign w:val="center"/>
          </w:tcPr>
          <w:p>
            <w:pPr>
              <w:spacing w:after="0"/>
            </w:pPr>
            <w:r/>
            <w:r>
              <w:rPr>
                <w:b w:val="0"/>
                <w:sz w:val="16"/>
              </w:rPr>
              <w:t>Imaging software accounted for a significantly larger share of medical advisories in 2025</w:t>
            </w:r>
          </w:p>
        </w:tc>
      </w:tr>
      <w:tr>
        <w:tc>
          <w:tcPr>
            <w:tcW w:type="dxa" w:w="1700"/>
            <w:vAlign w:val="center"/>
          </w:tcPr>
          <w:p>
            <w:pPr>
              <w:spacing w:after="0"/>
            </w:pPr>
            <w:r/>
            <w:r>
              <w:rPr>
                <w:b w:val="0"/>
                <w:sz w:val="16"/>
              </w:rPr>
              <w:t>A15</w:t>
            </w:r>
          </w:p>
        </w:tc>
        <w:tc>
          <w:tcPr>
            <w:tcW w:type="dxa" w:w="1700"/>
            <w:vAlign w:val="center"/>
          </w:tcPr>
          <w:p>
            <w:pPr>
              <w:spacing w:after="0"/>
            </w:pPr>
            <w:r/>
            <w:r>
              <w:rPr>
                <w:b w:val="0"/>
                <w:sz w:val="16"/>
              </w:rPr>
              <w:t>FHIR / API bulk record pull</w:t>
            </w:r>
          </w:p>
        </w:tc>
        <w:tc>
          <w:tcPr>
            <w:tcW w:type="dxa" w:w="1700"/>
            <w:vAlign w:val="center"/>
          </w:tcPr>
          <w:p>
            <w:pPr>
              <w:spacing w:after="0"/>
            </w:pPr>
            <w:r/>
            <w:r>
              <w:rPr>
                <w:b w:val="0"/>
                <w:sz w:val="16"/>
              </w:rPr>
              <w:t>Compromised app token</w:t>
            </w:r>
          </w:p>
        </w:tc>
        <w:tc>
          <w:tcPr>
            <w:tcW w:type="dxa" w:w="1700"/>
            <w:vAlign w:val="center"/>
          </w:tcPr>
          <w:p>
            <w:pPr>
              <w:spacing w:after="0"/>
            </w:pPr>
            <w:r/>
            <w:r>
              <w:rPr>
                <w:b w:val="0"/>
                <w:sz w:val="16"/>
              </w:rPr>
              <w:t>FHIR server / cloud API</w:t>
            </w:r>
          </w:p>
        </w:tc>
        <w:tc>
          <w:tcPr>
            <w:tcW w:type="dxa" w:w="1700"/>
            <w:vAlign w:val="center"/>
          </w:tcPr>
          <w:p>
            <w:pPr>
              <w:spacing w:after="0"/>
            </w:pPr>
            <w:r/>
            <w:r>
              <w:rPr>
                <w:b w:val="0"/>
                <w:sz w:val="16"/>
              </w:rPr>
              <w:t>High GET rate, high object count, mostly read-only but anomalous volume and pagination</w:t>
            </w:r>
          </w:p>
        </w:tc>
        <w:tc>
          <w:tcPr>
            <w:tcW w:type="dxa" w:w="1700"/>
            <w:vAlign w:val="center"/>
          </w:tcPr>
          <w:p>
            <w:pPr>
              <w:spacing w:after="0"/>
            </w:pPr>
            <w:r/>
            <w:r>
              <w:rPr>
                <w:b w:val="0"/>
                <w:sz w:val="16"/>
              </w:rPr>
              <w:t>Healthcare data breaches and API/token misuse remain operational concerns</w:t>
            </w:r>
          </w:p>
        </w:tc>
      </w:tr>
      <w:tr>
        <w:tc>
          <w:tcPr>
            <w:tcW w:type="dxa" w:w="1700"/>
            <w:vAlign w:val="center"/>
          </w:tcPr>
          <w:p>
            <w:pPr>
              <w:spacing w:after="0"/>
            </w:pPr>
            <w:r/>
            <w:r>
              <w:rPr>
                <w:b w:val="0"/>
                <w:sz w:val="16"/>
              </w:rPr>
              <w:t>A16</w:t>
            </w:r>
          </w:p>
        </w:tc>
        <w:tc>
          <w:tcPr>
            <w:tcW w:type="dxa" w:w="1700"/>
            <w:vAlign w:val="center"/>
          </w:tcPr>
          <w:p>
            <w:pPr>
              <w:spacing w:after="0"/>
            </w:pPr>
            <w:r/>
            <w:r>
              <w:rPr>
                <w:b w:val="0"/>
                <w:sz w:val="16"/>
              </w:rPr>
              <w:t>HL7 interface abuse / message flood</w:t>
            </w:r>
          </w:p>
        </w:tc>
        <w:tc>
          <w:tcPr>
            <w:tcW w:type="dxa" w:w="1700"/>
            <w:vAlign w:val="center"/>
          </w:tcPr>
          <w:p>
            <w:pPr>
              <w:spacing w:after="0"/>
            </w:pPr>
            <w:r/>
            <w:r>
              <w:rPr>
                <w:b w:val="0"/>
                <w:sz w:val="16"/>
              </w:rPr>
              <w:t>Compromised clinical app</w:t>
            </w:r>
          </w:p>
        </w:tc>
        <w:tc>
          <w:tcPr>
            <w:tcW w:type="dxa" w:w="1700"/>
            <w:vAlign w:val="center"/>
          </w:tcPr>
          <w:p>
            <w:pPr>
              <w:spacing w:after="0"/>
            </w:pPr>
            <w:r/>
            <w:r>
              <w:rPr>
                <w:b w:val="0"/>
                <w:sz w:val="16"/>
              </w:rPr>
              <w:t>HL7 engine / LIS / EHR adapter</w:t>
            </w:r>
          </w:p>
        </w:tc>
        <w:tc>
          <w:tcPr>
            <w:tcW w:type="dxa" w:w="1700"/>
            <w:vAlign w:val="center"/>
          </w:tcPr>
          <w:p>
            <w:pPr>
              <w:spacing w:after="0"/>
            </w:pPr>
            <w:r/>
            <w:r>
              <w:rPr>
                <w:b w:val="0"/>
                <w:sz w:val="16"/>
              </w:rPr>
              <w:t>Abnormal HL7 message count, bursts from non-standard sender, retries and parser errors</w:t>
            </w:r>
          </w:p>
        </w:tc>
        <w:tc>
          <w:tcPr>
            <w:tcW w:type="dxa" w:w="1700"/>
            <w:vAlign w:val="center"/>
          </w:tcPr>
          <w:p>
            <w:pPr>
              <w:spacing w:after="0"/>
            </w:pPr>
            <w:r/>
            <w:r>
              <w:rPr>
                <w:b w:val="0"/>
                <w:sz w:val="16"/>
              </w:rPr>
              <w:t>Hospital interoperability hubs are central, high-impact choke points</w:t>
            </w:r>
          </w:p>
        </w:tc>
      </w:tr>
    </w:tbl>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vAlign w:val="center"/>
            <w:shd w:fill="D9EAF7"/>
          </w:tcPr>
          <w:p>
            <w:pPr>
              <w:spacing w:after="0"/>
            </w:pPr>
            <w:r/>
            <w:r>
              <w:rPr>
                <w:b/>
                <w:sz w:val="17"/>
              </w:rPr>
              <w:t>ID</w:t>
            </w:r>
          </w:p>
        </w:tc>
        <w:tc>
          <w:tcPr>
            <w:tcW w:type="dxa" w:w="1700"/>
            <w:vAlign w:val="center"/>
            <w:shd w:fill="D9EAF7"/>
          </w:tcPr>
          <w:p>
            <w:pPr>
              <w:spacing w:after="0"/>
            </w:pPr>
            <w:r/>
            <w:r>
              <w:rPr>
                <w:b/>
                <w:sz w:val="17"/>
              </w:rPr>
              <w:t>Scenario label</w:t>
            </w:r>
          </w:p>
        </w:tc>
        <w:tc>
          <w:tcPr>
            <w:tcW w:type="dxa" w:w="1700"/>
            <w:vAlign w:val="center"/>
            <w:shd w:fill="D9EAF7"/>
          </w:tcPr>
          <w:p>
            <w:pPr>
              <w:spacing w:after="0"/>
            </w:pPr>
            <w:r/>
            <w:r>
              <w:rPr>
                <w:b/>
                <w:sz w:val="17"/>
              </w:rPr>
              <w:t>Attack path</w:t>
            </w:r>
          </w:p>
        </w:tc>
        <w:tc>
          <w:tcPr>
            <w:tcW w:type="dxa" w:w="1700"/>
            <w:vAlign w:val="center"/>
            <w:shd w:fill="D9EAF7"/>
          </w:tcPr>
          <w:p>
            <w:pPr>
              <w:spacing w:after="0"/>
            </w:pPr>
            <w:r/>
            <w:r>
              <w:rPr>
                <w:b/>
                <w:sz w:val="17"/>
              </w:rPr>
              <w:t>Primary target</w:t>
            </w:r>
          </w:p>
        </w:tc>
        <w:tc>
          <w:tcPr>
            <w:tcW w:type="dxa" w:w="1700"/>
            <w:vAlign w:val="center"/>
            <w:shd w:fill="D9EAF7"/>
          </w:tcPr>
          <w:p>
            <w:pPr>
              <w:spacing w:after="0"/>
            </w:pPr>
            <w:r/>
            <w:r>
              <w:rPr>
                <w:b/>
                <w:sz w:val="17"/>
              </w:rPr>
              <w:t>Main flow / metadata signature</w:t>
            </w:r>
          </w:p>
        </w:tc>
        <w:tc>
          <w:tcPr>
            <w:tcW w:type="dxa" w:w="1700"/>
            <w:vAlign w:val="center"/>
            <w:shd w:fill="D9EAF7"/>
          </w:tcPr>
          <w:p>
            <w:pPr>
              <w:spacing w:after="0"/>
            </w:pPr>
            <w:r/>
            <w:r>
              <w:rPr>
                <w:b/>
                <w:sz w:val="17"/>
              </w:rPr>
              <w:t>Why it is realistic</w:t>
            </w:r>
          </w:p>
        </w:tc>
      </w:tr>
      <w:tr>
        <w:tc>
          <w:tcPr>
            <w:tcW w:type="dxa" w:w="1700"/>
            <w:vAlign w:val="center"/>
          </w:tcPr>
          <w:p>
            <w:pPr>
              <w:spacing w:after="0"/>
            </w:pPr>
            <w:r/>
            <w:r>
              <w:rPr>
                <w:b w:val="0"/>
                <w:sz w:val="16"/>
              </w:rPr>
              <w:t>A17</w:t>
            </w:r>
          </w:p>
        </w:tc>
        <w:tc>
          <w:tcPr>
            <w:tcW w:type="dxa" w:w="1700"/>
            <w:vAlign w:val="center"/>
          </w:tcPr>
          <w:p>
            <w:pPr>
              <w:spacing w:after="0"/>
            </w:pPr>
            <w:r/>
            <w:r>
              <w:rPr>
                <w:b w:val="0"/>
                <w:sz w:val="16"/>
              </w:rPr>
              <w:t>East-west pivot into clinical subnet</w:t>
            </w:r>
          </w:p>
        </w:tc>
        <w:tc>
          <w:tcPr>
            <w:tcW w:type="dxa" w:w="1700"/>
            <w:vAlign w:val="center"/>
          </w:tcPr>
          <w:p>
            <w:pPr>
              <w:spacing w:after="0"/>
            </w:pPr>
            <w:r/>
            <w:r>
              <w:rPr>
                <w:b w:val="0"/>
                <w:sz w:val="16"/>
              </w:rPr>
              <w:t>Compromised IT endpoint</w:t>
            </w:r>
          </w:p>
        </w:tc>
        <w:tc>
          <w:tcPr>
            <w:tcW w:type="dxa" w:w="1700"/>
            <w:vAlign w:val="center"/>
          </w:tcPr>
          <w:p>
            <w:pPr>
              <w:spacing w:after="0"/>
            </w:pPr>
            <w:r/>
            <w:r>
              <w:rPr>
                <w:b w:val="0"/>
                <w:sz w:val="16"/>
              </w:rPr>
              <w:t>Enterprise -&gt; PACS / nurse station / IoMT</w:t>
            </w:r>
          </w:p>
        </w:tc>
        <w:tc>
          <w:tcPr>
            <w:tcW w:type="dxa" w:w="1700"/>
            <w:vAlign w:val="center"/>
          </w:tcPr>
          <w:p>
            <w:pPr>
              <w:spacing w:after="0"/>
            </w:pPr>
            <w:r/>
            <w:r>
              <w:rPr>
                <w:b w:val="0"/>
                <w:sz w:val="16"/>
              </w:rPr>
              <w:t>Rare path activation, sudden SMB/RDP/HTTPS to clinical assets, unique_dst_ip rises</w:t>
            </w:r>
          </w:p>
        </w:tc>
        <w:tc>
          <w:tcPr>
            <w:tcW w:type="dxa" w:w="1700"/>
            <w:vAlign w:val="center"/>
          </w:tcPr>
          <w:p>
            <w:pPr>
              <w:spacing w:after="0"/>
            </w:pPr>
            <w:r/>
            <w:r>
              <w:rPr>
                <w:b w:val="0"/>
                <w:sz w:val="16"/>
              </w:rPr>
              <w:t>Real incidents often move from IT to clinical systems before impact</w:t>
            </w:r>
          </w:p>
        </w:tc>
      </w:tr>
      <w:tr>
        <w:tc>
          <w:tcPr>
            <w:tcW w:type="dxa" w:w="1700"/>
            <w:vAlign w:val="center"/>
          </w:tcPr>
          <w:p>
            <w:pPr>
              <w:spacing w:after="0"/>
            </w:pPr>
            <w:r/>
            <w:r>
              <w:rPr>
                <w:b w:val="0"/>
                <w:sz w:val="16"/>
              </w:rPr>
              <w:t>A18</w:t>
            </w:r>
          </w:p>
        </w:tc>
        <w:tc>
          <w:tcPr>
            <w:tcW w:type="dxa" w:w="1700"/>
            <w:vAlign w:val="center"/>
          </w:tcPr>
          <w:p>
            <w:pPr>
              <w:spacing w:after="0"/>
            </w:pPr>
            <w:r/>
            <w:r>
              <w:rPr>
                <w:b w:val="0"/>
                <w:sz w:val="16"/>
              </w:rPr>
              <w:t>Ransomware staging via SMB/RDP</w:t>
            </w:r>
          </w:p>
        </w:tc>
        <w:tc>
          <w:tcPr>
            <w:tcW w:type="dxa" w:w="1700"/>
            <w:vAlign w:val="center"/>
          </w:tcPr>
          <w:p>
            <w:pPr>
              <w:spacing w:after="0"/>
            </w:pPr>
            <w:r/>
            <w:r>
              <w:rPr>
                <w:b w:val="0"/>
                <w:sz w:val="16"/>
              </w:rPr>
              <w:t>Compromised workstation</w:t>
            </w:r>
          </w:p>
        </w:tc>
        <w:tc>
          <w:tcPr>
            <w:tcW w:type="dxa" w:w="1700"/>
            <w:vAlign w:val="center"/>
          </w:tcPr>
          <w:p>
            <w:pPr>
              <w:spacing w:after="0"/>
            </w:pPr>
            <w:r/>
            <w:r>
              <w:rPr>
                <w:b w:val="0"/>
                <w:sz w:val="16"/>
              </w:rPr>
              <w:t>File shares, AD, backup, EHR support systems</w:t>
            </w:r>
          </w:p>
        </w:tc>
        <w:tc>
          <w:tcPr>
            <w:tcW w:type="dxa" w:w="1700"/>
            <w:vAlign w:val="center"/>
          </w:tcPr>
          <w:p>
            <w:pPr>
              <w:spacing w:after="0"/>
            </w:pPr>
            <w:r/>
            <w:r>
              <w:rPr>
                <w:b w:val="0"/>
                <w:sz w:val="16"/>
              </w:rPr>
              <w:t>SMB session spike, admin share access, RDP spread, file-share enumeration</w:t>
            </w:r>
          </w:p>
        </w:tc>
        <w:tc>
          <w:tcPr>
            <w:tcW w:type="dxa" w:w="1700"/>
            <w:vAlign w:val="center"/>
          </w:tcPr>
          <w:p>
            <w:pPr>
              <w:spacing w:after="0"/>
            </w:pPr>
            <w:r/>
            <w:r>
              <w:rPr>
                <w:b w:val="0"/>
                <w:sz w:val="16"/>
              </w:rPr>
              <w:t>Ransomware is still the top healthcare threat in 2025</w:t>
            </w:r>
          </w:p>
        </w:tc>
      </w:tr>
      <w:tr>
        <w:tc>
          <w:tcPr>
            <w:tcW w:type="dxa" w:w="1700"/>
            <w:vAlign w:val="center"/>
          </w:tcPr>
          <w:p>
            <w:pPr>
              <w:spacing w:after="0"/>
            </w:pPr>
            <w:r/>
            <w:r>
              <w:rPr>
                <w:b w:val="0"/>
                <w:sz w:val="16"/>
              </w:rPr>
              <w:t>A19</w:t>
            </w:r>
          </w:p>
        </w:tc>
        <w:tc>
          <w:tcPr>
            <w:tcW w:type="dxa" w:w="1700"/>
            <w:vAlign w:val="center"/>
          </w:tcPr>
          <w:p>
            <w:pPr>
              <w:spacing w:after="0"/>
            </w:pPr>
            <w:r/>
            <w:r>
              <w:rPr>
                <w:b w:val="0"/>
                <w:sz w:val="16"/>
              </w:rPr>
              <w:t>Backup discovery and deletion</w:t>
            </w:r>
          </w:p>
        </w:tc>
        <w:tc>
          <w:tcPr>
            <w:tcW w:type="dxa" w:w="1700"/>
            <w:vAlign w:val="center"/>
          </w:tcPr>
          <w:p>
            <w:pPr>
              <w:spacing w:after="0"/>
            </w:pPr>
            <w:r/>
            <w:r>
              <w:rPr>
                <w:b w:val="0"/>
                <w:sz w:val="16"/>
              </w:rPr>
              <w:t>Compromised admin host</w:t>
            </w:r>
          </w:p>
        </w:tc>
        <w:tc>
          <w:tcPr>
            <w:tcW w:type="dxa" w:w="1700"/>
            <w:vAlign w:val="center"/>
          </w:tcPr>
          <w:p>
            <w:pPr>
              <w:spacing w:after="0"/>
            </w:pPr>
            <w:r/>
            <w:r>
              <w:rPr>
                <w:b w:val="0"/>
                <w:sz w:val="16"/>
              </w:rPr>
              <w:t>Backup server</w:t>
            </w:r>
          </w:p>
        </w:tc>
        <w:tc>
          <w:tcPr>
            <w:tcW w:type="dxa" w:w="1700"/>
            <w:vAlign w:val="center"/>
          </w:tcPr>
          <w:p>
            <w:pPr>
              <w:spacing w:after="0"/>
            </w:pPr>
            <w:r/>
            <w:r>
              <w:rPr>
                <w:b w:val="0"/>
                <w:sz w:val="16"/>
              </w:rPr>
              <w:t>Backup share flows appear, admin/API deletion calls, drop in routine backup traffic</w:t>
            </w:r>
          </w:p>
        </w:tc>
        <w:tc>
          <w:tcPr>
            <w:tcW w:type="dxa" w:w="1700"/>
            <w:vAlign w:val="center"/>
          </w:tcPr>
          <w:p>
            <w:pPr>
              <w:spacing w:after="0"/>
            </w:pPr>
            <w:r/>
            <w:r>
              <w:rPr>
                <w:b w:val="0"/>
                <w:sz w:val="16"/>
              </w:rPr>
              <w:t>Attackers often sabotage recovery before encryption/extortion</w:t>
            </w:r>
          </w:p>
        </w:tc>
      </w:tr>
      <w:tr>
        <w:tc>
          <w:tcPr>
            <w:tcW w:type="dxa" w:w="1700"/>
            <w:vAlign w:val="center"/>
          </w:tcPr>
          <w:p>
            <w:pPr>
              <w:spacing w:after="0"/>
            </w:pPr>
            <w:r/>
            <w:r>
              <w:rPr>
                <w:b w:val="0"/>
                <w:sz w:val="16"/>
              </w:rPr>
              <w:t>A20</w:t>
            </w:r>
          </w:p>
        </w:tc>
        <w:tc>
          <w:tcPr>
            <w:tcW w:type="dxa" w:w="1700"/>
            <w:vAlign w:val="center"/>
          </w:tcPr>
          <w:p>
            <w:pPr>
              <w:spacing w:after="0"/>
            </w:pPr>
            <w:r/>
            <w:r>
              <w:rPr>
                <w:b w:val="0"/>
                <w:sz w:val="16"/>
              </w:rPr>
              <w:t>PHI exfiltration before extortion</w:t>
            </w:r>
          </w:p>
        </w:tc>
        <w:tc>
          <w:tcPr>
            <w:tcW w:type="dxa" w:w="1700"/>
            <w:vAlign w:val="center"/>
          </w:tcPr>
          <w:p>
            <w:pPr>
              <w:spacing w:after="0"/>
            </w:pPr>
            <w:r/>
            <w:r>
              <w:rPr>
                <w:b w:val="0"/>
                <w:sz w:val="16"/>
              </w:rPr>
              <w:t>Compromised server</w:t>
            </w:r>
          </w:p>
        </w:tc>
        <w:tc>
          <w:tcPr>
            <w:tcW w:type="dxa" w:w="1700"/>
            <w:vAlign w:val="center"/>
          </w:tcPr>
          <w:p>
            <w:pPr>
              <w:spacing w:after="0"/>
            </w:pPr>
            <w:r/>
            <w:r>
              <w:rPr>
                <w:b w:val="0"/>
                <w:sz w:val="16"/>
              </w:rPr>
              <w:t>Database / file share / cloud sink</w:t>
            </w:r>
          </w:p>
        </w:tc>
        <w:tc>
          <w:tcPr>
            <w:tcW w:type="dxa" w:w="1700"/>
            <w:vAlign w:val="center"/>
          </w:tcPr>
          <w:p>
            <w:pPr>
              <w:spacing w:after="0"/>
            </w:pPr>
            <w:r/>
            <w:r>
              <w:rPr>
                <w:b w:val="0"/>
                <w:sz w:val="16"/>
              </w:rPr>
              <w:t>Large outbound transfer to unusual external destination, sustained compression-like byte pattern</w:t>
            </w:r>
          </w:p>
        </w:tc>
        <w:tc>
          <w:tcPr>
            <w:tcW w:type="dxa" w:w="1700"/>
            <w:vAlign w:val="center"/>
          </w:tcPr>
          <w:p>
            <w:pPr>
              <w:spacing w:after="0"/>
            </w:pPr>
            <w:r/>
            <w:r>
              <w:rPr>
                <w:b w:val="0"/>
                <w:sz w:val="16"/>
              </w:rPr>
              <w:t>Patient-extortion cases show theft before coercion</w:t>
            </w:r>
          </w:p>
        </w:tc>
      </w:tr>
      <w:tr>
        <w:tc>
          <w:tcPr>
            <w:tcW w:type="dxa" w:w="1700"/>
            <w:vAlign w:val="center"/>
          </w:tcPr>
          <w:p>
            <w:pPr>
              <w:spacing w:after="0"/>
            </w:pPr>
            <w:r/>
            <w:r>
              <w:rPr>
                <w:b w:val="0"/>
                <w:sz w:val="16"/>
              </w:rPr>
              <w:t>A21</w:t>
            </w:r>
          </w:p>
        </w:tc>
        <w:tc>
          <w:tcPr>
            <w:tcW w:type="dxa" w:w="1700"/>
            <w:vAlign w:val="center"/>
          </w:tcPr>
          <w:p>
            <w:pPr>
              <w:spacing w:after="0"/>
            </w:pPr>
            <w:r/>
            <w:r>
              <w:rPr>
                <w:b w:val="0"/>
                <w:sz w:val="16"/>
              </w:rPr>
              <w:t>Protocol-aware DoS on PACS</w:t>
            </w:r>
          </w:p>
        </w:tc>
        <w:tc>
          <w:tcPr>
            <w:tcW w:type="dxa" w:w="1700"/>
            <w:vAlign w:val="center"/>
          </w:tcPr>
          <w:p>
            <w:pPr>
              <w:spacing w:after="0"/>
            </w:pPr>
            <w:r/>
            <w:r>
              <w:rPr>
                <w:b w:val="0"/>
                <w:sz w:val="16"/>
              </w:rPr>
              <w:t>External or internal</w:t>
            </w:r>
          </w:p>
        </w:tc>
        <w:tc>
          <w:tcPr>
            <w:tcW w:type="dxa" w:w="1700"/>
            <w:vAlign w:val="center"/>
          </w:tcPr>
          <w:p>
            <w:pPr>
              <w:spacing w:after="0"/>
            </w:pPr>
            <w:r/>
            <w:r>
              <w:rPr>
                <w:b w:val="0"/>
                <w:sz w:val="16"/>
              </w:rPr>
              <w:t>PACS / imaging server</w:t>
            </w:r>
          </w:p>
        </w:tc>
        <w:tc>
          <w:tcPr>
            <w:tcW w:type="dxa" w:w="1700"/>
            <w:vAlign w:val="center"/>
          </w:tcPr>
          <w:p>
            <w:pPr>
              <w:spacing w:after="0"/>
            </w:pPr>
            <w:r/>
            <w:r>
              <w:rPr>
                <w:b w:val="0"/>
                <w:sz w:val="16"/>
              </w:rPr>
              <w:t>Many requests / large payloads causing resource exhaustion, retransmissions rise, service latency spikes</w:t>
            </w:r>
          </w:p>
        </w:tc>
        <w:tc>
          <w:tcPr>
            <w:tcW w:type="dxa" w:w="1700"/>
            <w:vAlign w:val="center"/>
          </w:tcPr>
          <w:p>
            <w:pPr>
              <w:spacing w:after="0"/>
            </w:pPr>
            <w:r/>
            <w:r>
              <w:rPr>
                <w:b w:val="0"/>
                <w:sz w:val="16"/>
              </w:rPr>
              <w:t>CISA Philips Vue PACS advisory highlighted resource-exhaustion risk</w:t>
            </w:r>
          </w:p>
        </w:tc>
      </w:tr>
      <w:tr>
        <w:tc>
          <w:tcPr>
            <w:tcW w:type="dxa" w:w="1700"/>
            <w:vAlign w:val="center"/>
          </w:tcPr>
          <w:p>
            <w:pPr>
              <w:spacing w:after="0"/>
            </w:pPr>
            <w:r/>
            <w:r>
              <w:rPr>
                <w:b w:val="0"/>
                <w:sz w:val="16"/>
              </w:rPr>
              <w:t>A22</w:t>
            </w:r>
          </w:p>
        </w:tc>
        <w:tc>
          <w:tcPr>
            <w:tcW w:type="dxa" w:w="1700"/>
            <w:vAlign w:val="center"/>
          </w:tcPr>
          <w:p>
            <w:pPr>
              <w:spacing w:after="0"/>
            </w:pPr>
            <w:r/>
            <w:r>
              <w:rPr>
                <w:b w:val="0"/>
                <w:sz w:val="16"/>
              </w:rPr>
              <w:t>Application-layer flood on clinical portal</w:t>
            </w:r>
          </w:p>
        </w:tc>
        <w:tc>
          <w:tcPr>
            <w:tcW w:type="dxa" w:w="1700"/>
            <w:vAlign w:val="center"/>
          </w:tcPr>
          <w:p>
            <w:pPr>
              <w:spacing w:after="0"/>
            </w:pPr>
            <w:r/>
            <w:r>
              <w:rPr>
                <w:b w:val="0"/>
                <w:sz w:val="16"/>
              </w:rPr>
              <w:t>Internet bot / single source</w:t>
            </w:r>
          </w:p>
        </w:tc>
        <w:tc>
          <w:tcPr>
            <w:tcW w:type="dxa" w:w="1700"/>
            <w:vAlign w:val="center"/>
          </w:tcPr>
          <w:p>
            <w:pPr>
              <w:spacing w:after="0"/>
            </w:pPr>
            <w:r/>
            <w:r>
              <w:rPr>
                <w:b w:val="0"/>
                <w:sz w:val="16"/>
              </w:rPr>
              <w:t>Clinical web application</w:t>
            </w:r>
          </w:p>
        </w:tc>
        <w:tc>
          <w:tcPr>
            <w:tcW w:type="dxa" w:w="1700"/>
            <w:vAlign w:val="center"/>
          </w:tcPr>
          <w:p>
            <w:pPr>
              <w:spacing w:after="0"/>
            </w:pPr>
            <w:r/>
            <w:r>
              <w:rPr>
                <w:b w:val="0"/>
                <w:sz w:val="16"/>
              </w:rPr>
              <w:t>High request rate, session churn, many 4xx/5xx responses, CPU/latency proxies if simulated</w:t>
            </w:r>
          </w:p>
        </w:tc>
        <w:tc>
          <w:tcPr>
            <w:tcW w:type="dxa" w:w="1700"/>
            <w:vAlign w:val="center"/>
          </w:tcPr>
          <w:p>
            <w:pPr>
              <w:spacing w:after="0"/>
            </w:pPr>
            <w:r/>
            <w:r>
              <w:rPr>
                <w:b w:val="0"/>
                <w:sz w:val="16"/>
              </w:rPr>
              <w:t>Availability loss directly affects patient care and operations</w:t>
            </w:r>
          </w:p>
        </w:tc>
      </w:tr>
      <w:tr>
        <w:tc>
          <w:tcPr>
            <w:tcW w:type="dxa" w:w="1700"/>
            <w:vAlign w:val="center"/>
          </w:tcPr>
          <w:p>
            <w:pPr>
              <w:spacing w:after="0"/>
            </w:pPr>
            <w:r/>
            <w:r>
              <w:rPr>
                <w:b w:val="0"/>
                <w:sz w:val="16"/>
              </w:rPr>
              <w:t>A23</w:t>
            </w:r>
          </w:p>
        </w:tc>
        <w:tc>
          <w:tcPr>
            <w:tcW w:type="dxa" w:w="1700"/>
            <w:vAlign w:val="center"/>
          </w:tcPr>
          <w:p>
            <w:pPr>
              <w:spacing w:after="0"/>
            </w:pPr>
            <w:r/>
            <w:r>
              <w:rPr>
                <w:b w:val="0"/>
                <w:sz w:val="16"/>
              </w:rPr>
              <w:t>Telemetry spoofing / manipulated patient data</w:t>
            </w:r>
          </w:p>
        </w:tc>
        <w:tc>
          <w:tcPr>
            <w:tcW w:type="dxa" w:w="1700"/>
            <w:vAlign w:val="center"/>
          </w:tcPr>
          <w:p>
            <w:pPr>
              <w:spacing w:after="0"/>
            </w:pPr>
            <w:r/>
            <w:r>
              <w:rPr>
                <w:b w:val="0"/>
                <w:sz w:val="16"/>
              </w:rPr>
              <w:t>Internal MITM or device compromise</w:t>
            </w:r>
          </w:p>
        </w:tc>
        <w:tc>
          <w:tcPr>
            <w:tcW w:type="dxa" w:w="1700"/>
            <w:vAlign w:val="center"/>
          </w:tcPr>
          <w:p>
            <w:pPr>
              <w:spacing w:after="0"/>
            </w:pPr>
            <w:r/>
            <w:r>
              <w:rPr>
                <w:b w:val="0"/>
                <w:sz w:val="16"/>
              </w:rPr>
              <w:t>Telemetry aggregator / monitor</w:t>
            </w:r>
          </w:p>
        </w:tc>
        <w:tc>
          <w:tcPr>
            <w:tcW w:type="dxa" w:w="1700"/>
            <w:vAlign w:val="center"/>
          </w:tcPr>
          <w:p>
            <w:pPr>
              <w:spacing w:after="0"/>
            </w:pPr>
            <w:r/>
            <w:r>
              <w:rPr>
                <w:b w:val="0"/>
                <w:sz w:val="16"/>
              </w:rPr>
              <w:t>Normal packet rate but implausible value jumps, inconsistent sender identity, repeat values</w:t>
            </w:r>
          </w:p>
        </w:tc>
        <w:tc>
          <w:tcPr>
            <w:tcW w:type="dxa" w:w="1700"/>
            <w:vAlign w:val="center"/>
          </w:tcPr>
          <w:p>
            <w:pPr>
              <w:spacing w:after="0"/>
            </w:pPr>
            <w:r/>
            <w:r>
              <w:rPr>
                <w:b w:val="0"/>
                <w:sz w:val="16"/>
              </w:rPr>
              <w:t>FDA explicitly warns that integrity failures can cause patient harm</w:t>
            </w:r>
          </w:p>
        </w:tc>
      </w:tr>
      <w:tr>
        <w:tc>
          <w:tcPr>
            <w:tcW w:type="dxa" w:w="1700"/>
            <w:vAlign w:val="center"/>
          </w:tcPr>
          <w:p>
            <w:pPr>
              <w:spacing w:after="0"/>
            </w:pPr>
            <w:r/>
            <w:r>
              <w:rPr>
                <w:b w:val="0"/>
                <w:sz w:val="16"/>
              </w:rPr>
              <w:t>A24</w:t>
            </w:r>
          </w:p>
        </w:tc>
        <w:tc>
          <w:tcPr>
            <w:tcW w:type="dxa" w:w="1700"/>
            <w:vAlign w:val="center"/>
          </w:tcPr>
          <w:p>
            <w:pPr>
              <w:spacing w:after="0"/>
            </w:pPr>
            <w:r/>
            <w:r>
              <w:rPr>
                <w:b w:val="0"/>
                <w:sz w:val="16"/>
              </w:rPr>
              <w:t>Unauthorized config change on device management plane</w:t>
            </w:r>
          </w:p>
        </w:tc>
        <w:tc>
          <w:tcPr>
            <w:tcW w:type="dxa" w:w="1700"/>
            <w:vAlign w:val="center"/>
          </w:tcPr>
          <w:p>
            <w:pPr>
              <w:spacing w:after="0"/>
            </w:pPr>
            <w:r/>
            <w:r>
              <w:rPr>
                <w:b w:val="0"/>
                <w:sz w:val="16"/>
              </w:rPr>
              <w:t>Compromised service tool</w:t>
            </w:r>
          </w:p>
        </w:tc>
        <w:tc>
          <w:tcPr>
            <w:tcW w:type="dxa" w:w="1700"/>
            <w:vAlign w:val="center"/>
          </w:tcPr>
          <w:p>
            <w:pPr>
              <w:spacing w:after="0"/>
            </w:pPr>
            <w:r/>
            <w:r>
              <w:rPr>
                <w:b w:val="0"/>
                <w:sz w:val="16"/>
              </w:rPr>
              <w:t>IoMT management server</w:t>
            </w:r>
          </w:p>
        </w:tc>
        <w:tc>
          <w:tcPr>
            <w:tcW w:type="dxa" w:w="1700"/>
            <w:vAlign w:val="center"/>
          </w:tcPr>
          <w:p>
            <w:pPr>
              <w:spacing w:after="0"/>
            </w:pPr>
            <w:r/>
            <w:r>
              <w:rPr>
                <w:b w:val="0"/>
                <w:sz w:val="16"/>
              </w:rPr>
              <w:t>Bursts of write/config operations, small request payloads, subsequent device behavior drift</w:t>
            </w:r>
          </w:p>
        </w:tc>
        <w:tc>
          <w:tcPr>
            <w:tcW w:type="dxa" w:w="1700"/>
            <w:vAlign w:val="center"/>
          </w:tcPr>
          <w:p>
            <w:pPr>
              <w:spacing w:after="0"/>
            </w:pPr>
            <w:r/>
            <w:r>
              <w:rPr>
                <w:b w:val="0"/>
                <w:sz w:val="16"/>
              </w:rPr>
              <w:t>Missing auth / privileged service tooling appear repeatedly in medical advisories</w:t>
            </w:r>
          </w:p>
        </w:tc>
      </w:tr>
    </w:tbl>
    <w:p/>
    <w:p>
      <w:pPr>
        <w:pStyle w:val="Heading1"/>
      </w:pPr>
      <w:r>
        <w:t>4. Minimum flow-level and medical metadata fields</w:t>
      </w:r>
    </w:p>
    <w:p>
      <w:r>
        <w:t>Use two linked tables: a base flow table and a time-window aggregate table. Add protocol-specific fields only when the target service exists in the scenario.</w:t>
      </w:r>
    </w:p>
    <w:p>
      <w:r>
        <w:rPr>
          <w:b/>
        </w:rPr>
        <w:t>Base flow fields</w:t>
      </w:r>
    </w:p>
    <w:p>
      <w:pPr>
        <w:ind w:left="170"/>
      </w:pPr>
      <w:r>
        <w:rPr>
          <w:sz w:val="18"/>
        </w:rPr>
        <w:t>ts_start, ts_end, src_ip, dst_ip, src_port, dst_port, proto, direction, duration_ms, pkts_fwd, pkts_rev, bytes_fwd, bytes_rev, syn_cnt, rst_cnt, psh_cnt, retrans_cnt, tls_session, http_status, auth_attempts, auth_failures, app_service, zone_src, zone_dst, device_role_src, device_role_dst</w:t>
      </w:r>
    </w:p>
    <w:p>
      <w:r>
        <w:rPr>
          <w:b/>
        </w:rPr>
        <w:t>Medical protocol / device metadata fields</w:t>
      </w:r>
    </w:p>
    <w:p>
      <w:pPr>
        <w:ind w:left="170"/>
      </w:pPr>
      <w:r>
        <w:rPr>
          <w:sz w:val="18"/>
        </w:rPr>
        <w:t>dicom_query_cnt, dicom_move_cnt, dicom_store_cnt, dicom_bytes, hl7_msg_cnt, hl7_error_cnt, fhir_read_cnt, fhir_write_cnt, ble_telemetry_cnt, ble_replay_flag, device_update_flag, reboot_flag, remote_admin_flag, config_write_cnt, patient_value_jump_score, backup_delete_flag</w:t>
      </w:r>
    </w:p>
    <w:p>
      <w:pPr>
        <w:pStyle w:val="Heading1"/>
      </w:pPr>
      <w:r>
        <w:t>5. Time-window features for real-time detection</w:t>
      </w:r>
    </w:p>
    <w:p>
      <w:pPr>
        <w:pStyle w:val="ListBullet"/>
      </w:pPr>
      <w:r>
        <w:t>flow_count, pkt_count, byte_count, unique_src_ip, unique_dst_ip, unique_dst_port</w:t>
      </w:r>
    </w:p>
    <w:p>
      <w:pPr>
        <w:pStyle w:val="ListBullet"/>
      </w:pPr>
      <w:r>
        <w:t>new_external_peers, failed_login_count, successful_login_count, vendor_remote_sessions, remote_admin_sessions</w:t>
      </w:r>
    </w:p>
    <w:p>
      <w:pPr>
        <w:pStyle w:val="ListBullet"/>
      </w:pPr>
      <w:r>
        <w:t>dicom_query_rate, dicom_move_rate, dicom_bytes_out, fhir_read_rate, hl7_msg_rate, hl7_error_rate</w:t>
      </w:r>
    </w:p>
    <w:p>
      <w:pPr>
        <w:pStyle w:val="ListBullet"/>
      </w:pPr>
      <w:r>
        <w:t>ble_telemetry_rate, replay_alerts, config_write_rate, device_update_events, reboot_events</w:t>
      </w:r>
    </w:p>
    <w:p>
      <w:pPr>
        <w:pStyle w:val="ListBullet"/>
      </w:pPr>
      <w:r>
        <w:t>east_west_flow_count, enterprise_to_clinical_flows, clinical_to_external_bytes, backup_server_flows</w:t>
      </w:r>
    </w:p>
    <w:p>
      <w:pPr>
        <w:pStyle w:val="ListBullet"/>
      </w:pPr>
      <w:r>
        <w:t>retransmission_rate, rst_rate, 4xx_5xx_rate, service_unavailable_rate, patient_value_jump_score</w:t>
      </w:r>
    </w:p>
    <w:p>
      <w:pPr>
        <w:pStyle w:val="Heading1"/>
      </w:pPr>
      <w:r>
        <w:t>6. Scenario grammar for the simulator GUI</w:t>
      </w:r>
    </w:p>
    <w:p>
      <w:r>
        <w:t>Each GUI scenario should be a state machine with editable parameters. This keeps the simulator realistic and controllable.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
              <w:rPr>
                <w:b/>
                <w:sz w:val="18"/>
              </w:rPr>
              <w:t>Field</w:t>
            </w:r>
          </w:p>
        </w:tc>
        <w:tc>
          <w:tcPr>
            <w:tcW w:type="dxa" w:w="2550"/>
            <w:vAlign w:val="center"/>
            <w:shd w:fill="D9EAF7"/>
          </w:tcPr>
          <w:p>
            <w:pPr>
              <w:spacing w:after="0"/>
            </w:pPr>
            <w:r/>
            <w:r>
              <w:rPr>
                <w:b/>
                <w:sz w:val="18"/>
              </w:rPr>
              <w:t>Example</w:t>
            </w:r>
          </w:p>
        </w:tc>
        <w:tc>
          <w:tcPr>
            <w:tcW w:type="dxa" w:w="2550"/>
            <w:vAlign w:val="center"/>
            <w:shd w:fill="D9EAF7"/>
          </w:tcPr>
          <w:p>
            <w:pPr>
              <w:spacing w:after="0"/>
            </w:pPr>
            <w:r/>
            <w:r>
              <w:rPr>
                <w:b/>
                <w:sz w:val="18"/>
              </w:rPr>
              <w:t>Meaning</w:t>
            </w:r>
          </w:p>
        </w:tc>
        <w:tc>
          <w:tcPr>
            <w:tcW w:type="dxa" w:w="2550"/>
            <w:vAlign w:val="center"/>
            <w:shd w:fill="D9EAF7"/>
          </w:tcPr>
          <w:p>
            <w:pPr>
              <w:spacing w:after="0"/>
            </w:pPr>
            <w:r/>
            <w:r>
              <w:rPr>
                <w:b/>
                <w:sz w:val="18"/>
              </w:rPr>
              <w:t>GUI control type</w:t>
            </w:r>
          </w:p>
        </w:tc>
      </w:tr>
      <w:tr>
        <w:tc>
          <w:tcPr>
            <w:tcW w:type="dxa" w:w="2550"/>
            <w:vAlign w:val="center"/>
          </w:tcPr>
          <w:p>
            <w:pPr>
              <w:spacing w:after="0"/>
            </w:pPr>
            <w:r/>
            <w:r>
              <w:rPr>
                <w:b w:val="0"/>
                <w:sz w:val="17"/>
              </w:rPr>
              <w:t>scenario_id</w:t>
            </w:r>
          </w:p>
        </w:tc>
        <w:tc>
          <w:tcPr>
            <w:tcW w:type="dxa" w:w="2550"/>
            <w:vAlign w:val="center"/>
          </w:tcPr>
          <w:p>
            <w:pPr>
              <w:spacing w:after="0"/>
            </w:pPr>
            <w:r/>
            <w:r>
              <w:rPr>
                <w:b w:val="0"/>
                <w:sz w:val="17"/>
              </w:rPr>
              <w:t>A14</w:t>
            </w:r>
          </w:p>
        </w:tc>
        <w:tc>
          <w:tcPr>
            <w:tcW w:type="dxa" w:w="2550"/>
            <w:vAlign w:val="center"/>
          </w:tcPr>
          <w:p>
            <w:pPr>
              <w:spacing w:after="0"/>
            </w:pPr>
            <w:r/>
            <w:r>
              <w:rPr>
                <w:b w:val="0"/>
                <w:sz w:val="17"/>
              </w:rPr>
              <w:t>Dataset label / attack template</w:t>
            </w:r>
          </w:p>
        </w:tc>
        <w:tc>
          <w:tcPr>
            <w:tcW w:type="dxa" w:w="2550"/>
            <w:vAlign w:val="center"/>
          </w:tcPr>
          <w:p>
            <w:pPr>
              <w:spacing w:after="0"/>
            </w:pPr>
            <w:r/>
            <w:r>
              <w:rPr>
                <w:b w:val="0"/>
                <w:sz w:val="17"/>
              </w:rPr>
              <w:t>Dropdown</w:t>
            </w:r>
          </w:p>
        </w:tc>
      </w:tr>
      <w:tr>
        <w:tc>
          <w:tcPr>
            <w:tcW w:type="dxa" w:w="2550"/>
            <w:vAlign w:val="center"/>
          </w:tcPr>
          <w:p>
            <w:pPr>
              <w:spacing w:after="0"/>
            </w:pPr>
            <w:r/>
            <w:r>
              <w:rPr>
                <w:b w:val="0"/>
                <w:sz w:val="17"/>
              </w:rPr>
              <w:t>environment_profile</w:t>
            </w:r>
          </w:p>
        </w:tc>
        <w:tc>
          <w:tcPr>
            <w:tcW w:type="dxa" w:w="2550"/>
            <w:vAlign w:val="center"/>
          </w:tcPr>
          <w:p>
            <w:pPr>
              <w:spacing w:after="0"/>
            </w:pPr>
            <w:r/>
            <w:r>
              <w:rPr>
                <w:b w:val="0"/>
                <w:sz w:val="17"/>
              </w:rPr>
              <w:t>medium_hospital_v1</w:t>
            </w:r>
          </w:p>
        </w:tc>
        <w:tc>
          <w:tcPr>
            <w:tcW w:type="dxa" w:w="2550"/>
            <w:vAlign w:val="center"/>
          </w:tcPr>
          <w:p>
            <w:pPr>
              <w:spacing w:after="0"/>
            </w:pPr>
            <w:r/>
            <w:r>
              <w:rPr>
                <w:b w:val="0"/>
                <w:sz w:val="17"/>
              </w:rPr>
              <w:t>Hospital layout and service inventory</w:t>
            </w:r>
          </w:p>
        </w:tc>
        <w:tc>
          <w:tcPr>
            <w:tcW w:type="dxa" w:w="2550"/>
            <w:vAlign w:val="center"/>
          </w:tcPr>
          <w:p>
            <w:pPr>
              <w:spacing w:after="0"/>
            </w:pPr>
            <w:r/>
            <w:r>
              <w:rPr>
                <w:b w:val="0"/>
                <w:sz w:val="17"/>
              </w:rPr>
              <w:t>Dropdown</w:t>
            </w:r>
          </w:p>
        </w:tc>
      </w:tr>
      <w:tr>
        <w:tc>
          <w:tcPr>
            <w:tcW w:type="dxa" w:w="2550"/>
            <w:vAlign w:val="center"/>
          </w:tcPr>
          <w:p>
            <w:pPr>
              <w:spacing w:after="0"/>
            </w:pPr>
            <w:r/>
            <w:r>
              <w:rPr>
                <w:b w:val="0"/>
                <w:sz w:val="17"/>
              </w:rPr>
              <w:t>attack_start_s</w:t>
            </w:r>
          </w:p>
        </w:tc>
        <w:tc>
          <w:tcPr>
            <w:tcW w:type="dxa" w:w="2550"/>
            <w:vAlign w:val="center"/>
          </w:tcPr>
          <w:p>
            <w:pPr>
              <w:spacing w:after="0"/>
            </w:pPr>
            <w:r/>
            <w:r>
              <w:rPr>
                <w:b w:val="0"/>
                <w:sz w:val="17"/>
              </w:rPr>
              <w:t>420</w:t>
            </w:r>
          </w:p>
        </w:tc>
        <w:tc>
          <w:tcPr>
            <w:tcW w:type="dxa" w:w="2550"/>
            <w:vAlign w:val="center"/>
          </w:tcPr>
          <w:p>
            <w:pPr>
              <w:spacing w:after="0"/>
            </w:pPr>
            <w:r/>
            <w:r>
              <w:rPr>
                <w:b w:val="0"/>
                <w:sz w:val="17"/>
              </w:rPr>
              <w:t>When the attack begins</w:t>
            </w:r>
          </w:p>
        </w:tc>
        <w:tc>
          <w:tcPr>
            <w:tcW w:type="dxa" w:w="2550"/>
            <w:vAlign w:val="center"/>
          </w:tcPr>
          <w:p>
            <w:pPr>
              <w:spacing w:after="0"/>
            </w:pPr>
            <w:r/>
            <w:r>
              <w:rPr>
                <w:b w:val="0"/>
                <w:sz w:val="17"/>
              </w:rPr>
              <w:t>Slider / numeric</w:t>
            </w:r>
          </w:p>
        </w:tc>
      </w:tr>
      <w:tr>
        <w:tc>
          <w:tcPr>
            <w:tcW w:type="dxa" w:w="2550"/>
            <w:vAlign w:val="center"/>
          </w:tcPr>
          <w:p>
            <w:pPr>
              <w:spacing w:after="0"/>
            </w:pPr>
            <w:r/>
            <w:r>
              <w:rPr>
                <w:b w:val="0"/>
                <w:sz w:val="17"/>
              </w:rPr>
              <w:t>attack_duration_s</w:t>
            </w:r>
          </w:p>
        </w:tc>
        <w:tc>
          <w:tcPr>
            <w:tcW w:type="dxa" w:w="2550"/>
            <w:vAlign w:val="center"/>
          </w:tcPr>
          <w:p>
            <w:pPr>
              <w:spacing w:after="0"/>
            </w:pPr>
            <w:r/>
            <w:r>
              <w:rPr>
                <w:b w:val="0"/>
                <w:sz w:val="17"/>
              </w:rPr>
              <w:t>180</w:t>
            </w:r>
          </w:p>
        </w:tc>
        <w:tc>
          <w:tcPr>
            <w:tcW w:type="dxa" w:w="2550"/>
            <w:vAlign w:val="center"/>
          </w:tcPr>
          <w:p>
            <w:pPr>
              <w:spacing w:after="0"/>
            </w:pPr>
            <w:r/>
            <w:r>
              <w:rPr>
                <w:b w:val="0"/>
                <w:sz w:val="17"/>
              </w:rPr>
              <w:t>How long the malicious phase lasts</w:t>
            </w:r>
          </w:p>
        </w:tc>
        <w:tc>
          <w:tcPr>
            <w:tcW w:type="dxa" w:w="2550"/>
            <w:vAlign w:val="center"/>
          </w:tcPr>
          <w:p>
            <w:pPr>
              <w:spacing w:after="0"/>
            </w:pPr>
            <w:r/>
            <w:r>
              <w:rPr>
                <w:b w:val="0"/>
                <w:sz w:val="17"/>
              </w:rPr>
              <w:t>Slider / numeric</w:t>
            </w:r>
          </w:p>
        </w:tc>
      </w:tr>
      <w:tr>
        <w:tc>
          <w:tcPr>
            <w:tcW w:type="dxa" w:w="2550"/>
            <w:vAlign w:val="center"/>
          </w:tcPr>
          <w:p>
            <w:pPr>
              <w:spacing w:after="0"/>
            </w:pPr>
            <w:r/>
            <w:r>
              <w:rPr>
                <w:b w:val="0"/>
                <w:sz w:val="17"/>
              </w:rPr>
              <w:t>intensity</w:t>
            </w:r>
          </w:p>
        </w:tc>
        <w:tc>
          <w:tcPr>
            <w:tcW w:type="dxa" w:w="2550"/>
            <w:vAlign w:val="center"/>
          </w:tcPr>
          <w:p>
            <w:pPr>
              <w:spacing w:after="0"/>
            </w:pPr>
            <w:r/>
            <w:r>
              <w:rPr>
                <w:b w:val="0"/>
                <w:sz w:val="17"/>
              </w:rPr>
              <w:t>0.75</w:t>
            </w:r>
          </w:p>
        </w:tc>
        <w:tc>
          <w:tcPr>
            <w:tcW w:type="dxa" w:w="2550"/>
            <w:vAlign w:val="center"/>
          </w:tcPr>
          <w:p>
            <w:pPr>
              <w:spacing w:after="0"/>
            </w:pPr>
            <w:r/>
            <w:r>
              <w:rPr>
                <w:b w:val="0"/>
                <w:sz w:val="17"/>
              </w:rPr>
              <w:t>How aggressive the attack is</w:t>
            </w:r>
          </w:p>
        </w:tc>
        <w:tc>
          <w:tcPr>
            <w:tcW w:type="dxa" w:w="2550"/>
            <w:vAlign w:val="center"/>
          </w:tcPr>
          <w:p>
            <w:pPr>
              <w:spacing w:after="0"/>
            </w:pPr>
            <w:r/>
            <w:r>
              <w:rPr>
                <w:b w:val="0"/>
                <w:sz w:val="17"/>
              </w:rPr>
              <w:t>Slider</w:t>
            </w:r>
          </w:p>
        </w:tc>
      </w:tr>
      <w:tr>
        <w:tc>
          <w:tcPr>
            <w:tcW w:type="dxa" w:w="2550"/>
            <w:vAlign w:val="center"/>
          </w:tcPr>
          <w:p>
            <w:pPr>
              <w:spacing w:after="0"/>
            </w:pPr>
            <w:r/>
            <w:r>
              <w:rPr>
                <w:b w:val="0"/>
                <w:sz w:val="17"/>
              </w:rPr>
              <w:t>stealth_mode</w:t>
            </w:r>
          </w:p>
        </w:tc>
        <w:tc>
          <w:tcPr>
            <w:tcW w:type="dxa" w:w="2550"/>
            <w:vAlign w:val="center"/>
          </w:tcPr>
          <w:p>
            <w:pPr>
              <w:spacing w:after="0"/>
            </w:pPr>
            <w:r/>
            <w:r>
              <w:rPr>
                <w:b w:val="0"/>
                <w:sz w:val="17"/>
              </w:rPr>
              <w:t>true</w:t>
            </w:r>
          </w:p>
        </w:tc>
        <w:tc>
          <w:tcPr>
            <w:tcW w:type="dxa" w:w="2550"/>
            <w:vAlign w:val="center"/>
          </w:tcPr>
          <w:p>
            <w:pPr>
              <w:spacing w:after="0"/>
            </w:pPr>
            <w:r/>
            <w:r>
              <w:rPr>
                <w:b w:val="0"/>
                <w:sz w:val="17"/>
              </w:rPr>
              <w:t>Low-and-slow vs noisy behavior</w:t>
            </w:r>
          </w:p>
        </w:tc>
        <w:tc>
          <w:tcPr>
            <w:tcW w:type="dxa" w:w="2550"/>
            <w:vAlign w:val="center"/>
          </w:tcPr>
          <w:p>
            <w:pPr>
              <w:spacing w:after="0"/>
            </w:pPr>
            <w:r/>
            <w:r>
              <w:rPr>
                <w:b w:val="0"/>
                <w:sz w:val="17"/>
              </w:rPr>
              <w:t>Toggle</w:t>
            </w:r>
          </w:p>
        </w:tc>
      </w:tr>
      <w:tr>
        <w:tc>
          <w:tcPr>
            <w:tcW w:type="dxa" w:w="2550"/>
            <w:vAlign w:val="center"/>
          </w:tcPr>
          <w:p>
            <w:pPr>
              <w:spacing w:after="0"/>
            </w:pPr>
            <w:r/>
            <w:r>
              <w:rPr>
                <w:b w:val="0"/>
                <w:sz w:val="17"/>
              </w:rPr>
              <w:t>entry_point</w:t>
            </w:r>
          </w:p>
        </w:tc>
        <w:tc>
          <w:tcPr>
            <w:tcW w:type="dxa" w:w="2550"/>
            <w:vAlign w:val="center"/>
          </w:tcPr>
          <w:p>
            <w:pPr>
              <w:spacing w:after="0"/>
            </w:pPr>
            <w:r/>
            <w:r>
              <w:rPr>
                <w:b w:val="0"/>
                <w:sz w:val="17"/>
              </w:rPr>
              <w:t>vendor_vpn</w:t>
            </w:r>
          </w:p>
        </w:tc>
        <w:tc>
          <w:tcPr>
            <w:tcW w:type="dxa" w:w="2550"/>
            <w:vAlign w:val="center"/>
          </w:tcPr>
          <w:p>
            <w:pPr>
              <w:spacing w:after="0"/>
            </w:pPr>
            <w:r/>
            <w:r>
              <w:rPr>
                <w:b w:val="0"/>
                <w:sz w:val="17"/>
              </w:rPr>
              <w:t>Initial foothold</w:t>
            </w:r>
          </w:p>
        </w:tc>
        <w:tc>
          <w:tcPr>
            <w:tcW w:type="dxa" w:w="2550"/>
            <w:vAlign w:val="center"/>
          </w:tcPr>
          <w:p>
            <w:pPr>
              <w:spacing w:after="0"/>
            </w:pPr>
            <w:r/>
            <w:r>
              <w:rPr>
                <w:b w:val="0"/>
                <w:sz w:val="17"/>
              </w:rPr>
              <w:t>Dropdown</w:t>
            </w:r>
          </w:p>
        </w:tc>
      </w:tr>
      <w:tr>
        <w:tc>
          <w:tcPr>
            <w:tcW w:type="dxa" w:w="2550"/>
            <w:vAlign w:val="center"/>
          </w:tcPr>
          <w:p>
            <w:pPr>
              <w:spacing w:after="0"/>
            </w:pPr>
            <w:r/>
            <w:r>
              <w:rPr>
                <w:b w:val="0"/>
                <w:sz w:val="17"/>
              </w:rPr>
              <w:t>target_asset</w:t>
            </w:r>
          </w:p>
        </w:tc>
        <w:tc>
          <w:tcPr>
            <w:tcW w:type="dxa" w:w="2550"/>
            <w:vAlign w:val="center"/>
          </w:tcPr>
          <w:p>
            <w:pPr>
              <w:spacing w:after="0"/>
            </w:pPr>
            <w:r/>
            <w:r>
              <w:rPr>
                <w:b w:val="0"/>
                <w:sz w:val="17"/>
              </w:rPr>
              <w:t>pacs_01</w:t>
            </w:r>
          </w:p>
        </w:tc>
        <w:tc>
          <w:tcPr>
            <w:tcW w:type="dxa" w:w="2550"/>
            <w:vAlign w:val="center"/>
          </w:tcPr>
          <w:p>
            <w:pPr>
              <w:spacing w:after="0"/>
            </w:pPr>
            <w:r/>
            <w:r>
              <w:rPr>
                <w:b w:val="0"/>
                <w:sz w:val="17"/>
              </w:rPr>
              <w:t>Main victim system</w:t>
            </w:r>
          </w:p>
        </w:tc>
        <w:tc>
          <w:tcPr>
            <w:tcW w:type="dxa" w:w="2550"/>
            <w:vAlign w:val="center"/>
          </w:tcPr>
          <w:p>
            <w:pPr>
              <w:spacing w:after="0"/>
            </w:pPr>
            <w:r/>
            <w:r>
              <w:rPr>
                <w:b w:val="0"/>
                <w:sz w:val="17"/>
              </w:rPr>
              <w:t>Dropdown</w:t>
            </w:r>
          </w:p>
        </w:tc>
      </w:tr>
      <w:tr>
        <w:tc>
          <w:tcPr>
            <w:tcW w:type="dxa" w:w="2550"/>
            <w:vAlign w:val="center"/>
          </w:tcPr>
          <w:p>
            <w:pPr>
              <w:spacing w:after="0"/>
            </w:pPr>
            <w:r/>
            <w:r>
              <w:rPr>
                <w:b w:val="0"/>
                <w:sz w:val="17"/>
              </w:rPr>
              <w:t>affected_protocols</w:t>
            </w:r>
          </w:p>
        </w:tc>
        <w:tc>
          <w:tcPr>
            <w:tcW w:type="dxa" w:w="2550"/>
            <w:vAlign w:val="center"/>
          </w:tcPr>
          <w:p>
            <w:pPr>
              <w:spacing w:after="0"/>
            </w:pPr>
            <w:r/>
            <w:r>
              <w:rPr>
                <w:b w:val="0"/>
                <w:sz w:val="17"/>
              </w:rPr>
              <w:t>DICOM,HTTPS</w:t>
            </w:r>
          </w:p>
        </w:tc>
        <w:tc>
          <w:tcPr>
            <w:tcW w:type="dxa" w:w="2550"/>
            <w:vAlign w:val="center"/>
          </w:tcPr>
          <w:p>
            <w:pPr>
              <w:spacing w:after="0"/>
            </w:pPr>
            <w:r/>
            <w:r>
              <w:rPr>
                <w:b w:val="0"/>
                <w:sz w:val="17"/>
              </w:rPr>
              <w:t>Traffic generators to activate</w:t>
            </w:r>
          </w:p>
        </w:tc>
        <w:tc>
          <w:tcPr>
            <w:tcW w:type="dxa" w:w="2550"/>
            <w:vAlign w:val="center"/>
          </w:tcPr>
          <w:p>
            <w:pPr>
              <w:spacing w:after="0"/>
            </w:pPr>
            <w:r/>
            <w:r>
              <w:rPr>
                <w:b w:val="0"/>
                <w:sz w:val="17"/>
              </w:rPr>
              <w:t>Checklist</w:t>
            </w:r>
          </w:p>
        </w:tc>
      </w:tr>
      <w:tr>
        <w:tc>
          <w:tcPr>
            <w:tcW w:type="dxa" w:w="2550"/>
            <w:vAlign w:val="center"/>
          </w:tcPr>
          <w:p>
            <w:pPr>
              <w:spacing w:after="0"/>
            </w:pPr>
            <w:r/>
            <w:r>
              <w:rPr>
                <w:b w:val="0"/>
                <w:sz w:val="17"/>
              </w:rPr>
              <w:t>label_granularity</w:t>
            </w:r>
          </w:p>
        </w:tc>
        <w:tc>
          <w:tcPr>
            <w:tcW w:type="dxa" w:w="2550"/>
            <w:vAlign w:val="center"/>
          </w:tcPr>
          <w:p>
            <w:pPr>
              <w:spacing w:after="0"/>
            </w:pPr>
            <w:r/>
            <w:r>
              <w:rPr>
                <w:b w:val="0"/>
                <w:sz w:val="17"/>
              </w:rPr>
              <w:t>window</w:t>
            </w:r>
          </w:p>
        </w:tc>
        <w:tc>
          <w:tcPr>
            <w:tcW w:type="dxa" w:w="2550"/>
            <w:vAlign w:val="center"/>
          </w:tcPr>
          <w:p>
            <w:pPr>
              <w:spacing w:after="0"/>
            </w:pPr>
            <w:r/>
            <w:r>
              <w:rPr>
                <w:b w:val="0"/>
                <w:sz w:val="17"/>
              </w:rPr>
              <w:t>window / flow / event labels</w:t>
            </w:r>
          </w:p>
        </w:tc>
        <w:tc>
          <w:tcPr>
            <w:tcW w:type="dxa" w:w="2550"/>
            <w:vAlign w:val="center"/>
          </w:tcPr>
          <w:p>
            <w:pPr>
              <w:spacing w:after="0"/>
            </w:pPr>
            <w:r/>
            <w:r>
              <w:rPr>
                <w:b w:val="0"/>
                <w:sz w:val="17"/>
              </w:rPr>
              <w:t>Dropdown</w:t>
            </w:r>
          </w:p>
        </w:tc>
      </w:tr>
    </w:tbl>
    <w:p>
      <w:pPr>
        <w:pStyle w:val="Heading1"/>
      </w:pPr>
      <w:r>
        <w:t>7. How to make the scenarios feel real instead of random</w:t>
      </w:r>
    </w:p>
    <w:p>
      <w:pPr>
        <w:pStyle w:val="ListBullet"/>
      </w:pPr>
      <w:r>
        <w:t>Respect hospital business hours: imaging peaks in the day, bedside telemetry stays continuous, backups cluster at night, vendor maintenance is sparse and usually scheduled.</w:t>
      </w:r>
    </w:p>
    <w:p>
      <w:pPr>
        <w:pStyle w:val="ListBullet"/>
      </w:pPr>
      <w:r>
        <w:t>Use role-based communication maps: patient monitors do not normally talk to the internet directly; radiology workstations do talk to PACS and archives; FHIR servers face app/API traffic.</w:t>
      </w:r>
    </w:p>
    <w:p>
      <w:pPr>
        <w:pStyle w:val="ListBullet"/>
      </w:pPr>
      <w:r>
        <w:t>Inject benign maintenance noise: patch windows, software updates, clinician logins, study retrieval spikes, and short-lived backup bursts.</w:t>
      </w:r>
    </w:p>
    <w:p>
      <w:pPr>
        <w:pStyle w:val="ListBullet"/>
      </w:pPr>
      <w:r>
        <w:t>Use multi-stage attacks: recon -&gt; initial access -&gt; privileged action -&gt; data collection -&gt; exfiltration / impact.</w:t>
      </w:r>
    </w:p>
    <w:p>
      <w:pPr>
        <w:pStyle w:val="ListBullet"/>
      </w:pPr>
      <w:r>
        <w:t>Vary stealth: the same class should appear in low, medium, and high-intensity forms so models do not just memorize amplitude.</w:t>
      </w:r>
    </w:p>
    <w:p>
      <w:pPr>
        <w:pStyle w:val="ListBullet"/>
      </w:pPr>
      <w:r>
        <w:t>Keep labels honest: if the malicious phase starts slowly, allow ambiguous transition windows instead of labeling everything as fully malicious from the first second.</w:t>
      </w:r>
    </w:p>
    <w:p>
      <w:pPr>
        <w:pStyle w:val="Heading1"/>
      </w:pPr>
      <w:r>
        <w:t>8. Recommended dataset exports</w:t>
      </w:r>
    </w:p>
    <w:p>
      <w:pPr>
        <w:pStyle w:val="ListBullet"/>
      </w:pPr>
      <w:r>
        <w:t>flows.csv or flows.parquet: one row per flow with attack_id and scenario_id.</w:t>
      </w:r>
    </w:p>
    <w:p>
      <w:pPr>
        <w:pStyle w:val="ListBullet"/>
      </w:pPr>
      <w:r>
        <w:t>windows_5s.csv: one row per 5-second window with aggregate features and label.</w:t>
      </w:r>
    </w:p>
    <w:p>
      <w:pPr>
        <w:pStyle w:val="ListBullet"/>
      </w:pPr>
      <w:r>
        <w:t>events.csv: higher-level protocol events such as login failure, DICOM query burst, config write, firmware push, backup deletion.</w:t>
      </w:r>
    </w:p>
    <w:p>
      <w:pPr>
        <w:pStyle w:val="ListBullet"/>
      </w:pPr>
      <w:r>
        <w:t>assets.csv: inventory of devices, zones, protocols, exposure flags, criticality score.</w:t>
      </w:r>
    </w:p>
    <w:p>
      <w:pPr>
        <w:pStyle w:val="ListBullet"/>
      </w:pPr>
      <w:r>
        <w:t>scenario_manifest.json: exact configuration used to generate each run so results are reproducible.</w:t>
      </w:r>
    </w:p>
    <w:p>
      <w:pPr>
        <w:pStyle w:val="Heading1"/>
      </w:pPr>
      <w:r>
        <w:t>9. References used for this blueprint</w:t>
      </w:r>
    </w:p>
    <w:p>
      <w:pPr>
        <w:pStyle w:val="ListNumber"/>
      </w:pPr>
      <w:r>
        <w:t>Health-ISAC. 2025 Health Sector Cyber Threat Landscape. Key themes: ransomware, phishing, compromised credentials, third-party breaches, supply chain attacks, zero-day exploitation, patient extortion, hospital disruption.</w:t>
      </w:r>
    </w:p>
    <w:p>
      <w:pPr>
        <w:pStyle w:val="ListNumber"/>
      </w:pPr>
      <w:r>
        <w:t>FDA. Cybersecurity in Medical Devices: Quality Management System Considerations and Content of Premarket Submissions. Core themes: patient harm from cyber incidents, confidentiality, authentication, authorization, event detection, resilience, secure updates, and integrity protection.</w:t>
      </w:r>
    </w:p>
    <w:p>
      <w:pPr>
        <w:pStyle w:val="ListNumber"/>
      </w:pPr>
      <w:r>
        <w:t>Claroty Team82. State of CPS Security: Healthcare Exposures 2025. Key themes: insecure internet exposure, known exploited vulnerabilities, ransomware-linked exposure, especially in imaging systems and hospital information systems.</w:t>
      </w:r>
    </w:p>
    <w:p>
      <w:pPr>
        <w:pStyle w:val="ListNumber"/>
      </w:pPr>
      <w:r>
        <w:t>CISA ICS Medical Advisories used for scenario grounding: Contec CMS8000 (default credentials and firmware modification risk), Philips Vue PACS (resource exhaustion / DoS), FUJIFILM Synapse Mobility (authentication bypass), Philips IntelliSpace Cardiovascular (replay / auth bypass), BPL devices (unencrypted BLE without integrity), Orthanc Server (remote access without auth by default), Baxter Life2000 (hard-coded credentials and missing authentication), Pixmeo OsiriX MD (cleartext credential transmission).</w:t>
      </w:r>
    </w:p>
    <w:p>
      <w:pPr>
        <w:pStyle w:val="ListNumber"/>
      </w:pPr>
      <w:r>
        <w:t>HHS OCR and cyber resources on healthcare ransomware consequences, including the Change Healthcare incident and continuity-of-care impacts.</w:t>
      </w:r>
    </w:p>
    <w:p>
      <w:pPr>
        <w:pStyle w:val="ListNumber"/>
      </w:pPr>
      <w:r>
        <w:t>NIST. Cybersecurity Framework (CSF) 2.0 and SP 800-66 Rev. 2 (Implementing the HIPAA Security Rule). Core functions: Identify, Protect, Detect, Respond, Recover. Provides the overarching risk-management structure referenced by most U.S. healthcare cybersecurity programs.</w:t>
      </w:r>
    </w:p>
    <w:p>
      <w:pPr>
        <w:pStyle w:val="ListNumber"/>
      </w:pPr>
      <w:r>
        <w:t>MITRE ATT&amp;CK for ICS (v15, April 2024). 12 tactics, 83 techniques, 14 asset types. Provides the adversary behavior taxonomy applicable to hospital OT and IoMT environments, including initial access via remote services, lateral movement, and manipulation of control processes.</w:t>
      </w:r>
    </w:p>
    <w:p>
      <w:pPr>
        <w:pStyle w:val="ListNumber"/>
      </w:pPr>
      <w:r>
        <w:t>MITRE. Medical Device Cybersecurity Regional Incident Preparedness and Response Playbook. Follows the NIST SP 800-61r2 incident response lifecycle (Preparation, Detection &amp; Analysis, Containment/Eradication/Recovery, Post-Incident Activity) for medical device cyber incidents in healthcare delivery organizations.</w:t>
      </w:r>
    </w:p>
    <w:p>
      <w:pPr>
        <w:pStyle w:val="ListNumber"/>
      </w:pPr>
      <w:r>
        <w:t>Dadkhah, S. et al. CICIoMT2024: A Benchmark Dataset for Multi-Protocol Security Assessment in IoMT. Internet of Things, vol. 28, 2024. Covers 18 attacks on 40 IoMT devices across Wi-Fi, MQTT, and Bluetooth protocols; provides the closest public benchmark for IoMT intrusion detection research.</w:t>
      </w:r>
    </w:p>
    <w:p>
      <w:pPr>
        <w:pStyle w:val="ListNumber"/>
      </w:pPr>
      <w:r>
        <w:t>HHS 405(d) Health Industry Cybersecurity Practices (HICP). Healthcare-specific cybersecurity guidance focusing on securing medical devices, protecting patient data, managing email threats, and ensuring operational continuity during cyber incidents. Complements NIST CSF with sector-tailored controls.</w:t>
      </w:r>
    </w:p>
    <w:p>
      <w:pPr>
        <w:pStyle w:val="ListNumber"/>
      </w:pPr>
      <w:r>
        <w:t>IBM. Cost of a Data Breach Report 2025. Healthcare remains the costliest sector for data breaches. Highlights AI governance gaps, credential-based initial access, flat network segmentation failures, and third-party vendor risks as primary breach cost drivers.</w:t>
      </w:r>
    </w:p>
    <w:p>
      <w:pPr>
        <w:pStyle w:val="Heading1"/>
      </w:pPr>
      <w:r>
        <w:t>10. Prompt starter for a code-generation AI</w:t>
      </w:r>
    </w:p>
    <w:p>
      <w:r>
        <w:rPr>
          <w:b/>
        </w:rPr>
        <w:t>Use the following as a starting prompt:</w:t>
      </w:r>
    </w:p>
    <w:p>
      <w:r>
        <w:rPr>
          <w:sz w:val="18"/>
        </w:rPr>
        <w:t>Build a Python simulator with GUI for a medium-sized hospital IoMT network. Generate flow-level records plus protocol metadata for DICOM, HL7, FHIR, BLE telemetry, vendor remote access, PACS, and device management traffic. Support the 24 attack scenarios listed in this document as configurable templates. Export flows, 5-second windows, events, assets, and scenario manifest files. The simulator must support benign diurnal behavior, multi-stage attack state machines, adjustable intensity and stealth, seeded reproducibility, and per-window labels. Use a modular architecture with environment profile, traffic generators, attack injectors, labeling engine, and export layer. Include scenario editor panels and plots for live traffic rates and attack phase transitions.</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5EA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3D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B5EA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