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4"/>
        </w:rPr>
        <w:t>HEALTHCARE DATA ANALYTICS</w:t>
      </w:r>
    </w:p>
    <w:p>
      <w:pPr>
        <w:jc w:val="center"/>
      </w:pPr>
      <w:r>
        <w:rPr>
          <w:b/>
          <w:sz w:val="40"/>
        </w:rPr>
        <w:t>Comprehensive Project Plan</w:t>
      </w:r>
    </w:p>
    <w:p>
      <w:pPr>
        <w:jc w:val="center"/>
      </w:pPr>
      <w:r>
        <w:rPr>
          <w:i/>
          <w:sz w:val="22"/>
        </w:rPr>
        <w:t>Strategic Planning for a Hypothetical Healthcare Data Analysis Project</w:t>
      </w:r>
    </w:p>
    <w:tbl>
      <w:tblPr>
        <w:tblW w:type="auto" w:w="0"/>
        <w:jc w:val="center"/>
        <w:tblLook w:firstColumn="1" w:firstRow="1" w:lastColumn="0" w:lastRow="0" w:noHBand="0" w:noVBand="1" w:val="04A0"/>
      </w:tblPr>
      <w:tblGrid>
        <w:gridCol w:w="5112"/>
        <w:gridCol w:w="5112"/>
      </w:tblGrid>
      <w:tr>
        <w:tc>
          <w:tcPr>
            <w:tcW w:type="dxa" w:w="5112"/>
            <w:vAlign w:val="center"/>
            <w:shd w:fill="D9EAF7"/>
          </w:tcPr>
          <w:p>
            <w:r/>
            <w:r>
              <w:rPr>
                <w:b/>
                <w:sz w:val="17"/>
              </w:rPr>
              <w:t>Item</w:t>
            </w:r>
          </w:p>
        </w:tc>
        <w:tc>
          <w:tcPr>
            <w:tcW w:type="dxa" w:w="5112"/>
            <w:vAlign w:val="center"/>
            <w:shd w:fill="D9EAF7"/>
          </w:tcPr>
          <w:p>
            <w:r/>
            <w:r>
              <w:rPr>
                <w:b/>
                <w:sz w:val="17"/>
              </w:rPr>
              <w:t>Details</w:t>
            </w:r>
          </w:p>
        </w:tc>
      </w:tr>
      <w:tr>
        <w:tc>
          <w:tcPr>
            <w:tcW w:type="dxa" w:w="5112"/>
            <w:vAlign w:val="center"/>
          </w:tcPr>
          <w:p>
            <w:r/>
            <w:r>
              <w:rPr>
                <w:b w:val="0"/>
                <w:sz w:val="17"/>
              </w:rPr>
              <w:t>Prepared for</w:t>
            </w:r>
          </w:p>
        </w:tc>
        <w:tc>
          <w:tcPr>
            <w:tcW w:type="dxa" w:w="5112"/>
            <w:vAlign w:val="center"/>
          </w:tcPr>
          <w:p>
            <w:r/>
            <w:r>
              <w:rPr>
                <w:b w:val="0"/>
                <w:sz w:val="17"/>
              </w:rPr>
              <w:t>YuvaIntern – Healthcare Data Analysis Task</w:t>
            </w:r>
          </w:p>
        </w:tc>
      </w:tr>
      <w:tr>
        <w:tc>
          <w:tcPr>
            <w:tcW w:type="dxa" w:w="5112"/>
            <w:vAlign w:val="center"/>
          </w:tcPr>
          <w:p>
            <w:r/>
            <w:r>
              <w:rPr>
                <w:b w:val="0"/>
                <w:sz w:val="17"/>
              </w:rPr>
              <w:t>Prepared by</w:t>
            </w:r>
          </w:p>
        </w:tc>
        <w:tc>
          <w:tcPr>
            <w:tcW w:type="dxa" w:w="5112"/>
            <w:vAlign w:val="center"/>
          </w:tcPr>
          <w:p>
            <w:r/>
            <w:r>
              <w:rPr>
                <w:b w:val="0"/>
                <w:sz w:val="17"/>
              </w:rPr>
              <w:t>Dharmarapu Rakesh</w:t>
            </w:r>
          </w:p>
        </w:tc>
      </w:tr>
      <w:tr>
        <w:tc>
          <w:tcPr>
            <w:tcW w:type="dxa" w:w="5112"/>
            <w:vAlign w:val="center"/>
          </w:tcPr>
          <w:p>
            <w:r/>
            <w:r>
              <w:rPr>
                <w:b w:val="0"/>
                <w:sz w:val="17"/>
              </w:rPr>
              <w:t>Project Duration</w:t>
            </w:r>
          </w:p>
        </w:tc>
        <w:tc>
          <w:tcPr>
            <w:tcW w:type="dxa" w:w="5112"/>
            <w:vAlign w:val="center"/>
          </w:tcPr>
          <w:p>
            <w:r/>
            <w:r>
              <w:rPr>
                <w:b w:val="0"/>
                <w:sz w:val="17"/>
              </w:rPr>
              <w:t>30–35 hours</w:t>
            </w:r>
          </w:p>
        </w:tc>
      </w:tr>
      <w:tr>
        <w:tc>
          <w:tcPr>
            <w:tcW w:type="dxa" w:w="5112"/>
            <w:vAlign w:val="center"/>
          </w:tcPr>
          <w:p>
            <w:r/>
            <w:r>
              <w:rPr>
                <w:b w:val="0"/>
                <w:sz w:val="17"/>
              </w:rPr>
              <w:t>Project Type</w:t>
            </w:r>
          </w:p>
        </w:tc>
        <w:tc>
          <w:tcPr>
            <w:tcW w:type="dxa" w:w="5112"/>
            <w:vAlign w:val="center"/>
          </w:tcPr>
          <w:p>
            <w:r/>
            <w:r>
              <w:rPr>
                <w:b w:val="0"/>
                <w:sz w:val="17"/>
              </w:rPr>
              <w:t>Hypothetical healthcare analytics planning project</w:t>
            </w:r>
          </w:p>
        </w:tc>
      </w:tr>
      <w:tr>
        <w:tc>
          <w:tcPr>
            <w:tcW w:type="dxa" w:w="5112"/>
            <w:vAlign w:val="center"/>
          </w:tcPr>
          <w:p>
            <w:r/>
            <w:r>
              <w:rPr>
                <w:b w:val="0"/>
                <w:sz w:val="17"/>
              </w:rPr>
              <w:t>Proposed Tools</w:t>
            </w:r>
          </w:p>
        </w:tc>
        <w:tc>
          <w:tcPr>
            <w:tcW w:type="dxa" w:w="5112"/>
            <w:vAlign w:val="center"/>
          </w:tcPr>
          <w:p>
            <w:r/>
            <w:r>
              <w:rPr>
                <w:b w:val="0"/>
                <w:sz w:val="17"/>
              </w:rPr>
              <w:t>Python, pandas, NumPy, scikit-learn, matplotlib/seaborn, Jupyter Notebook</w:t>
            </w:r>
          </w:p>
        </w:tc>
      </w:tr>
    </w:tbl>
    <w:p/>
    <w:p>
      <w:pPr>
        <w:pStyle w:val="Heading1"/>
      </w:pPr>
      <w:r>
        <w:t>1. Project Overview</w:t>
      </w:r>
    </w:p>
    <w:p>
      <w:r>
        <w:t>This project proposes a data-driven healthcare analytics initiative focused on understanding factors associated with 30-day hospital readmission. A hypothetical hospital network wants to use historical, de-identified healthcare data to measure readmission performance, identify important patterns, evaluate whether readmission risk can be predicted, and understand how analytical findings could support better allocation of follow-up and care-management resources.</w:t>
      </w:r>
    </w:p>
    <w:p>
      <w:r>
        <w:t>The project is designed as a planning and strategy exercise rather than a clinical deployment. The analysis will not diagnose patients, prescribe treatment, or replace clinical judgment. The emphasis is on a responsible data-science workflow covering research, data sourcing, data quality, exploratory analysis, predictive modeling, validation, ethics, risk management, and communication.</w:t>
      </w:r>
    </w:p>
    <w:p>
      <w:pPr>
        <w:pStyle w:val="Heading1"/>
      </w:pPr>
      <w:r>
        <w:t>2. Background Research and Literature Review Summary</w:t>
      </w:r>
    </w:p>
    <w:p>
      <w:r>
        <w:t>Healthcare analytics combines clinical, operational and population-level information to identify trends, measure outcomes and support evidence-based decisions. Public data sources provide useful opportunities for learning while also requiring careful attention to definitions, data quality and privacy.</w:t>
      </w:r>
    </w:p>
    <w:p>
      <w:r>
        <w:t>The CDC Open Data platform provides public datasets related to health conditions, public-health surveillance, chronic disease and other health indicators. The WHO Global Health Observatory provides a broad collection of health indicators for mortality, disease burden, risk factors and health systems. CMS publishes public-use healthcare datasets that can support utilization and cost-related analysis. MIMIC-IV is a detailed de-identified clinical dataset covering hospital and intensive-care information; access requires credentialing, training and adherence to its data-use requirements.</w:t>
      </w:r>
    </w:p>
    <w:p>
      <w:r>
        <w:t>These sources illustrate an important planning consideration: data selection must match the research question. Population-level sources are appropriate for trend and benchmarking analyses, whereas detailed patient/encounter datasets are more appropriate for predictive modeling. For this project, public and de-identified data will be considered first, with the exact dataset selected after reviewing access, variable availability, target definition and ethical requirements.</w:t>
      </w:r>
    </w:p>
    <w:p>
      <w:pPr>
        <w:pStyle w:val="Heading1"/>
      </w:pPr>
      <w:r>
        <w:t>3. Proposed Healthcare Scenario</w:t>
      </w:r>
    </w:p>
    <w:p>
      <w:pPr>
        <w:pStyle w:val="Heading2"/>
      </w:pPr>
      <w:r>
        <w:t>30-Day Hospital Readmission Analysis</w:t>
      </w:r>
    </w:p>
    <w:p>
      <w:r>
        <w:t>The hypothetical hospital network has observed variation in readmission rates between patient groups and service areas. Management wants to understand which measurable characteristics are associated with readmission and whether historical data can help identify higher-risk cases for additional review.</w:t>
      </w:r>
    </w:p>
    <w:p>
      <w:r>
        <w:t>The project will investigate:</w:t>
      </w:r>
    </w:p>
    <w:p>
      <w:pPr>
        <w:pStyle w:val="ListBullet"/>
        <w:spacing w:after="20"/>
      </w:pPr>
      <w:r>
        <w:t>How often eligible patients are readmitted within 30 days.</w:t>
      </w:r>
    </w:p>
    <w:p>
      <w:pPr>
        <w:pStyle w:val="ListBullet"/>
        <w:spacing w:after="20"/>
      </w:pPr>
      <w:r>
        <w:t>Whether readmission patterns differ by available demographic, clinical or utilization characteristics.</w:t>
      </w:r>
    </w:p>
    <w:p>
      <w:pPr>
        <w:pStyle w:val="ListBullet"/>
        <w:spacing w:after="20"/>
      </w:pPr>
      <w:r>
        <w:t>How length of stay and previous healthcare utilization relate to readmission.</w:t>
      </w:r>
    </w:p>
    <w:p>
      <w:pPr>
        <w:pStyle w:val="ListBullet"/>
        <w:spacing w:after="20"/>
      </w:pPr>
      <w:r>
        <w:t>Which variables are useful for a baseline predictive model.</w:t>
      </w:r>
    </w:p>
    <w:p>
      <w:pPr>
        <w:pStyle w:val="ListBullet"/>
        <w:spacing w:after="20"/>
      </w:pPr>
      <w:r>
        <w:t>Whether model performance is consistent across relevant subgroups.</w:t>
      </w:r>
    </w:p>
    <w:p>
      <w:pPr>
        <w:pStyle w:val="ListBullet"/>
        <w:spacing w:after="20"/>
      </w:pPr>
      <w:r>
        <w:t>How analytical results could inform follow-up planning and resource allocation.</w:t>
      </w:r>
    </w:p>
    <w:p>
      <w:pPr>
        <w:pStyle w:val="Heading1"/>
      </w:pPr>
      <w:r>
        <w:t>4. Project Objectives</w:t>
      </w:r>
    </w:p>
    <w:p>
      <w:pPr>
        <w:pStyle w:val="ListNumber"/>
        <w:spacing w:after="20"/>
      </w:pPr>
      <w:r>
        <w:t>Define a clear healthcare analytics problem and measurable success criteria.</w:t>
      </w:r>
    </w:p>
    <w:p>
      <w:pPr>
        <w:pStyle w:val="ListNumber"/>
        <w:spacing w:after="20"/>
      </w:pPr>
      <w:r>
        <w:t>Research suitable public and de-identified healthcare data sources.</w:t>
      </w:r>
    </w:p>
    <w:p>
      <w:pPr>
        <w:pStyle w:val="ListNumber"/>
        <w:spacing w:after="20"/>
      </w:pPr>
      <w:r>
        <w:t>Document data provenance, access requirements, definitions and limitations.</w:t>
      </w:r>
    </w:p>
    <w:p>
      <w:pPr>
        <w:pStyle w:val="ListNumber"/>
        <w:spacing w:after="20"/>
      </w:pPr>
      <w:r>
        <w:t>Develop a reproducible data-cleaning and preparation workflow.</w:t>
      </w:r>
    </w:p>
    <w:p>
      <w:pPr>
        <w:pStyle w:val="ListNumber"/>
        <w:spacing w:after="20"/>
      </w:pPr>
      <w:r>
        <w:t>Calculate meaningful healthcare and operational KPIs.</w:t>
      </w:r>
    </w:p>
    <w:p>
      <w:pPr>
        <w:pStyle w:val="ListNumber"/>
        <w:spacing w:after="20"/>
      </w:pPr>
      <w:r>
        <w:t>Perform exploratory data analysis to identify patterns and data-quality issues.</w:t>
      </w:r>
    </w:p>
    <w:p>
      <w:pPr>
        <w:pStyle w:val="ListNumber"/>
        <w:spacing w:after="20"/>
      </w:pPr>
      <w:r>
        <w:t>Build a baseline model for 30-day readmission risk and compare suitable alternatives.</w:t>
      </w:r>
    </w:p>
    <w:p>
      <w:pPr>
        <w:pStyle w:val="ListNumber"/>
        <w:spacing w:after="20"/>
      </w:pPr>
      <w:r>
        <w:t>Evaluate model discrimination, calibration and subgroup performance.</w:t>
      </w:r>
    </w:p>
    <w:p>
      <w:pPr>
        <w:pStyle w:val="ListNumber"/>
        <w:spacing w:after="20"/>
      </w:pPr>
      <w:r>
        <w:t>Identify privacy, bias, leakage and clinical-interpretation risks.</w:t>
      </w:r>
    </w:p>
    <w:p>
      <w:pPr>
        <w:pStyle w:val="ListNumber"/>
        <w:spacing w:after="20"/>
      </w:pPr>
      <w:r>
        <w:t>Translate findings into practical, non-automated recommendations for further stakeholder review.</w:t>
      </w:r>
    </w:p>
    <w:p>
      <w:pPr>
        <w:pStyle w:val="Heading1"/>
      </w:pPr>
      <w:r>
        <w:t>5. Key Healthcare Metrics and KPIs</w:t>
      </w:r>
    </w:p>
    <w:tbl>
      <w:tblPr>
        <w:tblW w:type="auto" w:w="0"/>
        <w:jc w:val="center"/>
        <w:tblLook w:firstColumn="1" w:firstRow="1" w:lastColumn="0" w:lastRow="0" w:noHBand="0" w:noVBand="1" w:val="04A0"/>
      </w:tblPr>
      <w:tblGrid>
        <w:gridCol w:w="2556"/>
        <w:gridCol w:w="2556"/>
        <w:gridCol w:w="2556"/>
        <w:gridCol w:w="2556"/>
      </w:tblGrid>
      <w:tr>
        <w:tc>
          <w:tcPr>
            <w:tcW w:type="dxa" w:w="2556"/>
            <w:vAlign w:val="center"/>
            <w:shd w:fill="D9EAF7"/>
          </w:tcPr>
          <w:p>
            <w:r/>
            <w:r>
              <w:rPr>
                <w:b/>
                <w:sz w:val="17"/>
              </w:rPr>
              <w:t>KPI</w:t>
            </w:r>
          </w:p>
        </w:tc>
        <w:tc>
          <w:tcPr>
            <w:tcW w:type="dxa" w:w="2556"/>
            <w:vAlign w:val="center"/>
            <w:shd w:fill="D9EAF7"/>
          </w:tcPr>
          <w:p>
            <w:r/>
            <w:r>
              <w:rPr>
                <w:b/>
                <w:sz w:val="17"/>
              </w:rPr>
              <w:t>Definition</w:t>
            </w:r>
          </w:p>
        </w:tc>
        <w:tc>
          <w:tcPr>
            <w:tcW w:type="dxa" w:w="2556"/>
            <w:vAlign w:val="center"/>
            <w:shd w:fill="D9EAF7"/>
          </w:tcPr>
          <w:p>
            <w:r/>
            <w:r>
              <w:rPr>
                <w:b/>
                <w:sz w:val="17"/>
              </w:rPr>
              <w:t>Why It Matters</w:t>
            </w:r>
          </w:p>
        </w:tc>
        <w:tc>
          <w:tcPr>
            <w:tcW w:type="dxa" w:w="2556"/>
            <w:vAlign w:val="center"/>
            <w:shd w:fill="D9EAF7"/>
          </w:tcPr>
          <w:p>
            <w:r/>
            <w:r>
              <w:rPr>
                <w:b/>
                <w:sz w:val="17"/>
              </w:rPr>
              <w:t>Desired Direction</w:t>
            </w:r>
          </w:p>
        </w:tc>
      </w:tr>
      <w:tr>
        <w:tc>
          <w:tcPr>
            <w:tcW w:type="dxa" w:w="2556"/>
            <w:vAlign w:val="center"/>
          </w:tcPr>
          <w:p>
            <w:r/>
            <w:r>
              <w:rPr>
                <w:b w:val="0"/>
                <w:sz w:val="17"/>
              </w:rPr>
              <w:t>30-Day Readmission Rate</w:t>
            </w:r>
          </w:p>
        </w:tc>
        <w:tc>
          <w:tcPr>
            <w:tcW w:type="dxa" w:w="2556"/>
            <w:vAlign w:val="center"/>
          </w:tcPr>
          <w:p>
            <w:r/>
            <w:r>
              <w:rPr>
                <w:b w:val="0"/>
                <w:sz w:val="17"/>
              </w:rPr>
              <w:t>30-day readmissions ÷ eligible discharges × 100</w:t>
            </w:r>
          </w:p>
        </w:tc>
        <w:tc>
          <w:tcPr>
            <w:tcW w:type="dxa" w:w="2556"/>
            <w:vAlign w:val="center"/>
          </w:tcPr>
          <w:p>
            <w:r/>
            <w:r>
              <w:rPr>
                <w:b w:val="0"/>
                <w:sz w:val="17"/>
              </w:rPr>
              <w:t>Primary outcome for the project</w:t>
            </w:r>
          </w:p>
        </w:tc>
        <w:tc>
          <w:tcPr>
            <w:tcW w:type="dxa" w:w="2556"/>
            <w:vAlign w:val="center"/>
          </w:tcPr>
          <w:p>
            <w:r/>
            <w:r>
              <w:rPr>
                <w:b w:val="0"/>
                <w:sz w:val="17"/>
              </w:rPr>
              <w:t>Generally lower, with case-mix context</w:t>
            </w:r>
          </w:p>
        </w:tc>
      </w:tr>
      <w:tr>
        <w:tc>
          <w:tcPr>
            <w:tcW w:type="dxa" w:w="2556"/>
            <w:vAlign w:val="center"/>
          </w:tcPr>
          <w:p>
            <w:r/>
            <w:r>
              <w:rPr>
                <w:b w:val="0"/>
                <w:sz w:val="17"/>
              </w:rPr>
              <w:t>Average Length of Stay</w:t>
            </w:r>
          </w:p>
        </w:tc>
        <w:tc>
          <w:tcPr>
            <w:tcW w:type="dxa" w:w="2556"/>
            <w:vAlign w:val="center"/>
          </w:tcPr>
          <w:p>
            <w:r/>
            <w:r>
              <w:rPr>
                <w:b w:val="0"/>
                <w:sz w:val="17"/>
              </w:rPr>
              <w:t>Total inpatient days ÷ admissions</w:t>
            </w:r>
          </w:p>
        </w:tc>
        <w:tc>
          <w:tcPr>
            <w:tcW w:type="dxa" w:w="2556"/>
            <w:vAlign w:val="center"/>
          </w:tcPr>
          <w:p>
            <w:r/>
            <w:r>
              <w:rPr>
                <w:b w:val="0"/>
                <w:sz w:val="17"/>
              </w:rPr>
              <w:t>Shows utilization and care duration</w:t>
            </w:r>
          </w:p>
        </w:tc>
        <w:tc>
          <w:tcPr>
            <w:tcW w:type="dxa" w:w="2556"/>
            <w:vAlign w:val="center"/>
          </w:tcPr>
          <w:p>
            <w:r/>
            <w:r>
              <w:rPr>
                <w:b w:val="0"/>
                <w:sz w:val="17"/>
              </w:rPr>
              <w:t>Context dependent</w:t>
            </w:r>
          </w:p>
        </w:tc>
      </w:tr>
      <w:tr>
        <w:tc>
          <w:tcPr>
            <w:tcW w:type="dxa" w:w="2556"/>
            <w:vAlign w:val="center"/>
          </w:tcPr>
          <w:p>
            <w:r/>
            <w:r>
              <w:rPr>
                <w:b w:val="0"/>
                <w:sz w:val="17"/>
              </w:rPr>
              <w:t>In-Hospital Mortality Rate</w:t>
            </w:r>
          </w:p>
        </w:tc>
        <w:tc>
          <w:tcPr>
            <w:tcW w:type="dxa" w:w="2556"/>
            <w:vAlign w:val="center"/>
          </w:tcPr>
          <w:p>
            <w:r/>
            <w:r>
              <w:rPr>
                <w:b w:val="0"/>
                <w:sz w:val="17"/>
              </w:rPr>
              <w:t>In-hospital deaths ÷ admissions × 100</w:t>
            </w:r>
          </w:p>
        </w:tc>
        <w:tc>
          <w:tcPr>
            <w:tcW w:type="dxa" w:w="2556"/>
            <w:vAlign w:val="center"/>
          </w:tcPr>
          <w:p>
            <w:r/>
            <w:r>
              <w:rPr>
                <w:b w:val="0"/>
                <w:sz w:val="17"/>
              </w:rPr>
              <w:t>Important outcome/safety indicator</w:t>
            </w:r>
          </w:p>
        </w:tc>
        <w:tc>
          <w:tcPr>
            <w:tcW w:type="dxa" w:w="2556"/>
            <w:vAlign w:val="center"/>
          </w:tcPr>
          <w:p>
            <w:r/>
            <w:r>
              <w:rPr>
                <w:b w:val="0"/>
                <w:sz w:val="17"/>
              </w:rPr>
              <w:t>Generally lower</w:t>
            </w:r>
          </w:p>
        </w:tc>
      </w:tr>
      <w:tr>
        <w:tc>
          <w:tcPr>
            <w:tcW w:type="dxa" w:w="2556"/>
            <w:vAlign w:val="center"/>
          </w:tcPr>
          <w:p>
            <w:r/>
            <w:r>
              <w:rPr>
                <w:b w:val="0"/>
                <w:sz w:val="17"/>
              </w:rPr>
              <w:t>ED Revisit Rate</w:t>
            </w:r>
          </w:p>
        </w:tc>
        <w:tc>
          <w:tcPr>
            <w:tcW w:type="dxa" w:w="2556"/>
            <w:vAlign w:val="center"/>
          </w:tcPr>
          <w:p>
            <w:r/>
            <w:r>
              <w:rPr>
                <w:b w:val="0"/>
                <w:sz w:val="17"/>
              </w:rPr>
              <w:t>Defined ED revisits ÷ eligible encounters × 100</w:t>
            </w:r>
          </w:p>
        </w:tc>
        <w:tc>
          <w:tcPr>
            <w:tcW w:type="dxa" w:w="2556"/>
            <w:vAlign w:val="center"/>
          </w:tcPr>
          <w:p>
            <w:r/>
            <w:r>
              <w:rPr>
                <w:b w:val="0"/>
                <w:sz w:val="17"/>
              </w:rPr>
              <w:t>Shows post-visit utilization</w:t>
            </w:r>
          </w:p>
        </w:tc>
        <w:tc>
          <w:tcPr>
            <w:tcW w:type="dxa" w:w="2556"/>
            <w:vAlign w:val="center"/>
          </w:tcPr>
          <w:p>
            <w:r/>
            <w:r>
              <w:rPr>
                <w:b w:val="0"/>
                <w:sz w:val="17"/>
              </w:rPr>
              <w:t>Generally lower, interpreted carefully</w:t>
            </w:r>
          </w:p>
        </w:tc>
      </w:tr>
      <w:tr>
        <w:tc>
          <w:tcPr>
            <w:tcW w:type="dxa" w:w="2556"/>
            <w:vAlign w:val="center"/>
          </w:tcPr>
          <w:p>
            <w:r/>
            <w:r>
              <w:rPr>
                <w:b w:val="0"/>
                <w:sz w:val="17"/>
              </w:rPr>
              <w:t>Sensitivity / Recall</w:t>
            </w:r>
          </w:p>
        </w:tc>
        <w:tc>
          <w:tcPr>
            <w:tcW w:type="dxa" w:w="2556"/>
            <w:vAlign w:val="center"/>
          </w:tcPr>
          <w:p>
            <w:r/>
            <w:r>
              <w:rPr>
                <w:b w:val="0"/>
                <w:sz w:val="17"/>
              </w:rPr>
              <w:t>True positives ÷ actual positives</w:t>
            </w:r>
          </w:p>
        </w:tc>
        <w:tc>
          <w:tcPr>
            <w:tcW w:type="dxa" w:w="2556"/>
            <w:vAlign w:val="center"/>
          </w:tcPr>
          <w:p>
            <w:r/>
            <w:r>
              <w:rPr>
                <w:b w:val="0"/>
                <w:sz w:val="17"/>
              </w:rPr>
              <w:t>Shows ability to identify higher-risk cases</w:t>
            </w:r>
          </w:p>
        </w:tc>
        <w:tc>
          <w:tcPr>
            <w:tcW w:type="dxa" w:w="2556"/>
            <w:vAlign w:val="center"/>
          </w:tcPr>
          <w:p>
            <w:r/>
            <w:r>
              <w:rPr>
                <w:b w:val="0"/>
                <w:sz w:val="17"/>
              </w:rPr>
              <w:t>High when missed cases are costly</w:t>
            </w:r>
          </w:p>
        </w:tc>
      </w:tr>
      <w:tr>
        <w:tc>
          <w:tcPr>
            <w:tcW w:type="dxa" w:w="2556"/>
            <w:vAlign w:val="center"/>
          </w:tcPr>
          <w:p>
            <w:r/>
            <w:r>
              <w:rPr>
                <w:b w:val="0"/>
                <w:sz w:val="17"/>
              </w:rPr>
              <w:t>Precision</w:t>
            </w:r>
          </w:p>
        </w:tc>
        <w:tc>
          <w:tcPr>
            <w:tcW w:type="dxa" w:w="2556"/>
            <w:vAlign w:val="center"/>
          </w:tcPr>
          <w:p>
            <w:r/>
            <w:r>
              <w:rPr>
                <w:b w:val="0"/>
                <w:sz w:val="17"/>
              </w:rPr>
              <w:t>True positives ÷ predicted positives</w:t>
            </w:r>
          </w:p>
        </w:tc>
        <w:tc>
          <w:tcPr>
            <w:tcW w:type="dxa" w:w="2556"/>
            <w:vAlign w:val="center"/>
          </w:tcPr>
          <w:p>
            <w:r/>
            <w:r>
              <w:rPr>
                <w:b w:val="0"/>
                <w:sz w:val="17"/>
              </w:rPr>
              <w:t>Shows how many flagged cases are actually positive</w:t>
            </w:r>
          </w:p>
        </w:tc>
        <w:tc>
          <w:tcPr>
            <w:tcW w:type="dxa" w:w="2556"/>
            <w:vAlign w:val="center"/>
          </w:tcPr>
          <w:p>
            <w:r/>
            <w:r>
              <w:rPr>
                <w:b w:val="0"/>
                <w:sz w:val="17"/>
              </w:rPr>
              <w:t>Balance with operational capacity</w:t>
            </w:r>
          </w:p>
        </w:tc>
      </w:tr>
      <w:tr>
        <w:tc>
          <w:tcPr>
            <w:tcW w:type="dxa" w:w="2556"/>
            <w:vAlign w:val="center"/>
          </w:tcPr>
          <w:p>
            <w:r/>
            <w:r>
              <w:rPr>
                <w:b w:val="0"/>
                <w:sz w:val="17"/>
              </w:rPr>
              <w:t>Calibration</w:t>
            </w:r>
          </w:p>
        </w:tc>
        <w:tc>
          <w:tcPr>
            <w:tcW w:type="dxa" w:w="2556"/>
            <w:vAlign w:val="center"/>
          </w:tcPr>
          <w:p>
            <w:r/>
            <w:r>
              <w:rPr>
                <w:b w:val="0"/>
                <w:sz w:val="17"/>
              </w:rPr>
              <w:t>Agreement between predicted and observed probabilities</w:t>
            </w:r>
          </w:p>
        </w:tc>
        <w:tc>
          <w:tcPr>
            <w:tcW w:type="dxa" w:w="2556"/>
            <w:vAlign w:val="center"/>
          </w:tcPr>
          <w:p>
            <w:r/>
            <w:r>
              <w:rPr>
                <w:b w:val="0"/>
                <w:sz w:val="17"/>
              </w:rPr>
              <w:t>Important for usable risk estimates</w:t>
            </w:r>
          </w:p>
        </w:tc>
        <w:tc>
          <w:tcPr>
            <w:tcW w:type="dxa" w:w="2556"/>
            <w:vAlign w:val="center"/>
          </w:tcPr>
          <w:p>
            <w:r/>
            <w:r>
              <w:rPr>
                <w:b w:val="0"/>
                <w:sz w:val="17"/>
              </w:rPr>
              <w:t>Closer agreement is better</w:t>
            </w:r>
          </w:p>
        </w:tc>
      </w:tr>
      <w:tr>
        <w:tc>
          <w:tcPr>
            <w:tcW w:type="dxa" w:w="2556"/>
            <w:vAlign w:val="center"/>
          </w:tcPr>
          <w:p>
            <w:r/>
            <w:r>
              <w:rPr>
                <w:b w:val="0"/>
                <w:sz w:val="17"/>
              </w:rPr>
              <w:t>Subgroup Performance Gap</w:t>
            </w:r>
          </w:p>
        </w:tc>
        <w:tc>
          <w:tcPr>
            <w:tcW w:type="dxa" w:w="2556"/>
            <w:vAlign w:val="center"/>
          </w:tcPr>
          <w:p>
            <w:r/>
            <w:r>
              <w:rPr>
                <w:b w:val="0"/>
                <w:sz w:val="17"/>
              </w:rPr>
              <w:t>Difference in model metrics between groups</w:t>
            </w:r>
          </w:p>
        </w:tc>
        <w:tc>
          <w:tcPr>
            <w:tcW w:type="dxa" w:w="2556"/>
            <w:vAlign w:val="center"/>
          </w:tcPr>
          <w:p>
            <w:r/>
            <w:r>
              <w:rPr>
                <w:b w:val="0"/>
                <w:sz w:val="17"/>
              </w:rPr>
              <w:t>Supports fairness assessment</w:t>
            </w:r>
          </w:p>
        </w:tc>
        <w:tc>
          <w:tcPr>
            <w:tcW w:type="dxa" w:w="2556"/>
            <w:vAlign w:val="center"/>
          </w:tcPr>
          <w:p>
            <w:r/>
            <w:r>
              <w:rPr>
                <w:b w:val="0"/>
                <w:sz w:val="17"/>
              </w:rPr>
              <w:t>Smaller unexplained gaps</w:t>
            </w:r>
          </w:p>
        </w:tc>
      </w:tr>
    </w:tbl>
    <w:p>
      <w:pPr>
        <w:pStyle w:val="Heading1"/>
      </w:pPr>
      <w:r>
        <w:t>6. Publicly Available Data Sources</w:t>
      </w:r>
    </w:p>
    <w:tbl>
      <w:tblPr>
        <w:tblW w:type="auto" w:w="0"/>
        <w:jc w:val="center"/>
        <w:tblLook w:firstColumn="1" w:firstRow="1" w:lastColumn="0" w:lastRow="0" w:noHBand="0" w:noVBand="1" w:val="04A0"/>
      </w:tblPr>
      <w:tblGrid>
        <w:gridCol w:w="2556"/>
        <w:gridCol w:w="2556"/>
        <w:gridCol w:w="2556"/>
        <w:gridCol w:w="2556"/>
      </w:tblGrid>
      <w:tr>
        <w:tc>
          <w:tcPr>
            <w:tcW w:type="dxa" w:w="2556"/>
            <w:vAlign w:val="center"/>
            <w:shd w:fill="D9EAF7"/>
          </w:tcPr>
          <w:p>
            <w:r/>
            <w:r>
              <w:rPr>
                <w:b/>
                <w:sz w:val="17"/>
              </w:rPr>
              <w:t>Data Source</w:t>
            </w:r>
          </w:p>
        </w:tc>
        <w:tc>
          <w:tcPr>
            <w:tcW w:type="dxa" w:w="2556"/>
            <w:vAlign w:val="center"/>
            <w:shd w:fill="D9EAF7"/>
          </w:tcPr>
          <w:p>
            <w:r/>
            <w:r>
              <w:rPr>
                <w:b/>
                <w:sz w:val="17"/>
              </w:rPr>
              <w:t>Potential Use</w:t>
            </w:r>
          </w:p>
        </w:tc>
        <w:tc>
          <w:tcPr>
            <w:tcW w:type="dxa" w:w="2556"/>
            <w:vAlign w:val="center"/>
            <w:shd w:fill="D9EAF7"/>
          </w:tcPr>
          <w:p>
            <w:r/>
            <w:r>
              <w:rPr>
                <w:b/>
                <w:sz w:val="17"/>
              </w:rPr>
              <w:t>Data Level</w:t>
            </w:r>
          </w:p>
        </w:tc>
        <w:tc>
          <w:tcPr>
            <w:tcW w:type="dxa" w:w="2556"/>
            <w:vAlign w:val="center"/>
            <w:shd w:fill="D9EAF7"/>
          </w:tcPr>
          <w:p>
            <w:r/>
            <w:r>
              <w:rPr>
                <w:b/>
                <w:sz w:val="17"/>
              </w:rPr>
              <w:t>Planning Consideration</w:t>
            </w:r>
          </w:p>
        </w:tc>
      </w:tr>
      <w:tr>
        <w:tc>
          <w:tcPr>
            <w:tcW w:type="dxa" w:w="2556"/>
            <w:vAlign w:val="center"/>
          </w:tcPr>
          <w:p>
            <w:r/>
            <w:r>
              <w:rPr>
                <w:b w:val="0"/>
                <w:sz w:val="17"/>
              </w:rPr>
              <w:t>CDC Open Data</w:t>
            </w:r>
          </w:p>
        </w:tc>
        <w:tc>
          <w:tcPr>
            <w:tcW w:type="dxa" w:w="2556"/>
            <w:vAlign w:val="center"/>
          </w:tcPr>
          <w:p>
            <w:r/>
            <w:r>
              <w:rPr>
                <w:b w:val="0"/>
                <w:sz w:val="17"/>
              </w:rPr>
              <w:t>Public-health trends, chronic disease and surveillance</w:t>
            </w:r>
          </w:p>
        </w:tc>
        <w:tc>
          <w:tcPr>
            <w:tcW w:type="dxa" w:w="2556"/>
            <w:vAlign w:val="center"/>
          </w:tcPr>
          <w:p>
            <w:r/>
            <w:r>
              <w:rPr>
                <w:b w:val="0"/>
                <w:sz w:val="17"/>
              </w:rPr>
              <w:t>Population/public health</w:t>
            </w:r>
          </w:p>
        </w:tc>
        <w:tc>
          <w:tcPr>
            <w:tcW w:type="dxa" w:w="2556"/>
            <w:vAlign w:val="center"/>
          </w:tcPr>
          <w:p>
            <w:r/>
            <w:r>
              <w:rPr>
                <w:b w:val="0"/>
                <w:sz w:val="17"/>
              </w:rPr>
              <w:t>Review dataset-specific definitions and quality</w:t>
            </w:r>
          </w:p>
        </w:tc>
      </w:tr>
      <w:tr>
        <w:tc>
          <w:tcPr>
            <w:tcW w:type="dxa" w:w="2556"/>
            <w:vAlign w:val="center"/>
          </w:tcPr>
          <w:p>
            <w:r/>
            <w:r>
              <w:rPr>
                <w:b w:val="0"/>
                <w:sz w:val="17"/>
              </w:rPr>
              <w:t>WHO Global Health Observatory</w:t>
            </w:r>
          </w:p>
        </w:tc>
        <w:tc>
          <w:tcPr>
            <w:tcW w:type="dxa" w:w="2556"/>
            <w:vAlign w:val="center"/>
          </w:tcPr>
          <w:p>
            <w:r/>
            <w:r>
              <w:rPr>
                <w:b w:val="0"/>
                <w:sz w:val="17"/>
              </w:rPr>
              <w:t>International health indicators and benchmarking</w:t>
            </w:r>
          </w:p>
        </w:tc>
        <w:tc>
          <w:tcPr>
            <w:tcW w:type="dxa" w:w="2556"/>
            <w:vAlign w:val="center"/>
          </w:tcPr>
          <w:p>
            <w:r/>
            <w:r>
              <w:rPr>
                <w:b w:val="0"/>
                <w:sz w:val="17"/>
              </w:rPr>
              <w:t>Population/country level</w:t>
            </w:r>
          </w:p>
        </w:tc>
        <w:tc>
          <w:tcPr>
            <w:tcW w:type="dxa" w:w="2556"/>
            <w:vAlign w:val="center"/>
          </w:tcPr>
          <w:p>
            <w:r/>
            <w:r>
              <w:rPr>
                <w:b w:val="0"/>
                <w:sz w:val="17"/>
              </w:rPr>
              <w:t>Ensure indicators are comparable across regions/time</w:t>
            </w:r>
          </w:p>
        </w:tc>
      </w:tr>
      <w:tr>
        <w:tc>
          <w:tcPr>
            <w:tcW w:type="dxa" w:w="2556"/>
            <w:vAlign w:val="center"/>
          </w:tcPr>
          <w:p>
            <w:r/>
            <w:r>
              <w:rPr>
                <w:b w:val="0"/>
                <w:sz w:val="17"/>
              </w:rPr>
              <w:t>CMS Data</w:t>
            </w:r>
          </w:p>
        </w:tc>
        <w:tc>
          <w:tcPr>
            <w:tcW w:type="dxa" w:w="2556"/>
            <w:vAlign w:val="center"/>
          </w:tcPr>
          <w:p>
            <w:r/>
            <w:r>
              <w:rPr>
                <w:b w:val="0"/>
                <w:sz w:val="17"/>
              </w:rPr>
              <w:t>Healthcare utilization, claims and payment context</w:t>
            </w:r>
          </w:p>
        </w:tc>
        <w:tc>
          <w:tcPr>
            <w:tcW w:type="dxa" w:w="2556"/>
            <w:vAlign w:val="center"/>
          </w:tcPr>
          <w:p>
            <w:r/>
            <w:r>
              <w:rPr>
                <w:b w:val="0"/>
                <w:sz w:val="17"/>
              </w:rPr>
              <w:t>Healthcare/public-use</w:t>
            </w:r>
          </w:p>
        </w:tc>
        <w:tc>
          <w:tcPr>
            <w:tcW w:type="dxa" w:w="2556"/>
            <w:vAlign w:val="center"/>
          </w:tcPr>
          <w:p>
            <w:r/>
            <w:r>
              <w:rPr>
                <w:b w:val="0"/>
                <w:sz w:val="17"/>
              </w:rPr>
              <w:t>Follow CMS documentation and dataset limitations</w:t>
            </w:r>
          </w:p>
        </w:tc>
      </w:tr>
      <w:tr>
        <w:tc>
          <w:tcPr>
            <w:tcW w:type="dxa" w:w="2556"/>
            <w:vAlign w:val="center"/>
          </w:tcPr>
          <w:p>
            <w:r/>
            <w:r>
              <w:rPr>
                <w:b w:val="0"/>
                <w:sz w:val="17"/>
              </w:rPr>
              <w:t>MIMIC-IV / PhysioNet</w:t>
            </w:r>
          </w:p>
        </w:tc>
        <w:tc>
          <w:tcPr>
            <w:tcW w:type="dxa" w:w="2556"/>
            <w:vAlign w:val="center"/>
          </w:tcPr>
          <w:p>
            <w:r/>
            <w:r>
              <w:rPr>
                <w:b w:val="0"/>
                <w:sz w:val="17"/>
              </w:rPr>
              <w:t>Hospital/ICU clinical analytics and predictive research</w:t>
            </w:r>
          </w:p>
        </w:tc>
        <w:tc>
          <w:tcPr>
            <w:tcW w:type="dxa" w:w="2556"/>
            <w:vAlign w:val="center"/>
          </w:tcPr>
          <w:p>
            <w:r/>
            <w:r>
              <w:rPr>
                <w:b w:val="0"/>
                <w:sz w:val="17"/>
              </w:rPr>
              <w:t>De-identified clinical</w:t>
            </w:r>
          </w:p>
        </w:tc>
        <w:tc>
          <w:tcPr>
            <w:tcW w:type="dxa" w:w="2556"/>
            <w:vAlign w:val="center"/>
          </w:tcPr>
          <w:p>
            <w:r/>
            <w:r>
              <w:rPr>
                <w:b w:val="0"/>
                <w:sz w:val="17"/>
              </w:rPr>
              <w:t>Credentialed access, training and data-use requirements</w:t>
            </w:r>
          </w:p>
        </w:tc>
      </w:tr>
    </w:tbl>
    <w:p>
      <w:pPr>
        <w:pStyle w:val="Heading1"/>
      </w:pPr>
      <w:r>
        <w:t>7. Data Collection Strategy</w:t>
      </w:r>
    </w:p>
    <w:p>
      <w:pPr>
        <w:pStyle w:val="ListNumber"/>
        <w:spacing w:after="20"/>
      </w:pPr>
      <w:r>
        <w:t>Finalize the research question and target variable before collecting data.</w:t>
      </w:r>
    </w:p>
    <w:p>
      <w:pPr>
        <w:pStyle w:val="ListNumber"/>
        <w:spacing w:after="20"/>
      </w:pPr>
      <w:r>
        <w:t>Review dataset documentation, data dictionaries, licensing and access requirements.</w:t>
      </w:r>
    </w:p>
    <w:p>
      <w:pPr>
        <w:pStyle w:val="ListNumber"/>
        <w:spacing w:after="20"/>
      </w:pPr>
      <w:r>
        <w:t>Select variables directly related to the approved objective.</w:t>
      </w:r>
    </w:p>
    <w:p>
      <w:pPr>
        <w:pStyle w:val="ListNumber"/>
        <w:spacing w:after="20"/>
      </w:pPr>
      <w:r>
        <w:t>Create a data inventory containing table, field, type, definition, missingness and source.</w:t>
      </w:r>
    </w:p>
    <w:p>
      <w:pPr>
        <w:pStyle w:val="ListNumber"/>
        <w:spacing w:after="20"/>
      </w:pPr>
      <w:r>
        <w:t>Keep raw and processed data logically separated.</w:t>
      </w:r>
    </w:p>
    <w:p>
      <w:pPr>
        <w:pStyle w:val="ListNumber"/>
        <w:spacing w:after="20"/>
      </w:pPr>
      <w:r>
        <w:t>Use reproducible Python scripts for transformations and retain a record of processing steps.</w:t>
      </w:r>
    </w:p>
    <w:p>
      <w:pPr>
        <w:pStyle w:val="ListNumber"/>
        <w:spacing w:after="20"/>
      </w:pPr>
      <w:r>
        <w:t>Validate row counts, identifiers and key relationships after data integration.</w:t>
      </w:r>
    </w:p>
    <w:p>
      <w:pPr>
        <w:pStyle w:val="Heading1"/>
      </w:pPr>
      <w:r>
        <w:t>8. Data Preparation Plan</w:t>
      </w:r>
    </w:p>
    <w:p>
      <w:pPr>
        <w:pStyle w:val="ListBullet"/>
        <w:spacing w:after="20"/>
      </w:pPr>
      <w:r>
        <w:t>Convert dates and timestamps into consistent formats.</w:t>
      </w:r>
    </w:p>
    <w:p>
      <w:pPr>
        <w:pStyle w:val="ListBullet"/>
        <w:spacing w:after="20"/>
      </w:pPr>
      <w:r>
        <w:t>Check duplicates and unexpected identifier relationships.</w:t>
      </w:r>
    </w:p>
    <w:p>
      <w:pPr>
        <w:pStyle w:val="ListBullet"/>
        <w:spacing w:after="20"/>
      </w:pPr>
      <w:r>
        <w:t>Identify impossible values, inconsistent categories and extreme observations.</w:t>
      </w:r>
    </w:p>
    <w:p>
      <w:pPr>
        <w:pStyle w:val="ListBullet"/>
        <w:spacing w:after="20"/>
      </w:pPr>
      <w:r>
        <w:t>Quantify missing values before deciding whether to exclude, impute or retain them.</w:t>
      </w:r>
    </w:p>
    <w:p>
      <w:pPr>
        <w:pStyle w:val="ListBullet"/>
        <w:spacing w:after="20"/>
      </w:pPr>
      <w:r>
        <w:t>Engineer features such as prior utilization, length of stay and encounter counts where supported.</w:t>
      </w:r>
    </w:p>
    <w:p>
      <w:pPr>
        <w:pStyle w:val="ListBullet"/>
        <w:spacing w:after="20"/>
      </w:pPr>
      <w:r>
        <w:t>Define the 30-day readmission target precisely.</w:t>
      </w:r>
    </w:p>
    <w:p>
      <w:pPr>
        <w:pStyle w:val="ListBullet"/>
        <w:spacing w:after="20"/>
      </w:pPr>
      <w:r>
        <w:t>Prevent data leakage by using only information available at the intended prediction point.</w:t>
      </w:r>
    </w:p>
    <w:p>
      <w:pPr>
        <w:pStyle w:val="ListBullet"/>
        <w:spacing w:after="20"/>
      </w:pPr>
      <w:r>
        <w:t>Create a final analytical dataset and data dictionary.</w:t>
      </w:r>
    </w:p>
    <w:p>
      <w:pPr>
        <w:pStyle w:val="Heading1"/>
      </w:pPr>
      <w:r>
        <w:t>9. Exploratory Data Analysis Plan</w:t>
      </w:r>
    </w:p>
    <w:p>
      <w:pPr>
        <w:pStyle w:val="ListBullet"/>
        <w:spacing w:after="20"/>
      </w:pPr>
      <w:r>
        <w:t>Describe the study population using counts, proportions and summary statistics.</w:t>
      </w:r>
    </w:p>
    <w:p>
      <w:pPr>
        <w:pStyle w:val="ListBullet"/>
        <w:spacing w:after="20"/>
      </w:pPr>
      <w:r>
        <w:t>Measure the overall readmission rate.</w:t>
      </w:r>
    </w:p>
    <w:p>
      <w:pPr>
        <w:pStyle w:val="ListBullet"/>
        <w:spacing w:after="20"/>
      </w:pPr>
      <w:r>
        <w:t>Compare readmission rates across relevant patient, clinical and operational groups.</w:t>
      </w:r>
    </w:p>
    <w:p>
      <w:pPr>
        <w:pStyle w:val="ListBullet"/>
        <w:spacing w:after="20"/>
      </w:pPr>
      <w:r>
        <w:t>Analyze length of stay and previous utilization patterns.</w:t>
      </w:r>
    </w:p>
    <w:p>
      <w:pPr>
        <w:pStyle w:val="ListBullet"/>
        <w:spacing w:after="20"/>
      </w:pPr>
      <w:r>
        <w:t>Examine missingness and whether missingness differs by outcome.</w:t>
      </w:r>
    </w:p>
    <w:p>
      <w:pPr>
        <w:pStyle w:val="ListBullet"/>
        <w:spacing w:after="20"/>
      </w:pPr>
      <w:r>
        <w:t>Use histograms, boxplots, bar charts, trend charts and correlation summaries.</w:t>
      </w:r>
    </w:p>
    <w:p>
      <w:pPr>
        <w:pStyle w:val="ListBullet"/>
        <w:spacing w:after="20"/>
      </w:pPr>
      <w:r>
        <w:t>Review small subgroups separately because unstable sample sizes can distort conclusions.</w:t>
      </w:r>
    </w:p>
    <w:p>
      <w:pPr>
        <w:pStyle w:val="ListBullet"/>
        <w:spacing w:after="20"/>
      </w:pPr>
      <w:r>
        <w:t>Document associations without presenting them as causal relationships.</w:t>
      </w:r>
    </w:p>
    <w:p>
      <w:pPr>
        <w:pStyle w:val="Heading1"/>
      </w:pPr>
      <w:r>
        <w:t>10. Data Science Methodology</w:t>
      </w:r>
    </w:p>
    <w:p>
      <w:pPr>
        <w:pStyle w:val="Heading2"/>
      </w:pPr>
      <w:r>
        <w:t>10.1 Predictive Modeling</w:t>
      </w:r>
    </w:p>
    <w:p>
      <w:r>
        <w:t>The primary modeling task will be binary classification: predicting whether an eligible patient/encounter experiences a 30-day readmission. Logistic Regression will be used as an interpretable baseline. Random Forest or Gradient Boosting can then be evaluated as candidate nonlinear models.</w:t>
      </w:r>
    </w:p>
    <w:p>
      <w:r>
        <w:t>Accuracy alone will not be used as the primary criterion because readmission may be an imbalanced outcome. Evaluation will include precision, recall, F1-score, ROC-AUC, precision-recall behavior and calibration. The decision threshold should be linked to the operational cost of false positives and false negatives.</w:t>
      </w:r>
    </w:p>
    <w:p>
      <w:pPr>
        <w:pStyle w:val="Heading2"/>
      </w:pPr>
      <w:r>
        <w:t>10.2 Clustering / Segmentation</w:t>
      </w:r>
    </w:p>
    <w:p>
      <w:r>
        <w:t>Where the selected dataset supports it, clustering can group hospitals, service areas or patient/encounter profiles with similar utilization or outcome characteristics. K-Means can serve as a baseline after appropriate scaling. Clusters must be interpreted using domain context rather than only statistical scores.</w:t>
      </w:r>
    </w:p>
    <w:p>
      <w:pPr>
        <w:pStyle w:val="Heading2"/>
      </w:pPr>
      <w:r>
        <w:t>10.3 Statistical and Descriptive Analysis</w:t>
      </w:r>
    </w:p>
    <w:p>
      <w:r>
        <w:t>Descriptive statistics and appropriate comparisons will be used to understand the population and identify patterns. Statistical significance, where calculated, will be interpreted alongside effect size, uncertainty, data quality and practical importance.</w:t>
      </w:r>
    </w:p>
    <w:p>
      <w:pPr>
        <w:pStyle w:val="Heading1"/>
      </w:pPr>
      <w:r>
        <w:t>11. Ethical, Privacy and Responsible-AI Considerations</w:t>
      </w:r>
    </w:p>
    <w:p>
      <w:pPr>
        <w:pStyle w:val="ListBullet"/>
        <w:spacing w:after="20"/>
      </w:pPr>
      <w:r>
        <w:t>Use only public-use, de-identified or properly authorized research data.</w:t>
      </w:r>
    </w:p>
    <w:p>
      <w:pPr>
        <w:pStyle w:val="ListBullet"/>
        <w:spacing w:after="20"/>
      </w:pPr>
      <w:r>
        <w:t>Never attempt to re-identify individuals.</w:t>
      </w:r>
    </w:p>
    <w:p>
      <w:pPr>
        <w:pStyle w:val="ListBullet"/>
        <w:spacing w:after="20"/>
      </w:pPr>
      <w:r>
        <w:t>Apply data minimization and collect only variables needed for the project.</w:t>
      </w:r>
    </w:p>
    <w:p>
      <w:pPr>
        <w:pStyle w:val="ListBullet"/>
        <w:spacing w:after="20"/>
      </w:pPr>
      <w:r>
        <w:t>Document data-use agreements, permissions and retention requirements.</w:t>
      </w:r>
    </w:p>
    <w:p>
      <w:pPr>
        <w:pStyle w:val="ListBullet"/>
        <w:spacing w:after="20"/>
      </w:pPr>
      <w:r>
        <w:t>Assess representation and potential historical or measurement bias.</w:t>
      </w:r>
    </w:p>
    <w:p>
      <w:pPr>
        <w:pStyle w:val="ListBullet"/>
        <w:spacing w:after="20"/>
      </w:pPr>
      <w:r>
        <w:t>Evaluate model performance across relevant subgroups when appropriate.</w:t>
      </w:r>
    </w:p>
    <w:p>
      <w:pPr>
        <w:pStyle w:val="ListBullet"/>
        <w:spacing w:after="20"/>
      </w:pPr>
      <w:r>
        <w:t>Do not claim that statistical association proves causation.</w:t>
      </w:r>
    </w:p>
    <w:p>
      <w:pPr>
        <w:pStyle w:val="ListBullet"/>
        <w:spacing w:after="20"/>
      </w:pPr>
      <w:r>
        <w:t>Do not use the model to autonomously diagnose, treat or make clinical decisions.</w:t>
      </w:r>
    </w:p>
    <w:p>
      <w:pPr>
        <w:pStyle w:val="ListBullet"/>
        <w:spacing w:after="20"/>
      </w:pPr>
      <w:r>
        <w:t>Clearly communicate uncertainty, limitations and intended use.</w:t>
      </w:r>
    </w:p>
    <w:p>
      <w:pPr>
        <w:pStyle w:val="ListBullet"/>
        <w:spacing w:after="20"/>
      </w:pPr>
      <w:r>
        <w:t>If the work becomes human-subject research rather than an educational/public-data project, obtain the appropriate institutional/ethics review.</w:t>
      </w:r>
    </w:p>
    <w:p>
      <w:pPr>
        <w:pStyle w:val="Heading1"/>
      </w:pPr>
      <w:r>
        <w:t>12. Project Resources</w:t>
      </w:r>
    </w:p>
    <w:tbl>
      <w:tblPr>
        <w:tblW w:type="auto" w:w="0"/>
        <w:jc w:val="center"/>
        <w:tblLook w:firstColumn="1" w:firstRow="1" w:lastColumn="0" w:lastRow="0" w:noHBand="0" w:noVBand="1" w:val="04A0"/>
      </w:tblPr>
      <w:tblGrid>
        <w:gridCol w:w="2556"/>
        <w:gridCol w:w="2556"/>
        <w:gridCol w:w="2556"/>
        <w:gridCol w:w="2556"/>
      </w:tblGrid>
      <w:tr>
        <w:tc>
          <w:tcPr>
            <w:tcW w:type="dxa" w:w="2556"/>
            <w:vAlign w:val="center"/>
            <w:shd w:fill="D9EAF7"/>
          </w:tcPr>
          <w:p>
            <w:r/>
            <w:r>
              <w:rPr>
                <w:b/>
                <w:sz w:val="17"/>
              </w:rPr>
              <w:t>Resource</w:t>
            </w:r>
          </w:p>
        </w:tc>
        <w:tc>
          <w:tcPr>
            <w:tcW w:type="dxa" w:w="2556"/>
            <w:vAlign w:val="center"/>
            <w:shd w:fill="D9EAF7"/>
          </w:tcPr>
          <w:p>
            <w:r/>
            <w:r>
              <w:rPr>
                <w:b/>
                <w:sz w:val="17"/>
              </w:rPr>
              <w:t>Responsibility</w:t>
            </w:r>
          </w:p>
        </w:tc>
        <w:tc>
          <w:tcPr>
            <w:tcW w:type="dxa" w:w="2556"/>
            <w:vAlign w:val="center"/>
            <w:shd w:fill="D9EAF7"/>
          </w:tcPr>
          <w:p>
            <w:r/>
            <w:r>
              <w:rPr>
                <w:b/>
                <w:sz w:val="17"/>
              </w:rPr>
              <w:t>Estimated Effort</w:t>
            </w:r>
          </w:p>
        </w:tc>
        <w:tc>
          <w:tcPr>
            <w:tcW w:type="dxa" w:w="2556"/>
            <w:vAlign w:val="center"/>
            <w:shd w:fill="D9EAF7"/>
          </w:tcPr>
          <w:p>
            <w:r/>
            <w:r>
              <w:rPr>
                <w:b/>
                <w:sz w:val="17"/>
              </w:rPr>
              <w:t>Output</w:t>
            </w:r>
          </w:p>
        </w:tc>
      </w:tr>
      <w:tr>
        <w:tc>
          <w:tcPr>
            <w:tcW w:type="dxa" w:w="2556"/>
            <w:vAlign w:val="center"/>
          </w:tcPr>
          <w:p>
            <w:r/>
            <w:r>
              <w:rPr>
                <w:b w:val="0"/>
                <w:sz w:val="17"/>
              </w:rPr>
              <w:t>Data Analyst / Data Scientist</w:t>
            </w:r>
          </w:p>
        </w:tc>
        <w:tc>
          <w:tcPr>
            <w:tcW w:type="dxa" w:w="2556"/>
            <w:vAlign w:val="center"/>
          </w:tcPr>
          <w:p>
            <w:r/>
            <w:r>
              <w:rPr>
                <w:b w:val="0"/>
                <w:sz w:val="17"/>
              </w:rPr>
              <w:t>Data preparation, EDA, modeling, evaluation</w:t>
            </w:r>
          </w:p>
        </w:tc>
        <w:tc>
          <w:tcPr>
            <w:tcW w:type="dxa" w:w="2556"/>
            <w:vAlign w:val="center"/>
          </w:tcPr>
          <w:p>
            <w:r/>
            <w:r>
              <w:rPr>
                <w:b w:val="0"/>
                <w:sz w:val="17"/>
              </w:rPr>
              <w:t>18–22 hours</w:t>
            </w:r>
          </w:p>
        </w:tc>
        <w:tc>
          <w:tcPr>
            <w:tcW w:type="dxa" w:w="2556"/>
            <w:vAlign w:val="center"/>
          </w:tcPr>
          <w:p>
            <w:r/>
            <w:r>
              <w:rPr>
                <w:b w:val="0"/>
                <w:sz w:val="17"/>
              </w:rPr>
              <w:t>Notebook, analysis and models</w:t>
            </w:r>
          </w:p>
        </w:tc>
      </w:tr>
      <w:tr>
        <w:tc>
          <w:tcPr>
            <w:tcW w:type="dxa" w:w="2556"/>
            <w:vAlign w:val="center"/>
          </w:tcPr>
          <w:p>
            <w:r/>
            <w:r>
              <w:rPr>
                <w:b w:val="0"/>
                <w:sz w:val="17"/>
              </w:rPr>
              <w:t>Healthcare/Domain Reviewer</w:t>
            </w:r>
          </w:p>
        </w:tc>
        <w:tc>
          <w:tcPr>
            <w:tcW w:type="dxa" w:w="2556"/>
            <w:vAlign w:val="center"/>
          </w:tcPr>
          <w:p>
            <w:r/>
            <w:r>
              <w:rPr>
                <w:b w:val="0"/>
                <w:sz w:val="17"/>
              </w:rPr>
              <w:t>Validate definitions and interpretation</w:t>
            </w:r>
          </w:p>
        </w:tc>
        <w:tc>
          <w:tcPr>
            <w:tcW w:type="dxa" w:w="2556"/>
            <w:vAlign w:val="center"/>
          </w:tcPr>
          <w:p>
            <w:r/>
            <w:r>
              <w:rPr>
                <w:b w:val="0"/>
                <w:sz w:val="17"/>
              </w:rPr>
              <w:t>3–4 hours</w:t>
            </w:r>
          </w:p>
        </w:tc>
        <w:tc>
          <w:tcPr>
            <w:tcW w:type="dxa" w:w="2556"/>
            <w:vAlign w:val="center"/>
          </w:tcPr>
          <w:p>
            <w:r/>
            <w:r>
              <w:rPr>
                <w:b w:val="0"/>
                <w:sz w:val="17"/>
              </w:rPr>
              <w:t>Metric and interpretation review</w:t>
            </w:r>
          </w:p>
        </w:tc>
      </w:tr>
      <w:tr>
        <w:tc>
          <w:tcPr>
            <w:tcW w:type="dxa" w:w="2556"/>
            <w:vAlign w:val="center"/>
          </w:tcPr>
          <w:p>
            <w:r/>
            <w:r>
              <w:rPr>
                <w:b w:val="0"/>
                <w:sz w:val="17"/>
              </w:rPr>
              <w:t>Project Lead</w:t>
            </w:r>
          </w:p>
        </w:tc>
        <w:tc>
          <w:tcPr>
            <w:tcW w:type="dxa" w:w="2556"/>
            <w:vAlign w:val="center"/>
          </w:tcPr>
          <w:p>
            <w:r/>
            <w:r>
              <w:rPr>
                <w:b w:val="0"/>
                <w:sz w:val="17"/>
              </w:rPr>
              <w:t>Scope, timeline, risks and documentation</w:t>
            </w:r>
          </w:p>
        </w:tc>
        <w:tc>
          <w:tcPr>
            <w:tcW w:type="dxa" w:w="2556"/>
            <w:vAlign w:val="center"/>
          </w:tcPr>
          <w:p>
            <w:r/>
            <w:r>
              <w:rPr>
                <w:b w:val="0"/>
                <w:sz w:val="17"/>
              </w:rPr>
              <w:t>4–5 hours</w:t>
            </w:r>
          </w:p>
        </w:tc>
        <w:tc>
          <w:tcPr>
            <w:tcW w:type="dxa" w:w="2556"/>
            <w:vAlign w:val="center"/>
          </w:tcPr>
          <w:p>
            <w:r/>
            <w:r>
              <w:rPr>
                <w:b w:val="0"/>
                <w:sz w:val="17"/>
              </w:rPr>
              <w:t>Project plan and final report</w:t>
            </w:r>
          </w:p>
        </w:tc>
      </w:tr>
      <w:tr>
        <w:tc>
          <w:tcPr>
            <w:tcW w:type="dxa" w:w="2556"/>
            <w:vAlign w:val="center"/>
          </w:tcPr>
          <w:p>
            <w:r/>
            <w:r>
              <w:rPr>
                <w:b w:val="0"/>
                <w:sz w:val="17"/>
              </w:rPr>
              <w:t>Computing Environment</w:t>
            </w:r>
          </w:p>
        </w:tc>
        <w:tc>
          <w:tcPr>
            <w:tcW w:type="dxa" w:w="2556"/>
            <w:vAlign w:val="center"/>
          </w:tcPr>
          <w:p>
            <w:r/>
            <w:r>
              <w:rPr>
                <w:b w:val="0"/>
                <w:sz w:val="17"/>
              </w:rPr>
              <w:t>Python/Jupyter and approved datasets</w:t>
            </w:r>
          </w:p>
        </w:tc>
        <w:tc>
          <w:tcPr>
            <w:tcW w:type="dxa" w:w="2556"/>
            <w:vAlign w:val="center"/>
          </w:tcPr>
          <w:p>
            <w:r/>
            <w:r>
              <w:rPr>
                <w:b w:val="0"/>
                <w:sz w:val="17"/>
              </w:rPr>
              <w:t>As required</w:t>
            </w:r>
          </w:p>
        </w:tc>
        <w:tc>
          <w:tcPr>
            <w:tcW w:type="dxa" w:w="2556"/>
            <w:vAlign w:val="center"/>
          </w:tcPr>
          <w:p>
            <w:r/>
            <w:r>
              <w:rPr>
                <w:b w:val="0"/>
                <w:sz w:val="17"/>
              </w:rPr>
              <w:t>Reproducible environment</w:t>
            </w:r>
          </w:p>
        </w:tc>
      </w:tr>
    </w:tbl>
    <w:p>
      <w:pPr>
        <w:pStyle w:val="Heading1"/>
      </w:pPr>
      <w:r>
        <w:t>13. 30–35 Hour Timeline</w:t>
      </w:r>
    </w:p>
    <w:tbl>
      <w:tblPr>
        <w:tblW w:type="auto" w:w="0"/>
        <w:jc w:val="center"/>
        <w:tblLook w:firstColumn="1" w:firstRow="1" w:lastColumn="0" w:lastRow="0" w:noHBand="0" w:noVBand="1" w:val="04A0"/>
      </w:tblPr>
      <w:tblGrid>
        <w:gridCol w:w="2556"/>
        <w:gridCol w:w="2556"/>
        <w:gridCol w:w="2556"/>
        <w:gridCol w:w="2556"/>
      </w:tblGrid>
      <w:tr>
        <w:tc>
          <w:tcPr>
            <w:tcW w:type="dxa" w:w="2556"/>
            <w:vAlign w:val="center"/>
            <w:shd w:fill="D9EAF7"/>
          </w:tcPr>
          <w:p>
            <w:r/>
            <w:r>
              <w:rPr>
                <w:b/>
                <w:sz w:val="17"/>
              </w:rPr>
              <w:t>Phase</w:t>
            </w:r>
          </w:p>
        </w:tc>
        <w:tc>
          <w:tcPr>
            <w:tcW w:type="dxa" w:w="2556"/>
            <w:vAlign w:val="center"/>
            <w:shd w:fill="D9EAF7"/>
          </w:tcPr>
          <w:p>
            <w:r/>
            <w:r>
              <w:rPr>
                <w:b/>
                <w:sz w:val="17"/>
              </w:rPr>
              <w:t>Hours</w:t>
            </w:r>
          </w:p>
        </w:tc>
        <w:tc>
          <w:tcPr>
            <w:tcW w:type="dxa" w:w="2556"/>
            <w:vAlign w:val="center"/>
            <w:shd w:fill="D9EAF7"/>
          </w:tcPr>
          <w:p>
            <w:r/>
            <w:r>
              <w:rPr>
                <w:b/>
                <w:sz w:val="17"/>
              </w:rPr>
              <w:t>Activities</w:t>
            </w:r>
          </w:p>
        </w:tc>
        <w:tc>
          <w:tcPr>
            <w:tcW w:type="dxa" w:w="2556"/>
            <w:vAlign w:val="center"/>
            <w:shd w:fill="D9EAF7"/>
          </w:tcPr>
          <w:p>
            <w:r/>
            <w:r>
              <w:rPr>
                <w:b/>
                <w:sz w:val="17"/>
              </w:rPr>
              <w:t>Deliverable</w:t>
            </w:r>
          </w:p>
        </w:tc>
      </w:tr>
      <w:tr>
        <w:tc>
          <w:tcPr>
            <w:tcW w:type="dxa" w:w="2556"/>
            <w:vAlign w:val="center"/>
          </w:tcPr>
          <w:p>
            <w:r/>
            <w:r>
              <w:rPr>
                <w:b w:val="0"/>
                <w:sz w:val="17"/>
              </w:rPr>
              <w:t>1. Problem Definition &amp; Research</w:t>
            </w:r>
          </w:p>
        </w:tc>
        <w:tc>
          <w:tcPr>
            <w:tcW w:type="dxa" w:w="2556"/>
            <w:vAlign w:val="center"/>
          </w:tcPr>
          <w:p>
            <w:r/>
            <w:r>
              <w:rPr>
                <w:b w:val="0"/>
                <w:sz w:val="17"/>
              </w:rPr>
              <w:t>3–4</w:t>
            </w:r>
          </w:p>
        </w:tc>
        <w:tc>
          <w:tcPr>
            <w:tcW w:type="dxa" w:w="2556"/>
            <w:vAlign w:val="center"/>
          </w:tcPr>
          <w:p>
            <w:r/>
            <w:r>
              <w:rPr>
                <w:b w:val="0"/>
                <w:sz w:val="17"/>
              </w:rPr>
              <w:t>Scenario, objectives, KPIs, literature/data review</w:t>
            </w:r>
          </w:p>
        </w:tc>
        <w:tc>
          <w:tcPr>
            <w:tcW w:type="dxa" w:w="2556"/>
            <w:vAlign w:val="center"/>
          </w:tcPr>
          <w:p>
            <w:r/>
            <w:r>
              <w:rPr>
                <w:b w:val="0"/>
                <w:sz w:val="17"/>
              </w:rPr>
              <w:t>Project charter</w:t>
            </w:r>
          </w:p>
        </w:tc>
      </w:tr>
      <w:tr>
        <w:tc>
          <w:tcPr>
            <w:tcW w:type="dxa" w:w="2556"/>
            <w:vAlign w:val="center"/>
          </w:tcPr>
          <w:p>
            <w:r/>
            <w:r>
              <w:rPr>
                <w:b w:val="0"/>
                <w:sz w:val="17"/>
              </w:rPr>
              <w:t>2. Data Source Selection</w:t>
            </w:r>
          </w:p>
        </w:tc>
        <w:tc>
          <w:tcPr>
            <w:tcW w:type="dxa" w:w="2556"/>
            <w:vAlign w:val="center"/>
          </w:tcPr>
          <w:p>
            <w:r/>
            <w:r>
              <w:rPr>
                <w:b w:val="0"/>
                <w:sz w:val="17"/>
              </w:rPr>
              <w:t>3–4</w:t>
            </w:r>
          </w:p>
        </w:tc>
        <w:tc>
          <w:tcPr>
            <w:tcW w:type="dxa" w:w="2556"/>
            <w:vAlign w:val="center"/>
          </w:tcPr>
          <w:p>
            <w:r/>
            <w:r>
              <w:rPr>
                <w:b w:val="0"/>
                <w:sz w:val="17"/>
              </w:rPr>
              <w:t>Compare sources, documentation and access</w:t>
            </w:r>
          </w:p>
        </w:tc>
        <w:tc>
          <w:tcPr>
            <w:tcW w:type="dxa" w:w="2556"/>
            <w:vAlign w:val="center"/>
          </w:tcPr>
          <w:p>
            <w:r/>
            <w:r>
              <w:rPr>
                <w:b w:val="0"/>
                <w:sz w:val="17"/>
              </w:rPr>
              <w:t>Data-source assessment</w:t>
            </w:r>
          </w:p>
        </w:tc>
      </w:tr>
      <w:tr>
        <w:tc>
          <w:tcPr>
            <w:tcW w:type="dxa" w:w="2556"/>
            <w:vAlign w:val="center"/>
          </w:tcPr>
          <w:p>
            <w:r/>
            <w:r>
              <w:rPr>
                <w:b w:val="0"/>
                <w:sz w:val="17"/>
              </w:rPr>
              <w:t>3. Data Preparation</w:t>
            </w:r>
          </w:p>
        </w:tc>
        <w:tc>
          <w:tcPr>
            <w:tcW w:type="dxa" w:w="2556"/>
            <w:vAlign w:val="center"/>
          </w:tcPr>
          <w:p>
            <w:r/>
            <w:r>
              <w:rPr>
                <w:b w:val="0"/>
                <w:sz w:val="17"/>
              </w:rPr>
              <w:t>6–7</w:t>
            </w:r>
          </w:p>
        </w:tc>
        <w:tc>
          <w:tcPr>
            <w:tcW w:type="dxa" w:w="2556"/>
            <w:vAlign w:val="center"/>
          </w:tcPr>
          <w:p>
            <w:r/>
            <w:r>
              <w:rPr>
                <w:b w:val="0"/>
                <w:sz w:val="17"/>
              </w:rPr>
              <w:t>Acquire, profile, clean and integrate</w:t>
            </w:r>
          </w:p>
        </w:tc>
        <w:tc>
          <w:tcPr>
            <w:tcW w:type="dxa" w:w="2556"/>
            <w:vAlign w:val="center"/>
          </w:tcPr>
          <w:p>
            <w:r/>
            <w:r>
              <w:rPr>
                <w:b w:val="0"/>
                <w:sz w:val="17"/>
              </w:rPr>
              <w:t>Analytical dataset + dictionary</w:t>
            </w:r>
          </w:p>
        </w:tc>
      </w:tr>
      <w:tr>
        <w:tc>
          <w:tcPr>
            <w:tcW w:type="dxa" w:w="2556"/>
            <w:vAlign w:val="center"/>
          </w:tcPr>
          <w:p>
            <w:r/>
            <w:r>
              <w:rPr>
                <w:b w:val="0"/>
                <w:sz w:val="17"/>
              </w:rPr>
              <w:t>4. EDA &amp; KPI Analysis</w:t>
            </w:r>
          </w:p>
        </w:tc>
        <w:tc>
          <w:tcPr>
            <w:tcW w:type="dxa" w:w="2556"/>
            <w:vAlign w:val="center"/>
          </w:tcPr>
          <w:p>
            <w:r/>
            <w:r>
              <w:rPr>
                <w:b w:val="0"/>
                <w:sz w:val="17"/>
              </w:rPr>
              <w:t>5–6</w:t>
            </w:r>
          </w:p>
        </w:tc>
        <w:tc>
          <w:tcPr>
            <w:tcW w:type="dxa" w:w="2556"/>
            <w:vAlign w:val="center"/>
          </w:tcPr>
          <w:p>
            <w:r/>
            <w:r>
              <w:rPr>
                <w:b w:val="0"/>
                <w:sz w:val="17"/>
              </w:rPr>
              <w:t>Metrics, distributions, subgroup analysis</w:t>
            </w:r>
          </w:p>
        </w:tc>
        <w:tc>
          <w:tcPr>
            <w:tcW w:type="dxa" w:w="2556"/>
            <w:vAlign w:val="center"/>
          </w:tcPr>
          <w:p>
            <w:r/>
            <w:r>
              <w:rPr>
                <w:b w:val="0"/>
                <w:sz w:val="17"/>
              </w:rPr>
              <w:t>EDA notebook + KPI findings</w:t>
            </w:r>
          </w:p>
        </w:tc>
      </w:tr>
      <w:tr>
        <w:tc>
          <w:tcPr>
            <w:tcW w:type="dxa" w:w="2556"/>
            <w:vAlign w:val="center"/>
          </w:tcPr>
          <w:p>
            <w:r/>
            <w:r>
              <w:rPr>
                <w:b w:val="0"/>
                <w:sz w:val="17"/>
              </w:rPr>
              <w:t>5. Predictive Modeling</w:t>
            </w:r>
          </w:p>
        </w:tc>
        <w:tc>
          <w:tcPr>
            <w:tcW w:type="dxa" w:w="2556"/>
            <w:vAlign w:val="center"/>
          </w:tcPr>
          <w:p>
            <w:r/>
            <w:r>
              <w:rPr>
                <w:b w:val="0"/>
                <w:sz w:val="17"/>
              </w:rPr>
              <w:t>6–7</w:t>
            </w:r>
          </w:p>
        </w:tc>
        <w:tc>
          <w:tcPr>
            <w:tcW w:type="dxa" w:w="2556"/>
            <w:vAlign w:val="center"/>
          </w:tcPr>
          <w:p>
            <w:r/>
            <w:r>
              <w:rPr>
                <w:b w:val="0"/>
                <w:sz w:val="17"/>
              </w:rPr>
              <w:t>Feature engineering, baseline and candidate models</w:t>
            </w:r>
          </w:p>
        </w:tc>
        <w:tc>
          <w:tcPr>
            <w:tcW w:type="dxa" w:w="2556"/>
            <w:vAlign w:val="center"/>
          </w:tcPr>
          <w:p>
            <w:r/>
            <w:r>
              <w:rPr>
                <w:b w:val="0"/>
                <w:sz w:val="17"/>
              </w:rPr>
              <w:t>Model evaluation</w:t>
            </w:r>
          </w:p>
        </w:tc>
      </w:tr>
      <w:tr>
        <w:tc>
          <w:tcPr>
            <w:tcW w:type="dxa" w:w="2556"/>
            <w:vAlign w:val="center"/>
          </w:tcPr>
          <w:p>
            <w:r/>
            <w:r>
              <w:rPr>
                <w:b w:val="0"/>
                <w:sz w:val="17"/>
              </w:rPr>
              <w:t>6. Ethics/Risk Review</w:t>
            </w:r>
          </w:p>
        </w:tc>
        <w:tc>
          <w:tcPr>
            <w:tcW w:type="dxa" w:w="2556"/>
            <w:vAlign w:val="center"/>
          </w:tcPr>
          <w:p>
            <w:r/>
            <w:r>
              <w:rPr>
                <w:b w:val="0"/>
                <w:sz w:val="17"/>
              </w:rPr>
              <w:t>2–3</w:t>
            </w:r>
          </w:p>
        </w:tc>
        <w:tc>
          <w:tcPr>
            <w:tcW w:type="dxa" w:w="2556"/>
            <w:vAlign w:val="center"/>
          </w:tcPr>
          <w:p>
            <w:r/>
            <w:r>
              <w:rPr>
                <w:b w:val="0"/>
                <w:sz w:val="17"/>
              </w:rPr>
              <w:t>Privacy, leakage, fairness and limitations</w:t>
            </w:r>
          </w:p>
        </w:tc>
        <w:tc>
          <w:tcPr>
            <w:tcW w:type="dxa" w:w="2556"/>
            <w:vAlign w:val="center"/>
          </w:tcPr>
          <w:p>
            <w:r/>
            <w:r>
              <w:rPr>
                <w:b w:val="0"/>
                <w:sz w:val="17"/>
              </w:rPr>
              <w:t>Risk assessment</w:t>
            </w:r>
          </w:p>
        </w:tc>
      </w:tr>
      <w:tr>
        <w:tc>
          <w:tcPr>
            <w:tcW w:type="dxa" w:w="2556"/>
            <w:vAlign w:val="center"/>
          </w:tcPr>
          <w:p>
            <w:r/>
            <w:r>
              <w:rPr>
                <w:b w:val="0"/>
                <w:sz w:val="17"/>
              </w:rPr>
              <w:t>7. Final Documentation</w:t>
            </w:r>
          </w:p>
        </w:tc>
        <w:tc>
          <w:tcPr>
            <w:tcW w:type="dxa" w:w="2556"/>
            <w:vAlign w:val="center"/>
          </w:tcPr>
          <w:p>
            <w:r/>
            <w:r>
              <w:rPr>
                <w:b w:val="0"/>
                <w:sz w:val="17"/>
              </w:rPr>
              <w:t>4–5</w:t>
            </w:r>
          </w:p>
        </w:tc>
        <w:tc>
          <w:tcPr>
            <w:tcW w:type="dxa" w:w="2556"/>
            <w:vAlign w:val="center"/>
          </w:tcPr>
          <w:p>
            <w:r/>
            <w:r>
              <w:rPr>
                <w:b w:val="0"/>
                <w:sz w:val="17"/>
              </w:rPr>
              <w:t>Recommendations, references, QA and report</w:t>
            </w:r>
          </w:p>
        </w:tc>
        <w:tc>
          <w:tcPr>
            <w:tcW w:type="dxa" w:w="2556"/>
            <w:vAlign w:val="center"/>
          </w:tcPr>
          <w:p>
            <w:r/>
            <w:r>
              <w:rPr>
                <w:b w:val="0"/>
                <w:sz w:val="17"/>
              </w:rPr>
              <w:t>Final DOC + code materials</w:t>
            </w:r>
          </w:p>
        </w:tc>
      </w:tr>
    </w:tbl>
    <w:p>
      <w:r>
        <w:t>Target effort: approximately 30–35 hours. The exact duration depends on dataset access and cleaning complexity.</w:t>
      </w:r>
    </w:p>
    <w:p>
      <w:pPr>
        <w:pStyle w:val="Heading1"/>
      </w:pPr>
      <w:r>
        <w:t>14. Key Milestones</w:t>
      </w:r>
    </w:p>
    <w:p>
      <w:pPr>
        <w:pStyle w:val="ListNumber"/>
        <w:spacing w:after="20"/>
      </w:pPr>
      <w:r>
        <w:t>Milestone 1 – Problem statement, target and KPIs approved.</w:t>
      </w:r>
    </w:p>
    <w:p>
      <w:pPr>
        <w:pStyle w:val="ListNumber"/>
        <w:spacing w:after="20"/>
      </w:pPr>
      <w:r>
        <w:t>Milestone 2 – Data source selected and documented.</w:t>
      </w:r>
    </w:p>
    <w:p>
      <w:pPr>
        <w:pStyle w:val="ListNumber"/>
        <w:spacing w:after="20"/>
      </w:pPr>
      <w:r>
        <w:t>Milestone 3 – Data-quality assessment and analytical dataset completed.</w:t>
      </w:r>
    </w:p>
    <w:p>
      <w:pPr>
        <w:pStyle w:val="ListNumber"/>
        <w:spacing w:after="20"/>
      </w:pPr>
      <w:r>
        <w:t>Milestone 4 – KPI and exploratory analysis completed.</w:t>
      </w:r>
    </w:p>
    <w:p>
      <w:pPr>
        <w:pStyle w:val="ListNumber"/>
        <w:spacing w:after="20"/>
      </w:pPr>
      <w:r>
        <w:t>Milestone 5 – Baseline and candidate models evaluated.</w:t>
      </w:r>
    </w:p>
    <w:p>
      <w:pPr>
        <w:pStyle w:val="ListNumber"/>
        <w:spacing w:after="20"/>
      </w:pPr>
      <w:r>
        <w:t>Milestone 6 – Ethical, privacy, fairness and leakage checks completed.</w:t>
      </w:r>
    </w:p>
    <w:p>
      <w:pPr>
        <w:pStyle w:val="ListNumber"/>
        <w:spacing w:after="20"/>
      </w:pPr>
      <w:r>
        <w:t>Milestone 7 – Final project plan and supporting analytical materials completed.</w:t>
      </w:r>
    </w:p>
    <w:p>
      <w:pPr>
        <w:pStyle w:val="Heading1"/>
      </w:pPr>
      <w:r>
        <w:t>15. Risk Assessment</w:t>
      </w:r>
    </w:p>
    <w:tbl>
      <w:tblPr>
        <w:tblW w:type="auto" w:w="0"/>
        <w:jc w:val="center"/>
        <w:tblLook w:firstColumn="1" w:firstRow="1" w:lastColumn="0" w:lastRow="0" w:noHBand="0" w:noVBand="1" w:val="04A0"/>
      </w:tblPr>
      <w:tblGrid>
        <w:gridCol w:w="2045"/>
        <w:gridCol w:w="2045"/>
        <w:gridCol w:w="2045"/>
        <w:gridCol w:w="2045"/>
        <w:gridCol w:w="2045"/>
      </w:tblGrid>
      <w:tr>
        <w:tc>
          <w:tcPr>
            <w:tcW w:type="dxa" w:w="2045"/>
            <w:vAlign w:val="center"/>
            <w:shd w:fill="D9EAF7"/>
          </w:tcPr>
          <w:p>
            <w:r/>
            <w:r>
              <w:rPr>
                <w:b/>
                <w:sz w:val="17"/>
              </w:rPr>
              <w:t>Risk</w:t>
            </w:r>
          </w:p>
        </w:tc>
        <w:tc>
          <w:tcPr>
            <w:tcW w:type="dxa" w:w="2045"/>
            <w:vAlign w:val="center"/>
            <w:shd w:fill="D9EAF7"/>
          </w:tcPr>
          <w:p>
            <w:r/>
            <w:r>
              <w:rPr>
                <w:b/>
                <w:sz w:val="17"/>
              </w:rPr>
              <w:t>Probability</w:t>
            </w:r>
          </w:p>
        </w:tc>
        <w:tc>
          <w:tcPr>
            <w:tcW w:type="dxa" w:w="2045"/>
            <w:vAlign w:val="center"/>
            <w:shd w:fill="D9EAF7"/>
          </w:tcPr>
          <w:p>
            <w:r/>
            <w:r>
              <w:rPr>
                <w:b/>
                <w:sz w:val="17"/>
              </w:rPr>
              <w:t>Impact</w:t>
            </w:r>
          </w:p>
        </w:tc>
        <w:tc>
          <w:tcPr>
            <w:tcW w:type="dxa" w:w="2045"/>
            <w:vAlign w:val="center"/>
            <w:shd w:fill="D9EAF7"/>
          </w:tcPr>
          <w:p>
            <w:r/>
            <w:r>
              <w:rPr>
                <w:b/>
                <w:sz w:val="17"/>
              </w:rPr>
              <w:t>Mitigation</w:t>
            </w:r>
          </w:p>
        </w:tc>
        <w:tc>
          <w:tcPr>
            <w:tcW w:type="dxa" w:w="2045"/>
            <w:vAlign w:val="center"/>
            <w:shd w:fill="D9EAF7"/>
          </w:tcPr>
          <w:p>
            <w:r/>
            <w:r>
              <w:rPr>
                <w:b/>
                <w:sz w:val="17"/>
              </w:rPr>
              <w:t>Contingency</w:t>
            </w:r>
          </w:p>
        </w:tc>
      </w:tr>
      <w:tr>
        <w:tc>
          <w:tcPr>
            <w:tcW w:type="dxa" w:w="2045"/>
            <w:vAlign w:val="center"/>
          </w:tcPr>
          <w:p>
            <w:r/>
            <w:r>
              <w:rPr>
                <w:b w:val="0"/>
                <w:sz w:val="17"/>
              </w:rPr>
              <w:t>Restricted data access</w:t>
            </w:r>
          </w:p>
        </w:tc>
        <w:tc>
          <w:tcPr>
            <w:tcW w:type="dxa" w:w="2045"/>
            <w:vAlign w:val="center"/>
          </w:tcPr>
          <w:p>
            <w:r/>
            <w:r>
              <w:rPr>
                <w:b w:val="0"/>
                <w:sz w:val="17"/>
              </w:rPr>
              <w:t>Medium</w:t>
            </w:r>
          </w:p>
        </w:tc>
        <w:tc>
          <w:tcPr>
            <w:tcW w:type="dxa" w:w="2045"/>
            <w:vAlign w:val="center"/>
          </w:tcPr>
          <w:p>
            <w:r/>
            <w:r>
              <w:rPr>
                <w:b w:val="0"/>
                <w:sz w:val="17"/>
              </w:rPr>
              <w:t>High</w:t>
            </w:r>
          </w:p>
        </w:tc>
        <w:tc>
          <w:tcPr>
            <w:tcW w:type="dxa" w:w="2045"/>
            <w:vAlign w:val="center"/>
          </w:tcPr>
          <w:p>
            <w:r/>
            <w:r>
              <w:rPr>
                <w:b w:val="0"/>
                <w:sz w:val="17"/>
              </w:rPr>
              <w:t>Confirm access early and prioritize public datasets.</w:t>
            </w:r>
          </w:p>
        </w:tc>
        <w:tc>
          <w:tcPr>
            <w:tcW w:type="dxa" w:w="2045"/>
            <w:vAlign w:val="center"/>
          </w:tcPr>
          <w:p>
            <w:r/>
            <w:r>
              <w:rPr>
                <w:b w:val="0"/>
                <w:sz w:val="17"/>
              </w:rPr>
              <w:t>Switch to CDC/WHO/CMS public data.</w:t>
            </w:r>
          </w:p>
        </w:tc>
      </w:tr>
      <w:tr>
        <w:tc>
          <w:tcPr>
            <w:tcW w:type="dxa" w:w="2045"/>
            <w:vAlign w:val="center"/>
          </w:tcPr>
          <w:p>
            <w:r/>
            <w:r>
              <w:rPr>
                <w:b w:val="0"/>
                <w:sz w:val="17"/>
              </w:rPr>
              <w:t>Missing/inconsistent data</w:t>
            </w:r>
          </w:p>
        </w:tc>
        <w:tc>
          <w:tcPr>
            <w:tcW w:type="dxa" w:w="2045"/>
            <w:vAlign w:val="center"/>
          </w:tcPr>
          <w:p>
            <w:r/>
            <w:r>
              <w:rPr>
                <w:b w:val="0"/>
                <w:sz w:val="17"/>
              </w:rPr>
              <w:t>High</w:t>
            </w:r>
          </w:p>
        </w:tc>
        <w:tc>
          <w:tcPr>
            <w:tcW w:type="dxa" w:w="2045"/>
            <w:vAlign w:val="center"/>
          </w:tcPr>
          <w:p>
            <w:r/>
            <w:r>
              <w:rPr>
                <w:b w:val="0"/>
                <w:sz w:val="17"/>
              </w:rPr>
              <w:t>High</w:t>
            </w:r>
          </w:p>
        </w:tc>
        <w:tc>
          <w:tcPr>
            <w:tcW w:type="dxa" w:w="2045"/>
            <w:vAlign w:val="center"/>
          </w:tcPr>
          <w:p>
            <w:r/>
            <w:r>
              <w:rPr>
                <w:b w:val="0"/>
                <w:sz w:val="17"/>
              </w:rPr>
              <w:t>Profile missingness and validate definitions.</w:t>
            </w:r>
          </w:p>
        </w:tc>
        <w:tc>
          <w:tcPr>
            <w:tcW w:type="dxa" w:w="2045"/>
            <w:vAlign w:val="center"/>
          </w:tcPr>
          <w:p>
            <w:r/>
            <w:r>
              <w:rPr>
                <w:b w:val="0"/>
                <w:sz w:val="17"/>
              </w:rPr>
              <w:t>Narrow scope or apply documented treatment.</w:t>
            </w:r>
          </w:p>
        </w:tc>
      </w:tr>
      <w:tr>
        <w:tc>
          <w:tcPr>
            <w:tcW w:type="dxa" w:w="2045"/>
            <w:vAlign w:val="center"/>
          </w:tcPr>
          <w:p>
            <w:r/>
            <w:r>
              <w:rPr>
                <w:b w:val="0"/>
                <w:sz w:val="17"/>
              </w:rPr>
              <w:t>Class imbalance</w:t>
            </w:r>
          </w:p>
        </w:tc>
        <w:tc>
          <w:tcPr>
            <w:tcW w:type="dxa" w:w="2045"/>
            <w:vAlign w:val="center"/>
          </w:tcPr>
          <w:p>
            <w:r/>
            <w:r>
              <w:rPr>
                <w:b w:val="0"/>
                <w:sz w:val="17"/>
              </w:rPr>
              <w:t>Medium</w:t>
            </w:r>
          </w:p>
        </w:tc>
        <w:tc>
          <w:tcPr>
            <w:tcW w:type="dxa" w:w="2045"/>
            <w:vAlign w:val="center"/>
          </w:tcPr>
          <w:p>
            <w:r/>
            <w:r>
              <w:rPr>
                <w:b w:val="0"/>
                <w:sz w:val="17"/>
              </w:rPr>
              <w:t>Medium</w:t>
            </w:r>
          </w:p>
        </w:tc>
        <w:tc>
          <w:tcPr>
            <w:tcW w:type="dxa" w:w="2045"/>
            <w:vAlign w:val="center"/>
          </w:tcPr>
          <w:p>
            <w:r/>
            <w:r>
              <w:rPr>
                <w:b w:val="0"/>
                <w:sz w:val="17"/>
              </w:rPr>
              <w:t>Use suitable metrics and training-only resampling if needed.</w:t>
            </w:r>
          </w:p>
        </w:tc>
        <w:tc>
          <w:tcPr>
            <w:tcW w:type="dxa" w:w="2045"/>
            <w:vAlign w:val="center"/>
          </w:tcPr>
          <w:p>
            <w:r/>
            <w:r>
              <w:rPr>
                <w:b w:val="0"/>
                <w:sz w:val="17"/>
              </w:rPr>
              <w:t>Adjust threshold or focus on descriptive analysis.</w:t>
            </w:r>
          </w:p>
        </w:tc>
      </w:tr>
      <w:tr>
        <w:tc>
          <w:tcPr>
            <w:tcW w:type="dxa" w:w="2045"/>
            <w:vAlign w:val="center"/>
          </w:tcPr>
          <w:p>
            <w:r/>
            <w:r>
              <w:rPr>
                <w:b w:val="0"/>
                <w:sz w:val="17"/>
              </w:rPr>
              <w:t>Data leakage</w:t>
            </w:r>
          </w:p>
        </w:tc>
        <w:tc>
          <w:tcPr>
            <w:tcW w:type="dxa" w:w="2045"/>
            <w:vAlign w:val="center"/>
          </w:tcPr>
          <w:p>
            <w:r/>
            <w:r>
              <w:rPr>
                <w:b w:val="0"/>
                <w:sz w:val="17"/>
              </w:rPr>
              <w:t>Medium</w:t>
            </w:r>
          </w:p>
        </w:tc>
        <w:tc>
          <w:tcPr>
            <w:tcW w:type="dxa" w:w="2045"/>
            <w:vAlign w:val="center"/>
          </w:tcPr>
          <w:p>
            <w:r/>
            <w:r>
              <w:rPr>
                <w:b w:val="0"/>
                <w:sz w:val="17"/>
              </w:rPr>
              <w:t>High</w:t>
            </w:r>
          </w:p>
        </w:tc>
        <w:tc>
          <w:tcPr>
            <w:tcW w:type="dxa" w:w="2045"/>
            <w:vAlign w:val="center"/>
          </w:tcPr>
          <w:p>
            <w:r/>
            <w:r>
              <w:rPr>
                <w:b w:val="0"/>
                <w:sz w:val="17"/>
              </w:rPr>
              <w:t>Review when each predictor becomes available.</w:t>
            </w:r>
          </w:p>
        </w:tc>
        <w:tc>
          <w:tcPr>
            <w:tcW w:type="dxa" w:w="2045"/>
            <w:vAlign w:val="center"/>
          </w:tcPr>
          <w:p>
            <w:r/>
            <w:r>
              <w:rPr>
                <w:b w:val="0"/>
                <w:sz w:val="17"/>
              </w:rPr>
              <w:t>Remove suspect variables and rebuild model.</w:t>
            </w:r>
          </w:p>
        </w:tc>
      </w:tr>
      <w:tr>
        <w:tc>
          <w:tcPr>
            <w:tcW w:type="dxa" w:w="2045"/>
            <w:vAlign w:val="center"/>
          </w:tcPr>
          <w:p>
            <w:r/>
            <w:r>
              <w:rPr>
                <w:b w:val="0"/>
                <w:sz w:val="17"/>
              </w:rPr>
              <w:t>Bias/fairness concerns</w:t>
            </w:r>
          </w:p>
        </w:tc>
        <w:tc>
          <w:tcPr>
            <w:tcW w:type="dxa" w:w="2045"/>
            <w:vAlign w:val="center"/>
          </w:tcPr>
          <w:p>
            <w:r/>
            <w:r>
              <w:rPr>
                <w:b w:val="0"/>
                <w:sz w:val="17"/>
              </w:rPr>
              <w:t>Medium</w:t>
            </w:r>
          </w:p>
        </w:tc>
        <w:tc>
          <w:tcPr>
            <w:tcW w:type="dxa" w:w="2045"/>
            <w:vAlign w:val="center"/>
          </w:tcPr>
          <w:p>
            <w:r/>
            <w:r>
              <w:rPr>
                <w:b w:val="0"/>
                <w:sz w:val="17"/>
              </w:rPr>
              <w:t>High</w:t>
            </w:r>
          </w:p>
        </w:tc>
        <w:tc>
          <w:tcPr>
            <w:tcW w:type="dxa" w:w="2045"/>
            <w:vAlign w:val="center"/>
          </w:tcPr>
          <w:p>
            <w:r/>
            <w:r>
              <w:rPr>
                <w:b w:val="0"/>
                <w:sz w:val="17"/>
              </w:rPr>
              <w:t>Perform subgroup evaluation and domain review.</w:t>
            </w:r>
          </w:p>
        </w:tc>
        <w:tc>
          <w:tcPr>
            <w:tcW w:type="dxa" w:w="2045"/>
            <w:vAlign w:val="center"/>
          </w:tcPr>
          <w:p>
            <w:r/>
            <w:r>
              <w:rPr>
                <w:b w:val="0"/>
                <w:sz w:val="17"/>
              </w:rPr>
              <w:t>Limit intended use and document concerns.</w:t>
            </w:r>
          </w:p>
        </w:tc>
      </w:tr>
      <w:tr>
        <w:tc>
          <w:tcPr>
            <w:tcW w:type="dxa" w:w="2045"/>
            <w:vAlign w:val="center"/>
          </w:tcPr>
          <w:p>
            <w:r/>
            <w:r>
              <w:rPr>
                <w:b w:val="0"/>
                <w:sz w:val="17"/>
              </w:rPr>
              <w:t>Poor predictive performance</w:t>
            </w:r>
          </w:p>
        </w:tc>
        <w:tc>
          <w:tcPr>
            <w:tcW w:type="dxa" w:w="2045"/>
            <w:vAlign w:val="center"/>
          </w:tcPr>
          <w:p>
            <w:r/>
            <w:r>
              <w:rPr>
                <w:b w:val="0"/>
                <w:sz w:val="17"/>
              </w:rPr>
              <w:t>Medium</w:t>
            </w:r>
          </w:p>
        </w:tc>
        <w:tc>
          <w:tcPr>
            <w:tcW w:type="dxa" w:w="2045"/>
            <w:vAlign w:val="center"/>
          </w:tcPr>
          <w:p>
            <w:r/>
            <w:r>
              <w:rPr>
                <w:b w:val="0"/>
                <w:sz w:val="17"/>
              </w:rPr>
              <w:t>Medium</w:t>
            </w:r>
          </w:p>
        </w:tc>
        <w:tc>
          <w:tcPr>
            <w:tcW w:type="dxa" w:w="2045"/>
            <w:vAlign w:val="center"/>
          </w:tcPr>
          <w:p>
            <w:r/>
            <w:r>
              <w:rPr>
                <w:b w:val="0"/>
                <w:sz w:val="17"/>
              </w:rPr>
              <w:t>Start with a baseline and improve data quality.</w:t>
            </w:r>
          </w:p>
        </w:tc>
        <w:tc>
          <w:tcPr>
            <w:tcW w:type="dxa" w:w="2045"/>
            <w:vAlign w:val="center"/>
          </w:tcPr>
          <w:p>
            <w:r/>
            <w:r>
              <w:rPr>
                <w:b w:val="0"/>
                <w:sz w:val="17"/>
              </w:rPr>
              <w:t>Focus on descriptive/operational findings.</w:t>
            </w:r>
          </w:p>
        </w:tc>
      </w:tr>
      <w:tr>
        <w:tc>
          <w:tcPr>
            <w:tcW w:type="dxa" w:w="2045"/>
            <w:vAlign w:val="center"/>
          </w:tcPr>
          <w:p>
            <w:r/>
            <w:r>
              <w:rPr>
                <w:b w:val="0"/>
                <w:sz w:val="17"/>
              </w:rPr>
              <w:t>Incorrect clinical interpretation</w:t>
            </w:r>
          </w:p>
        </w:tc>
        <w:tc>
          <w:tcPr>
            <w:tcW w:type="dxa" w:w="2045"/>
            <w:vAlign w:val="center"/>
          </w:tcPr>
          <w:p>
            <w:r/>
            <w:r>
              <w:rPr>
                <w:b w:val="0"/>
                <w:sz w:val="17"/>
              </w:rPr>
              <w:t>Low/Medium</w:t>
            </w:r>
          </w:p>
        </w:tc>
        <w:tc>
          <w:tcPr>
            <w:tcW w:type="dxa" w:w="2045"/>
            <w:vAlign w:val="center"/>
          </w:tcPr>
          <w:p>
            <w:r/>
            <w:r>
              <w:rPr>
                <w:b w:val="0"/>
                <w:sz w:val="17"/>
              </w:rPr>
              <w:t>High</w:t>
            </w:r>
          </w:p>
        </w:tc>
        <w:tc>
          <w:tcPr>
            <w:tcW w:type="dxa" w:w="2045"/>
            <w:vAlign w:val="center"/>
          </w:tcPr>
          <w:p>
            <w:r/>
            <w:r>
              <w:rPr>
                <w:b w:val="0"/>
                <w:sz w:val="17"/>
              </w:rPr>
              <w:t>Use domain review and explicit limitations.</w:t>
            </w:r>
          </w:p>
        </w:tc>
        <w:tc>
          <w:tcPr>
            <w:tcW w:type="dxa" w:w="2045"/>
            <w:vAlign w:val="center"/>
          </w:tcPr>
          <w:p>
            <w:r/>
            <w:r>
              <w:rPr>
                <w:b w:val="0"/>
                <w:sz w:val="17"/>
              </w:rPr>
              <w:t>Do not make clinical recommendations.</w:t>
            </w:r>
          </w:p>
        </w:tc>
      </w:tr>
      <w:tr>
        <w:tc>
          <w:tcPr>
            <w:tcW w:type="dxa" w:w="2045"/>
            <w:vAlign w:val="center"/>
          </w:tcPr>
          <w:p>
            <w:r/>
            <w:r>
              <w:rPr>
                <w:b w:val="0"/>
                <w:sz w:val="17"/>
              </w:rPr>
              <w:t>Time overrun</w:t>
            </w:r>
          </w:p>
        </w:tc>
        <w:tc>
          <w:tcPr>
            <w:tcW w:type="dxa" w:w="2045"/>
            <w:vAlign w:val="center"/>
          </w:tcPr>
          <w:p>
            <w:r/>
            <w:r>
              <w:rPr>
                <w:b w:val="0"/>
                <w:sz w:val="17"/>
              </w:rPr>
              <w:t>Medium</w:t>
            </w:r>
          </w:p>
        </w:tc>
        <w:tc>
          <w:tcPr>
            <w:tcW w:type="dxa" w:w="2045"/>
            <w:vAlign w:val="center"/>
          </w:tcPr>
          <w:p>
            <w:r/>
            <w:r>
              <w:rPr>
                <w:b w:val="0"/>
                <w:sz w:val="17"/>
              </w:rPr>
              <w:t>Medium</w:t>
            </w:r>
          </w:p>
        </w:tc>
        <w:tc>
          <w:tcPr>
            <w:tcW w:type="dxa" w:w="2045"/>
            <w:vAlign w:val="center"/>
          </w:tcPr>
          <w:p>
            <w:r/>
            <w:r>
              <w:rPr>
                <w:b w:val="0"/>
                <w:sz w:val="17"/>
              </w:rPr>
              <w:t>Prioritize core KPIs, cleaning and baseline model.</w:t>
            </w:r>
          </w:p>
        </w:tc>
        <w:tc>
          <w:tcPr>
            <w:tcW w:type="dxa" w:w="2045"/>
            <w:vAlign w:val="center"/>
          </w:tcPr>
          <w:p>
            <w:r/>
            <w:r>
              <w:rPr>
                <w:b w:val="0"/>
                <w:sz w:val="17"/>
              </w:rPr>
              <w:t>Defer advanced modeling.</w:t>
            </w:r>
          </w:p>
        </w:tc>
      </w:tr>
    </w:tbl>
    <w:p>
      <w:pPr>
        <w:pStyle w:val="Heading1"/>
      </w:pPr>
      <w:r>
        <w:t>16. Contingency Plan</w:t>
      </w:r>
    </w:p>
    <w:p>
      <w:pPr>
        <w:pStyle w:val="ListBullet"/>
        <w:spacing w:after="20"/>
      </w:pPr>
      <w:r>
        <w:t>If detailed clinical data cannot be accessed, use public aggregate healthcare data and shift the project toward population-level analysis.</w:t>
      </w:r>
    </w:p>
    <w:p>
      <w:pPr>
        <w:pStyle w:val="ListBullet"/>
        <w:spacing w:after="20"/>
      </w:pPr>
      <w:r>
        <w:t>If the selected dataset does not contain a reliable readmission target, do not create an artificial target; instead focus on descriptive healthcare utilization analysis.</w:t>
      </w:r>
    </w:p>
    <w:p>
      <w:pPr>
        <w:pStyle w:val="ListBullet"/>
        <w:spacing w:after="20"/>
      </w:pPr>
      <w:r>
        <w:t>If missingness is too high for a reliable model, reduce the feature set and document the limitation.</w:t>
      </w:r>
    </w:p>
    <w:p>
      <w:pPr>
        <w:pStyle w:val="ListBullet"/>
        <w:spacing w:after="20"/>
      </w:pPr>
      <w:r>
        <w:t>If predictive performance is weak, retain the baseline and emphasize data-quality and descriptive findings instead of forcing a complex model.</w:t>
      </w:r>
    </w:p>
    <w:p>
      <w:pPr>
        <w:pStyle w:val="ListBullet"/>
        <w:spacing w:after="20"/>
      </w:pPr>
      <w:r>
        <w:t>If computing resources are limited, develop using a representative sample and validate on a larger holdout where feasible.</w:t>
      </w:r>
    </w:p>
    <w:p>
      <w:pPr>
        <w:pStyle w:val="ListBullet"/>
        <w:spacing w:after="20"/>
      </w:pPr>
      <w:r>
        <w:t>If an ethical or privacy concern is identified, pause modeling until the issue is reviewed.</w:t>
      </w:r>
    </w:p>
    <w:p>
      <w:pPr>
        <w:pStyle w:val="ListBullet"/>
        <w:spacing w:after="20"/>
      </w:pPr>
      <w:r>
        <w:t>If time becomes limited, prioritize problem definition, data documentation, KPI analysis and one validated baseline model.</w:t>
      </w:r>
    </w:p>
    <w:p>
      <w:pPr>
        <w:pStyle w:val="Heading1"/>
      </w:pPr>
      <w:r>
        <w:t>17. Expected Deliverables</w:t>
      </w:r>
    </w:p>
    <w:p>
      <w:pPr>
        <w:pStyle w:val="ListBullet"/>
        <w:spacing w:after="20"/>
      </w:pPr>
      <w:r>
        <w:t>Comprehensive DOC project plan.</w:t>
      </w:r>
    </w:p>
    <w:p>
      <w:pPr>
        <w:pStyle w:val="ListBullet"/>
        <w:spacing w:after="20"/>
      </w:pPr>
      <w:r>
        <w:t>Background and literature/data research summary.</w:t>
      </w:r>
    </w:p>
    <w:p>
      <w:pPr>
        <w:pStyle w:val="ListBullet"/>
        <w:spacing w:after="20"/>
      </w:pPr>
      <w:r>
        <w:t>Public data-source assessment.</w:t>
      </w:r>
    </w:p>
    <w:p>
      <w:pPr>
        <w:pStyle w:val="ListBullet"/>
        <w:spacing w:after="20"/>
      </w:pPr>
      <w:r>
        <w:t>Project objectives and KPIs.</w:t>
      </w:r>
    </w:p>
    <w:p>
      <w:pPr>
        <w:pStyle w:val="ListBullet"/>
        <w:spacing w:after="20"/>
      </w:pPr>
      <w:r>
        <w:t>Data collection and preparation strategy.</w:t>
      </w:r>
    </w:p>
    <w:p>
      <w:pPr>
        <w:pStyle w:val="ListBullet"/>
        <w:spacing w:after="20"/>
      </w:pPr>
      <w:r>
        <w:t>30–35 hour timeline and milestones.</w:t>
      </w:r>
    </w:p>
    <w:p>
      <w:pPr>
        <w:pStyle w:val="ListBullet"/>
        <w:spacing w:after="20"/>
      </w:pPr>
      <w:r>
        <w:t>Resource estimation.</w:t>
      </w:r>
    </w:p>
    <w:p>
      <w:pPr>
        <w:pStyle w:val="ListBullet"/>
        <w:spacing w:after="20"/>
      </w:pPr>
      <w:r>
        <w:t>Risk assessment and contingency planning.</w:t>
      </w:r>
    </w:p>
    <w:p>
      <w:pPr>
        <w:pStyle w:val="ListBullet"/>
        <w:spacing w:after="20"/>
      </w:pPr>
      <w:r>
        <w:t>Ethical and privacy considerations.</w:t>
      </w:r>
    </w:p>
    <w:p>
      <w:pPr>
        <w:pStyle w:val="ListBullet"/>
        <w:spacing w:after="20"/>
      </w:pPr>
      <w:r>
        <w:t>Expected outcomes and decision-making impact.</w:t>
      </w:r>
    </w:p>
    <w:p>
      <w:pPr>
        <w:pStyle w:val="Heading1"/>
      </w:pPr>
      <w:r>
        <w:t>18. Expected Outcomes and Business Impact</w:t>
      </w:r>
    </w:p>
    <w:p>
      <w:r>
        <w:t>The project is expected to produce a structured understanding of readmission patterns, identify potentially important operational or patient-level factors, and demonstrate whether a baseline model can provide useful risk stratification. The findings could support questions such as where additional follow-up resources may be needed, which service areas warrant process review, and how healthcare organizations can monitor outcome variation.</w:t>
      </w:r>
    </w:p>
    <w:p>
      <w:r>
        <w:t>The analytical output should be treated as decision support and research evidence rather than an automated clinical decision system. Any real-world implementation would require additional clinical validation, governance, privacy review, prospective testing and stakeholder approval.</w:t>
      </w:r>
    </w:p>
    <w:p>
      <w:pPr>
        <w:pStyle w:val="Heading1"/>
      </w:pPr>
      <w:r>
        <w:t>19. Conclusion</w:t>
      </w:r>
    </w:p>
    <w:p>
      <w:r>
        <w:t>This project plan provides an end-to-end strategy for a hypothetical healthcare data analysis project. It combines research, data sourcing, data preparation, exploratory analysis, predictive modeling, validation, ethics, risk management and stakeholder communication.</w:t>
      </w:r>
    </w:p>
    <w:p>
      <w:r>
        <w:t>A focused 30–35 hour execution plan is practical when the project is limited to one primary outcome and a suitable public or de-identified dataset. The strongest result will be a reproducible and responsible analytical workflow that demonstrates how healthcare data science can generate useful insights while respecting privacy, fairness and clinical limitations.</w:t>
      </w:r>
    </w:p>
    <w:p>
      <w:pPr>
        <w:pStyle w:val="Heading1"/>
      </w:pPr>
      <w:r>
        <w:t>20. References and Public Resources</w:t>
      </w:r>
    </w:p>
    <w:p>
      <w:pPr>
        <w:pStyle w:val="ListBullet"/>
      </w:pPr>
      <w:r>
        <w:rPr>
          <w:b/>
        </w:rPr>
        <w:t xml:space="preserve">CDC Open Data: </w:t>
      </w:r>
      <w:r>
        <w:t>https://data.cdc.gov/</w:t>
      </w:r>
    </w:p>
    <w:p>
      <w:pPr>
        <w:pStyle w:val="ListBullet"/>
      </w:pPr>
      <w:r>
        <w:rPr>
          <w:b/>
        </w:rPr>
        <w:t xml:space="preserve">WHO Global Health Observatory: </w:t>
      </w:r>
      <w:r>
        <w:t>https://www.who.int/data/gho</w:t>
      </w:r>
    </w:p>
    <w:p>
      <w:pPr>
        <w:pStyle w:val="ListBullet"/>
      </w:pPr>
      <w:r>
        <w:rPr>
          <w:b/>
        </w:rPr>
        <w:t xml:space="preserve">CMS Data: </w:t>
      </w:r>
      <w:r>
        <w:t>https://data.cms.gov/</w:t>
      </w:r>
    </w:p>
    <w:p>
      <w:pPr>
        <w:pStyle w:val="ListBullet"/>
      </w:pPr>
      <w:r>
        <w:rPr>
          <w:b/>
        </w:rPr>
        <w:t xml:space="preserve">CMS Basic Stand-Alone Medicare Claims Public Use Files: </w:t>
      </w:r>
      <w:r>
        <w:t>https://www.cms.gov/data-research/statistics-trends-and-reports/basic-stand-alone-medicare-claims-public-use-files</w:t>
      </w:r>
    </w:p>
    <w:p>
      <w:pPr>
        <w:pStyle w:val="ListBullet"/>
      </w:pPr>
      <w:r>
        <w:rPr>
          <w:b/>
        </w:rPr>
        <w:t xml:space="preserve">MIMIC-IV – PhysioNet: </w:t>
      </w:r>
      <w:r>
        <w:t>https://physionet.org/content/mimiciv/3.0/</w:t>
      </w:r>
    </w:p>
    <w:p>
      <w:pPr>
        <w:jc w:val="center"/>
      </w:pPr>
      <w:r>
        <w:rPr>
          <w:b/>
        </w:rPr>
        <w:t>End of Project Plan</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