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t xml:space="preserve"/>
      </w:r>
    </w:p>
    <w:p>
      <w:pPr>
        <w:spacing w:after="80" w:before="0"/>
        <w:jc w:val="center"/>
      </w:pPr>
      <w:r>
        <w:rPr>
          <w:rFonts w:ascii="Arial" w:cs="Arial" w:eastAsia="Arial" w:hAnsi="Arial"/>
          <w:b/>
          <w:bCs/>
          <w:color w:val="1A4FCC"/>
          <w:sz w:val="72"/>
          <w:szCs w:val="72"/>
        </w:rPr>
        <w:t xml:space="preserve">FINNWISE</w:t>
      </w:r>
    </w:p>
    <w:p>
      <w:pPr>
        <w:spacing w:after="240" w:before="0"/>
        <w:jc w:val="center"/>
      </w:pPr>
      <w:r>
        <w:rPr>
          <w:rFonts w:ascii="Arial" w:cs="Arial" w:eastAsia="Arial" w:hAnsi="Arial"/>
          <w:color w:val="334155"/>
          <w:sz w:val="28"/>
          <w:szCs w:val="28"/>
        </w:rPr>
        <w:t xml:space="preserve">Financial Reasoning Companion for Indian Investors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200"/>
              <w:left w:type="dxa" w:w="400"/>
              <w:bottom w:type="dxa" w:w="200"/>
              <w:right w:type="dxa" w:w="400"/>
            </w:tcMar>
          </w:tcPr>
          <w:p>
            <w:pPr>
              <w:jc w:val="center"/>
            </w:pPr>
            <w:r>
              <w:rPr>
                <w:rFonts w:ascii="Arial" w:cs="Arial" w:eastAsia="Arial" w:hAnsi="Arial"/>
                <w:b/>
                <w:bCs/>
                <w:color w:val="FFFFFF"/>
                <w:sz w:val="26"/>
                <w:szCs w:val="26"/>
              </w:rPr>
              <w:t xml:space="preserve">PRODUCT REQUIREMENTS DOCUMENT</w:t>
            </w:r>
          </w:p>
          <w:p>
            <w:pPr>
              <w:jc w:val="center"/>
            </w:pPr>
            <w:r>
              <w:rPr>
                <w:rFonts w:ascii="Arial" w:cs="Arial" w:eastAsia="Arial" w:hAnsi="Arial"/>
                <w:color w:val="94A3B8"/>
                <w:sz w:val="20"/>
                <w:szCs w:val="20"/>
              </w:rPr>
              <w:t xml:space="preserve">Version 2.0  |  Research Project  |  Indian Stock Market Focus</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EBF0FD" w:val="clear"/>
            <w:tcMar>
              <w:top w:type="dxa" w:w="120"/>
              <w:left w:type="dxa" w:w="120"/>
              <w:bottom w:type="dxa" w:w="120"/>
              <w:right w:type="dxa" w:w="120"/>
            </w:tcMar>
          </w:tcPr>
          <w:p>
            <w:pPr>
              <w:jc w:val="center"/>
            </w:pPr>
            <w:r>
              <w:rPr>
                <w:rFonts w:ascii="Arial" w:cs="Arial" w:eastAsia="Arial" w:hAnsi="Arial"/>
                <w:b/>
                <w:bCs/>
                <w:color w:val="2E63E8"/>
                <w:sz w:val="18"/>
                <w:szCs w:val="18"/>
              </w:rPr>
              <w:t xml:space="preserve">Target Users</w:t>
            </w:r>
          </w:p>
          <w:p>
            <w:pPr>
              <w:jc w:val="center"/>
            </w:pPr>
            <w:r>
              <w:rPr>
                <w:rFonts w:ascii="Arial" w:cs="Arial" w:eastAsia="Arial" w:hAnsi="Arial"/>
                <w:b/>
                <w:bCs/>
                <w:color w:val="0F172A"/>
                <w:sz w:val="22"/>
                <w:szCs w:val="22"/>
              </w:rPr>
              <w:t xml:space="preserve">Young Professionals</w:t>
            </w:r>
          </w:p>
        </w:tc>
        <w:tc>
          <w:tcPr>
            <w:tcW w:type="dxa" w:w="2340"/>
            <w:tcBorders>
              <w:top w:val="single" w:color="E2E8F0" w:sz="1"/>
              <w:left w:val="single" w:color="E2E8F0" w:sz="1"/>
              <w:bottom w:val="single" w:color="E2E8F0" w:sz="1"/>
              <w:right w:val="single" w:color="E2E8F0" w:sz="1"/>
            </w:tcBorders>
            <w:shd w:fill="EBF0FD" w:val="clear"/>
            <w:tcMar>
              <w:top w:type="dxa" w:w="120"/>
              <w:left w:type="dxa" w:w="120"/>
              <w:bottom w:type="dxa" w:w="120"/>
              <w:right w:type="dxa" w:w="120"/>
            </w:tcMar>
          </w:tcPr>
          <w:p>
            <w:pPr>
              <w:jc w:val="center"/>
            </w:pPr>
            <w:r>
              <w:rPr>
                <w:rFonts w:ascii="Arial" w:cs="Arial" w:eastAsia="Arial" w:hAnsi="Arial"/>
                <w:b/>
                <w:bCs/>
                <w:color w:val="2E63E8"/>
                <w:sz w:val="18"/>
                <w:szCs w:val="18"/>
              </w:rPr>
              <w:t xml:space="preserve">Timeline</w:t>
            </w:r>
          </w:p>
          <w:p>
            <w:pPr>
              <w:jc w:val="center"/>
            </w:pPr>
            <w:r>
              <w:rPr>
                <w:rFonts w:ascii="Arial" w:cs="Arial" w:eastAsia="Arial" w:hAnsi="Arial"/>
                <w:b/>
                <w:bCs/>
                <w:color w:val="0F172A"/>
                <w:sz w:val="22"/>
                <w:szCs w:val="22"/>
              </w:rPr>
              <w:t xml:space="preserve">3-Month V1</w:t>
            </w:r>
          </w:p>
        </w:tc>
        <w:tc>
          <w:tcPr>
            <w:tcW w:type="dxa" w:w="2340"/>
            <w:tcBorders>
              <w:top w:val="single" w:color="E2E8F0" w:sz="1"/>
              <w:left w:val="single" w:color="E2E8F0" w:sz="1"/>
              <w:bottom w:val="single" w:color="E2E8F0" w:sz="1"/>
              <w:right w:val="single" w:color="E2E8F0" w:sz="1"/>
            </w:tcBorders>
            <w:shd w:fill="EBF0FD" w:val="clear"/>
            <w:tcMar>
              <w:top w:type="dxa" w:w="120"/>
              <w:left w:type="dxa" w:w="120"/>
              <w:bottom w:type="dxa" w:w="120"/>
              <w:right w:type="dxa" w:w="120"/>
            </w:tcMar>
          </w:tcPr>
          <w:p>
            <w:pPr>
              <w:jc w:val="center"/>
            </w:pPr>
            <w:r>
              <w:rPr>
                <w:rFonts w:ascii="Arial" w:cs="Arial" w:eastAsia="Arial" w:hAnsi="Arial"/>
                <w:b/>
                <w:bCs/>
                <w:color w:val="2E63E8"/>
                <w:sz w:val="18"/>
                <w:szCs w:val="18"/>
              </w:rPr>
              <w:t xml:space="preserve">Market</w:t>
            </w:r>
          </w:p>
          <w:p>
            <w:pPr>
              <w:jc w:val="center"/>
            </w:pPr>
            <w:r>
              <w:rPr>
                <w:rFonts w:ascii="Arial" w:cs="Arial" w:eastAsia="Arial" w:hAnsi="Arial"/>
                <w:b/>
                <w:bCs/>
                <w:color w:val="0F172A"/>
                <w:sz w:val="22"/>
                <w:szCs w:val="22"/>
              </w:rPr>
              <w:t xml:space="preserve">NSE / BSE India</w:t>
            </w:r>
          </w:p>
        </w:tc>
        <w:tc>
          <w:tcPr>
            <w:tcW w:type="dxa" w:w="2340"/>
            <w:tcBorders>
              <w:top w:val="single" w:color="E2E8F0" w:sz="1"/>
              <w:left w:val="single" w:color="E2E8F0" w:sz="1"/>
              <w:bottom w:val="single" w:color="E2E8F0" w:sz="1"/>
              <w:right w:val="single" w:color="E2E8F0" w:sz="1"/>
            </w:tcBorders>
            <w:shd w:fill="EBF0FD" w:val="clear"/>
            <w:tcMar>
              <w:top w:type="dxa" w:w="120"/>
              <w:left w:type="dxa" w:w="120"/>
              <w:bottom w:type="dxa" w:w="120"/>
              <w:right w:type="dxa" w:w="120"/>
            </w:tcMar>
          </w:tcPr>
          <w:p>
            <w:pPr>
              <w:jc w:val="center"/>
            </w:pPr>
            <w:r>
              <w:rPr>
                <w:rFonts w:ascii="Arial" w:cs="Arial" w:eastAsia="Arial" w:hAnsi="Arial"/>
                <w:b/>
                <w:bCs/>
                <w:color w:val="2E63E8"/>
                <w:sz w:val="18"/>
                <w:szCs w:val="18"/>
              </w:rPr>
              <w:t xml:space="preserve">Project Type</w:t>
            </w:r>
          </w:p>
          <w:p>
            <w:pPr>
              <w:jc w:val="center"/>
            </w:pPr>
            <w:r>
              <w:rPr>
                <w:rFonts w:ascii="Arial" w:cs="Arial" w:eastAsia="Arial" w:hAnsi="Arial"/>
                <w:b/>
                <w:bCs/>
                <w:color w:val="0F172A"/>
                <w:sz w:val="22"/>
                <w:szCs w:val="22"/>
              </w:rPr>
              <w:t xml:space="preserve">Solo Research</w:t>
            </w:r>
          </w:p>
        </w:tc>
      </w:tr>
    </w:tbl>
    <w:p>
      <w:pPr>
        <w:spacing w:after="0" w:before="300"/>
      </w:pPr>
      <w:r>
        <w:t xml:space="preserve"/>
      </w:r>
    </w:p>
    <w:p>
      <w:pPr>
        <w:jc w:val="center"/>
      </w:pPr>
      <w:r>
        <w:rPr>
          <w:rFonts w:ascii="Arial" w:cs="Arial" w:eastAsia="Arial" w:hAnsi="Arial"/>
          <w:i/>
          <w:iCs/>
          <w:color w:val="334155"/>
          <w:sz w:val="26"/>
          <w:szCs w:val="26"/>
        </w:rPr>
        <w:t xml:space="preserve">Understand before you invest</w:t>
      </w:r>
    </w:p>
    <w:p>
      <w:pPr>
        <w:spacing w:after="0" w:before="200"/>
      </w:pPr>
      <w:r>
        <w:t xml:space="preserve"/>
      </w:r>
    </w:p>
    <w:p>
      <w:pPr>
        <w:jc w:val="center"/>
      </w:pPr>
      <w:r>
        <w:rPr>
          <w:rFonts w:ascii="Arial" w:cs="Arial" w:eastAsia="Arial" w:hAnsi="Arial"/>
          <w:i/>
          <w:iCs/>
          <w:color w:val="9B2416"/>
          <w:sz w:val="17"/>
          <w:szCs w:val="17"/>
        </w:rPr>
        <w:t xml:space="preserve">SEBI DISCLAIMER: This application generates AI-powered market analysis for educational and research purposes only. It does not constitute registered investment advice under SEBI (Investment Advisers) Regulations 2013.</w:t>
      </w:r>
    </w:p>
    <w:p>
      <w:r>
        <w:br w:type="page"/>
      </w:r>
    </w:p>
    <w:p>
      <w:pPr>
        <w:pStyle w:val="Heading1"/>
        <w:spacing w:after="160" w:before="400"/>
      </w:pPr>
      <w:r>
        <w:rPr>
          <w:rFonts w:ascii="Arial" w:cs="Arial" w:eastAsia="Arial" w:hAnsi="Arial"/>
          <w:b/>
          <w:bCs/>
          <w:color w:val="0F172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400"/>
      </w:pPr>
      <w:r>
        <w:rPr>
          <w:rFonts w:ascii="Arial" w:cs="Arial" w:eastAsia="Arial" w:hAnsi="Arial"/>
          <w:b/>
          <w:bCs/>
          <w:color w:val="0F172A"/>
          <w:sz w:val="36"/>
          <w:szCs w:val="36"/>
        </w:rPr>
        <w:t xml:space="preserve">1. Executive Summary</w:t>
      </w:r>
    </w:p>
    <w:p>
      <w:pPr>
        <w:spacing w:after="80" w:before="80"/>
      </w:pPr>
      <w:r>
        <w:rPr>
          <w:rFonts w:ascii="Arial" w:cs="Arial" w:eastAsia="Arial" w:hAnsi="Arial"/>
          <w:color w:val="64748B"/>
          <w:sz w:val="22"/>
          <w:szCs w:val="22"/>
        </w:rPr>
        <w:t xml:space="preserve">FinnWise is a financial reasoning companion — not a recommendation engine and not a news aggregator. It connects world events to investment implications through a structured learning process, designed for intelligent young Indian professionals who are starting their investment journey and want to understand before they act.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2E8F0" w:sz="1"/>
              <w:left w:val="single" w:color="E2E8F0" w:sz="1"/>
              <w:bottom w:val="single" w:color="E2E8F0" w:sz="1"/>
              <w:right w:val="single" w:color="E2E8F0" w:sz="1"/>
            </w:tcBorders>
            <w:shd w:fill="2E63E8"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PRODUCT DEFINITION</w:t>
            </w:r>
          </w:p>
        </w:tc>
        <w:tc>
          <w:tcPr>
            <w:tcW w:type="dxa" w:w="7760"/>
            <w:tcBorders>
              <w:top w:val="single" w:color="E2E8F0" w:sz="1"/>
              <w:left w:val="single" w:color="E2E8F0" w:sz="1"/>
              <w:bottom w:val="single" w:color="E2E8F0" w:sz="1"/>
              <w:right w:val="single" w:color="E2E8F0" w:sz="1"/>
            </w:tcBorders>
            <w:shd w:fill="EBF0FD" w:val="clear"/>
            <w:tcMar>
              <w:top w:type="dxa" w:w="100"/>
              <w:left w:type="dxa" w:w="140"/>
              <w:bottom w:type="dxa" w:w="100"/>
              <w:right w:type="dxa" w:w="120"/>
            </w:tcMar>
          </w:tcPr>
          <w:p>
            <w:r>
              <w:rPr>
                <w:rFonts w:ascii="Arial" w:cs="Arial" w:eastAsia="Arial" w:hAnsi="Arial"/>
                <w:color w:val="334155"/>
                <w:sz w:val="20"/>
                <w:szCs w:val="20"/>
              </w:rPr>
              <w:t xml:space="preserve">FinnWise connects world events to investment implications through a structured learning process. The recommendation is almost incidental. The real product is contextual financial intelligence for someone who pays attention to the world but does not yet have the mental models to connect what they see to what they should do.</w:t>
            </w:r>
          </w:p>
        </w:tc>
      </w:tr>
    </w:tbl>
    <w:p>
      <w:pPr>
        <w:spacing w:after="0" w:before="160"/>
      </w:pPr>
      <w:r>
        <w:t xml:space="preserve"/>
      </w:r>
    </w:p>
    <w:p>
      <w:pPr>
        <w:spacing w:after="80" w:before="80"/>
      </w:pPr>
      <w:r>
        <w:rPr>
          <w:rFonts w:ascii="Arial" w:cs="Arial" w:eastAsia="Arial" w:hAnsi="Arial"/>
          <w:color w:val="64748B"/>
          <w:sz w:val="22"/>
          <w:szCs w:val="22"/>
        </w:rPr>
        <w:t xml:space="preserve">FinnWise differentiates on three pillars:</w:t>
      </w:r>
    </w:p>
    <w:p>
      <w:pPr>
        <w:pStyle w:val="ListParagraph"/>
        <w:numPr>
          <w:ilvl w:val="0"/>
          <w:numId w:val="2"/>
        </w:numPr>
        <w:spacing w:after="60" w:before="60"/>
      </w:pPr>
      <w:r>
        <w:rPr>
          <w:rFonts w:ascii="Arial" w:cs="Arial" w:eastAsia="Arial" w:hAnsi="Arial"/>
          <w:b w:val="false"/>
          <w:bCs w:val="false"/>
          <w:color w:val="64748B"/>
          <w:sz w:val="22"/>
          <w:szCs w:val="22"/>
        </w:rPr>
        <w:t xml:space="preserve">Reasoning transparency — every Event Intelligence Card traces the causal chain from world event to specific instrument, with every assumption labelled as Measured, Modelled, or Judged</w:t>
      </w:r>
    </w:p>
    <w:p>
      <w:pPr>
        <w:pStyle w:val="ListParagraph"/>
        <w:numPr>
          <w:ilvl w:val="0"/>
          <w:numId w:val="2"/>
        </w:numPr>
        <w:spacing w:after="60" w:before="60"/>
      </w:pPr>
      <w:r>
        <w:rPr>
          <w:rFonts w:ascii="Arial" w:cs="Arial" w:eastAsia="Arial" w:hAnsi="Arial"/>
          <w:b w:val="false"/>
          <w:bCs w:val="false"/>
          <w:color w:val="64748B"/>
          <w:sz w:val="22"/>
          <w:szCs w:val="22"/>
        </w:rPr>
        <w:t xml:space="preserve">Bias honesty — a full audit log tracks information biases in the data pipeline and recommendation engine, and surfaces them prominently to the user</w:t>
      </w:r>
    </w:p>
    <w:p>
      <w:pPr>
        <w:pStyle w:val="ListParagraph"/>
        <w:numPr>
          <w:ilvl w:val="0"/>
          <w:numId w:val="2"/>
        </w:numPr>
        <w:spacing w:after="60" w:before="60"/>
      </w:pPr>
      <w:r>
        <w:rPr>
          <w:rFonts w:ascii="Arial" w:cs="Arial" w:eastAsia="Arial" w:hAnsi="Arial"/>
          <w:b w:val="false"/>
          <w:bCs w:val="false"/>
          <w:color w:val="64748B"/>
          <w:sz w:val="22"/>
          <w:szCs w:val="22"/>
        </w:rPr>
        <w:t xml:space="preserve">Mental model transfer — every card ends with a plain-English description of the reasoning framework used, so users can apply it independently to future events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2E8F0" w:sz="1"/>
              <w:left w:val="single" w:color="E2E8F0" w:sz="1"/>
              <w:bottom w:val="single" w:color="E2E8F0" w:sz="1"/>
              <w:right w:val="single" w:color="E2E8F0" w:sz="1"/>
            </w:tcBorders>
            <w:shd w:fill="2E63E8"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TAGLINE</w:t>
            </w:r>
          </w:p>
        </w:tc>
        <w:tc>
          <w:tcPr>
            <w:tcW w:type="dxa" w:w="7760"/>
            <w:tcBorders>
              <w:top w:val="single" w:color="E2E8F0" w:sz="1"/>
              <w:left w:val="single" w:color="E2E8F0" w:sz="1"/>
              <w:bottom w:val="single" w:color="E2E8F0" w:sz="1"/>
              <w:right w:val="single" w:color="E2E8F0" w:sz="1"/>
            </w:tcBorders>
            <w:shd w:fill="EBF0FD" w:val="clear"/>
            <w:tcMar>
              <w:top w:type="dxa" w:w="100"/>
              <w:left w:type="dxa" w:w="140"/>
              <w:bottom w:type="dxa" w:w="100"/>
              <w:right w:type="dxa" w:w="120"/>
            </w:tcMar>
          </w:tcPr>
          <w:p>
            <w:r>
              <w:rPr>
                <w:rFonts w:ascii="Arial" w:cs="Arial" w:eastAsia="Arial" w:hAnsi="Arial"/>
                <w:color w:val="334155"/>
                <w:sz w:val="20"/>
                <w:szCs w:val="20"/>
              </w:rPr>
              <w:t xml:space="preserve">Understand before you invest</w:t>
            </w:r>
          </w:p>
        </w:tc>
      </w:tr>
    </w:tbl>
    <w:p>
      <w:pPr>
        <w:spacing w:after="0" w:before="200"/>
      </w:pPr>
      <w:r>
        <w:t xml:space="preserve"/>
      </w:r>
    </w:p>
    <w:p>
      <w:pPr>
        <w:pStyle w:val="Heading1"/>
        <w:spacing w:after="160" w:before="400"/>
      </w:pPr>
      <w:r>
        <w:rPr>
          <w:rFonts w:ascii="Arial" w:cs="Arial" w:eastAsia="Arial" w:hAnsi="Arial"/>
          <w:b/>
          <w:bCs/>
          <w:color w:val="0F172A"/>
          <w:sz w:val="36"/>
          <w:szCs w:val="36"/>
        </w:rPr>
        <w:t xml:space="preserve">2. Problem Statement</w:t>
      </w:r>
    </w:p>
    <w:p>
      <w:pPr>
        <w:pStyle w:val="Heading2"/>
        <w:pBdr>
          <w:bottom w:val="single" w:color="2E63E8" w:sz="4" w:space="4"/>
        </w:pBdr>
        <w:spacing w:after="120" w:before="300"/>
      </w:pPr>
      <w:r>
        <w:rPr>
          <w:rFonts w:ascii="Arial" w:cs="Arial" w:eastAsia="Arial" w:hAnsi="Arial"/>
          <w:b/>
          <w:bCs/>
          <w:color w:val="1A4FCC"/>
          <w:sz w:val="28"/>
          <w:szCs w:val="28"/>
        </w:rPr>
        <w:t xml:space="preserve">2.1 The Gap in the Market</w:t>
      </w:r>
    </w:p>
    <w:p>
      <w:pPr>
        <w:spacing w:after="80" w:before="80"/>
      </w:pPr>
      <w:r>
        <w:rPr>
          <w:rFonts w:ascii="Arial" w:cs="Arial" w:eastAsia="Arial" w:hAnsi="Arial"/>
          <w:color w:val="64748B"/>
          <w:sz w:val="22"/>
          <w:szCs w:val="22"/>
        </w:rPr>
        <w:t xml:space="preserve">Young Indian professionals entering the investment market face a fundamental trust problem. Existing tools either provide black-box recommendations with no reasoning, overwhelm with raw data without synthesis, deliver biased content through sponsored recommendations, or assume prior financial literacy that first-time investors do not have.</w:t>
      </w:r>
    </w:p>
    <w:p>
      <w:pPr>
        <w:spacing w:after="0" w:before="80"/>
      </w:pPr>
      <w:r>
        <w:t xml:space="preserve"/>
      </w:r>
    </w:p>
    <w:p>
      <w:pPr>
        <w:pStyle w:val="Heading2"/>
        <w:pBdr>
          <w:bottom w:val="single" w:color="2E63E8" w:sz="4" w:space="4"/>
        </w:pBdr>
        <w:spacing w:after="120" w:before="300"/>
      </w:pPr>
      <w:r>
        <w:rPr>
          <w:rFonts w:ascii="Arial" w:cs="Arial" w:eastAsia="Arial" w:hAnsi="Arial"/>
          <w:b/>
          <w:bCs/>
          <w:color w:val="1A4FCC"/>
          <w:sz w:val="28"/>
          <w:szCs w:val="28"/>
        </w:rPr>
        <w:t xml:space="preserve">2.2 The Specific Problem FinnWise Solves</w:t>
      </w:r>
    </w:p>
    <w:p>
      <w:pPr>
        <w:spacing w:after="80" w:before="80"/>
      </w:pPr>
      <w:r>
        <w:rPr>
          <w:rFonts w:ascii="Arial" w:cs="Arial" w:eastAsia="Arial" w:hAnsi="Arial"/>
          <w:color w:val="64748B"/>
          <w:sz w:val="22"/>
          <w:szCs w:val="22"/>
        </w:rPr>
        <w:t xml:space="preserve">When a significant world event occurs — a geopolitical conflict, a central bank decision, a trade deal, a supply shock — a curious young investor hears about it and asks: what does this mean for my money? No tool in the Indian retail market answers that question honestly, completely, and educationally. FinnWise does.</w:t>
      </w:r>
    </w:p>
    <w:p>
      <w:pPr>
        <w:spacing w:after="0" w:before="80"/>
      </w:pPr>
      <w:r>
        <w:t xml:space="preserve"/>
      </w:r>
    </w:p>
    <w:p>
      <w:pPr>
        <w:spacing w:after="80" w:before="80"/>
      </w:pPr>
      <w:r>
        <w:rPr>
          <w:rFonts w:ascii="Arial" w:cs="Arial" w:eastAsia="Arial" w:hAnsi="Arial"/>
          <w:color w:val="64748B"/>
          <w:sz w:val="22"/>
          <w:szCs w:val="22"/>
        </w:rPr>
        <w:t xml:space="preserve">The 19-question framework that inspired this product represents the natural reasoning process of an intelligent person trying to connect a world event to a financial decision:</w:t>
      </w:r>
    </w:p>
    <w:p>
      <w:pPr>
        <w:pStyle w:val="ListParagraph"/>
        <w:numPr>
          <w:ilvl w:val="0"/>
          <w:numId w:val="2"/>
        </w:numPr>
        <w:spacing w:after="60" w:before="60"/>
      </w:pPr>
      <w:r>
        <w:rPr>
          <w:rFonts w:ascii="Arial" w:cs="Arial" w:eastAsia="Arial" w:hAnsi="Arial"/>
          <w:b w:val="false"/>
          <w:bCs w:val="false"/>
          <w:color w:val="64748B"/>
          <w:sz w:val="22"/>
          <w:szCs w:val="22"/>
        </w:rPr>
        <w:t xml:space="preserve">What happened and what does the data actually say?</w:t>
      </w:r>
    </w:p>
    <w:p>
      <w:pPr>
        <w:pStyle w:val="ListParagraph"/>
        <w:numPr>
          <w:ilvl w:val="0"/>
          <w:numId w:val="2"/>
        </w:numPr>
        <w:spacing w:after="60" w:before="60"/>
      </w:pPr>
      <w:r>
        <w:rPr>
          <w:rFonts w:ascii="Arial" w:cs="Arial" w:eastAsia="Arial" w:hAnsi="Arial"/>
          <w:b w:val="false"/>
          <w:bCs w:val="false"/>
          <w:color w:val="64748B"/>
          <w:sz w:val="22"/>
          <w:szCs w:val="22"/>
        </w:rPr>
        <w:t xml:space="preserve">Which supply chains, industries, and economies are affected and how badly?</w:t>
      </w:r>
    </w:p>
    <w:p>
      <w:pPr>
        <w:pStyle w:val="ListParagraph"/>
        <w:numPr>
          <w:ilvl w:val="0"/>
          <w:numId w:val="2"/>
        </w:numPr>
        <w:spacing w:after="60" w:before="60"/>
      </w:pPr>
      <w:r>
        <w:rPr>
          <w:rFonts w:ascii="Arial" w:cs="Arial" w:eastAsia="Arial" w:hAnsi="Arial"/>
          <w:b w:val="false"/>
          <w:bCs w:val="false"/>
          <w:color w:val="64748B"/>
          <w:sz w:val="22"/>
          <w:szCs w:val="22"/>
        </w:rPr>
        <w:t xml:space="preserve">Which businesses have alternate options and what do those options look like?</w:t>
      </w:r>
    </w:p>
    <w:p>
      <w:pPr>
        <w:pStyle w:val="ListParagraph"/>
        <w:numPr>
          <w:ilvl w:val="0"/>
          <w:numId w:val="2"/>
        </w:numPr>
        <w:spacing w:after="60" w:before="60"/>
      </w:pPr>
      <w:r>
        <w:rPr>
          <w:rFonts w:ascii="Arial" w:cs="Arial" w:eastAsia="Arial" w:hAnsi="Arial"/>
          <w:b w:val="false"/>
          <w:bCs w:val="false"/>
          <w:color w:val="64748B"/>
          <w:sz w:val="22"/>
          <w:szCs w:val="22"/>
        </w:rPr>
        <w:t xml:space="preserve">How does this translate to business performance and stock impact?</w:t>
      </w:r>
    </w:p>
    <w:p>
      <w:pPr>
        <w:pStyle w:val="ListParagraph"/>
        <w:numPr>
          <w:ilvl w:val="0"/>
          <w:numId w:val="2"/>
        </w:numPr>
        <w:spacing w:after="60" w:before="60"/>
      </w:pPr>
      <w:r>
        <w:rPr>
          <w:rFonts w:ascii="Arial" w:cs="Arial" w:eastAsia="Arial" w:hAnsi="Arial"/>
          <w:b w:val="false"/>
          <w:bCs w:val="false"/>
          <w:color w:val="64748B"/>
          <w:sz w:val="22"/>
          <w:szCs w:val="22"/>
        </w:rPr>
        <w:t xml:space="preserve">What are the signs to look for to identify opportunity and risk?</w:t>
      </w:r>
    </w:p>
    <w:p>
      <w:pPr>
        <w:pStyle w:val="ListParagraph"/>
        <w:numPr>
          <w:ilvl w:val="0"/>
          <w:numId w:val="2"/>
        </w:numPr>
        <w:spacing w:after="60" w:before="60"/>
      </w:pPr>
      <w:r>
        <w:rPr>
          <w:rFonts w:ascii="Arial" w:cs="Arial" w:eastAsia="Arial" w:hAnsi="Arial"/>
          <w:b w:val="false"/>
          <w:bCs w:val="false"/>
          <w:color w:val="64748B"/>
          <w:sz w:val="22"/>
          <w:szCs w:val="22"/>
        </w:rPr>
        <w:t xml:space="preserve">What financial instruments benefit and over what timeframe?</w:t>
      </w:r>
    </w:p>
    <w:p>
      <w:pPr>
        <w:pStyle w:val="ListParagraph"/>
        <w:numPr>
          <w:ilvl w:val="0"/>
          <w:numId w:val="2"/>
        </w:numPr>
        <w:spacing w:after="60" w:before="60"/>
      </w:pPr>
      <w:r>
        <w:rPr>
          <w:rFonts w:ascii="Arial" w:cs="Arial" w:eastAsia="Arial" w:hAnsi="Arial"/>
          <w:b w:val="false"/>
          <w:bCs w:val="false"/>
          <w:color w:val="64748B"/>
          <w:sz w:val="22"/>
          <w:szCs w:val="22"/>
        </w:rPr>
        <w:t xml:space="preserve">What signals indicate entry and exit conditions?</w:t>
      </w:r>
    </w:p>
    <w:p>
      <w:pPr>
        <w:pStyle w:val="ListParagraph"/>
        <w:numPr>
          <w:ilvl w:val="0"/>
          <w:numId w:val="2"/>
        </w:numPr>
        <w:spacing w:after="60" w:before="60"/>
      </w:pPr>
      <w:r>
        <w:rPr>
          <w:rFonts w:ascii="Arial" w:cs="Arial" w:eastAsia="Arial" w:hAnsi="Arial"/>
          <w:b w:val="false"/>
          <w:bCs w:val="false"/>
          <w:color w:val="64748B"/>
          <w:sz w:val="22"/>
          <w:szCs w:val="22"/>
        </w:rPr>
        <w:t xml:space="preserve">Which information sources are trustworthy and which carry bias?</w:t>
      </w:r>
    </w:p>
    <w:p>
      <w:pPr>
        <w:spacing w:after="0" w:before="80"/>
      </w:pPr>
      <w:r>
        <w:t xml:space="preserve"/>
      </w:r>
    </w:p>
    <w:p>
      <w:pPr>
        <w:spacing w:after="80" w:before="80"/>
      </w:pPr>
      <w:r>
        <w:rPr>
          <w:rFonts w:ascii="Arial" w:cs="Arial" w:eastAsia="Arial" w:hAnsi="Arial"/>
          <w:color w:val="64748B"/>
          <w:sz w:val="22"/>
          <w:szCs w:val="22"/>
        </w:rPr>
        <w:t xml:space="preserve">FinnWise does not answer all 19 questions for every event. It carries the spirit of those questions — honest, causal, source-attributed reasoning — in every Event Intelligence Card it produces.</w:t>
      </w:r>
    </w:p>
    <w:p>
      <w:pPr>
        <w:spacing w:after="0" w:before="80"/>
      </w:pPr>
      <w:r>
        <w:t xml:space="preserve"/>
      </w:r>
    </w:p>
    <w:p>
      <w:pPr>
        <w:pStyle w:val="Heading2"/>
        <w:pBdr>
          <w:bottom w:val="single" w:color="2E63E8" w:sz="4" w:space="4"/>
        </w:pBdr>
        <w:spacing w:after="120" w:before="300"/>
      </w:pPr>
      <w:r>
        <w:rPr>
          <w:rFonts w:ascii="Arial" w:cs="Arial" w:eastAsia="Arial" w:hAnsi="Arial"/>
          <w:b/>
          <w:bCs/>
          <w:color w:val="1A4FCC"/>
          <w:sz w:val="28"/>
          <w:szCs w:val="28"/>
        </w:rPr>
        <w:t xml:space="preserve">2.3 The Bias Problem Nobody Solves</w:t>
      </w:r>
    </w:p>
    <w:p>
      <w:pPr>
        <w:spacing w:after="80" w:before="80"/>
      </w:pPr>
      <w:r>
        <w:rPr>
          <w:rFonts w:ascii="Arial" w:cs="Arial" w:eastAsia="Arial" w:hAnsi="Arial"/>
          <w:color w:val="64748B"/>
          <w:sz w:val="22"/>
          <w:szCs w:val="22"/>
        </w:rPr>
        <w:t xml:space="preserve">AI and algorithm-driven financial tools suffer from systematic biases never disclosed to users:</w:t>
      </w:r>
    </w:p>
    <w:p>
      <w:pPr>
        <w:pStyle w:val="ListParagraph"/>
        <w:numPr>
          <w:ilvl w:val="0"/>
          <w:numId w:val="2"/>
        </w:numPr>
        <w:spacing w:after="60" w:before="60"/>
      </w:pPr>
      <w:r>
        <w:rPr>
          <w:rFonts w:ascii="Arial" w:cs="Arial" w:eastAsia="Arial" w:hAnsi="Arial"/>
          <w:b w:val="false"/>
          <w:bCs w:val="false"/>
          <w:color w:val="64748B"/>
          <w:sz w:val="22"/>
          <w:szCs w:val="22"/>
        </w:rPr>
        <w:t xml:space="preserve">Recency bias — over-weighting the last 3-6 months of data</w:t>
      </w:r>
    </w:p>
    <w:p>
      <w:pPr>
        <w:pStyle w:val="ListParagraph"/>
        <w:numPr>
          <w:ilvl w:val="0"/>
          <w:numId w:val="2"/>
        </w:numPr>
        <w:spacing w:after="60" w:before="60"/>
      </w:pPr>
      <w:r>
        <w:rPr>
          <w:rFonts w:ascii="Arial" w:cs="Arial" w:eastAsia="Arial" w:hAnsi="Arial"/>
          <w:b w:val="false"/>
          <w:bCs w:val="false"/>
          <w:color w:val="64748B"/>
          <w:sz w:val="22"/>
          <w:szCs w:val="22"/>
        </w:rPr>
        <w:t xml:space="preserve">Sector concentration bias — recommending whatever sectors have recent positive news cycles</w:t>
      </w:r>
    </w:p>
    <w:p>
      <w:pPr>
        <w:pStyle w:val="ListParagraph"/>
        <w:numPr>
          <w:ilvl w:val="0"/>
          <w:numId w:val="2"/>
        </w:numPr>
        <w:spacing w:after="60" w:before="60"/>
      </w:pPr>
      <w:r>
        <w:rPr>
          <w:rFonts w:ascii="Arial" w:cs="Arial" w:eastAsia="Arial" w:hAnsi="Arial"/>
          <w:b w:val="false"/>
          <w:bCs w:val="false"/>
          <w:color w:val="64748B"/>
          <w:sz w:val="22"/>
          <w:szCs w:val="22"/>
        </w:rPr>
        <w:t xml:space="preserve">Narrative bias — over-indexing on compelling stories without fundamental support</w:t>
      </w:r>
    </w:p>
    <w:p>
      <w:pPr>
        <w:pStyle w:val="ListParagraph"/>
        <w:numPr>
          <w:ilvl w:val="0"/>
          <w:numId w:val="2"/>
        </w:numPr>
        <w:spacing w:after="60" w:before="60"/>
      </w:pPr>
      <w:r>
        <w:rPr>
          <w:rFonts w:ascii="Arial" w:cs="Arial" w:eastAsia="Arial" w:hAnsi="Arial"/>
          <w:b w:val="false"/>
          <w:bCs w:val="false"/>
          <w:color w:val="64748B"/>
          <w:sz w:val="22"/>
          <w:szCs w:val="22"/>
        </w:rPr>
        <w:t xml:space="preserve">Editorial bias — invisible curation of which events are covered and which are not</w:t>
      </w:r>
    </w:p>
    <w:p>
      <w:pPr>
        <w:pStyle w:val="ListParagraph"/>
        <w:numPr>
          <w:ilvl w:val="0"/>
          <w:numId w:val="2"/>
        </w:numPr>
        <w:spacing w:after="60" w:before="60"/>
      </w:pPr>
      <w:r>
        <w:rPr>
          <w:rFonts w:ascii="Arial" w:cs="Arial" w:eastAsia="Arial" w:hAnsi="Arial"/>
          <w:b w:val="false"/>
          <w:bCs w:val="false"/>
          <w:color w:val="64748B"/>
          <w:sz w:val="22"/>
          <w:szCs w:val="22"/>
        </w:rPr>
        <w:t xml:space="preserve">Survivorship bias — training on stocks that still exist, ignoring companies that failed</w:t>
      </w:r>
    </w:p>
    <w:p>
      <w:pPr>
        <w:spacing w:after="0" w:before="80"/>
      </w:pPr>
      <w:r>
        <w:t xml:space="preserve"/>
      </w:r>
    </w:p>
    <w:p>
      <w:pPr>
        <w:spacing w:after="80" w:before="80"/>
      </w:pPr>
      <w:r>
        <w:rPr>
          <w:rFonts w:ascii="Arial" w:cs="Arial" w:eastAsia="Arial" w:hAnsi="Arial"/>
          <w:color w:val="64748B"/>
          <w:sz w:val="22"/>
          <w:szCs w:val="22"/>
        </w:rPr>
        <w:t xml:space="preserve">FinnWise surfaces all of these biases transparently, including its own editorial bias — a disclosure of which event categories are and are not being monitored.</w:t>
      </w:r>
    </w:p>
    <w:p>
      <w:r>
        <w:br w:type="page"/>
      </w:r>
    </w:p>
    <w:p>
      <w:pPr>
        <w:pStyle w:val="Heading1"/>
        <w:spacing w:after="160" w:before="400"/>
      </w:pPr>
      <w:r>
        <w:rPr>
          <w:rFonts w:ascii="Arial" w:cs="Arial" w:eastAsia="Arial" w:hAnsi="Arial"/>
          <w:b/>
          <w:bCs/>
          <w:color w:val="0F172A"/>
          <w:sz w:val="36"/>
          <w:szCs w:val="36"/>
        </w:rPr>
        <w:t xml:space="preserve">3. Target Users &amp; Personas</w:t>
      </w:r>
    </w:p>
    <w:p>
      <w:pPr>
        <w:pStyle w:val="Heading2"/>
        <w:pBdr>
          <w:bottom w:val="single" w:color="2E63E8" w:sz="4" w:space="4"/>
        </w:pBdr>
        <w:spacing w:after="120" w:before="300"/>
      </w:pPr>
      <w:r>
        <w:rPr>
          <w:rFonts w:ascii="Arial" w:cs="Arial" w:eastAsia="Arial" w:hAnsi="Arial"/>
          <w:b/>
          <w:bCs/>
          <w:color w:val="1A4FCC"/>
          <w:sz w:val="28"/>
          <w:szCs w:val="28"/>
        </w:rPr>
        <w:t xml:space="preserve">3.1 Design Target — The Middle of the Distribution</w:t>
      </w:r>
    </w:p>
    <w:p>
      <w:pPr>
        <w:spacing w:after="80" w:before="80"/>
      </w:pPr>
      <w:r>
        <w:rPr>
          <w:rFonts w:ascii="Arial" w:cs="Arial" w:eastAsia="Arial" w:hAnsi="Arial"/>
          <w:color w:val="64748B"/>
          <w:sz w:val="22"/>
          <w:szCs w:val="22"/>
        </w:rPr>
        <w:t xml:space="preserve">FinnWise is designed for the 40th to 60th percentile of financial literacy among young Indian professionals. Not the complete beginner who needs basic financial education. Not the expert who already has professional tools. The person who understands that stocks go up and down, has heard of Sensex and Nifty, knows inflation is bad for savings, has probably done an SIP somewhere, but cannot read a balance sheet and has never traced a geopolitical event to a specific stock.</w:t>
      </w:r>
    </w:p>
    <w:p>
      <w:pPr>
        <w:spacing w:after="0" w:before="120"/>
      </w:pPr>
      <w:r>
        <w:t xml:space="preserve"/>
      </w:r>
    </w:p>
    <w:p>
      <w:pPr>
        <w:pStyle w:val="Heading2"/>
        <w:pBdr>
          <w:bottom w:val="single" w:color="2E63E8" w:sz="4" w:space="4"/>
        </w:pBdr>
        <w:spacing w:after="120" w:before="300"/>
      </w:pPr>
      <w:r>
        <w:rPr>
          <w:rFonts w:ascii="Arial" w:cs="Arial" w:eastAsia="Arial" w:hAnsi="Arial"/>
          <w:b/>
          <w:bCs/>
          <w:color w:val="1A4FCC"/>
          <w:sz w:val="28"/>
          <w:szCs w:val="28"/>
        </w:rPr>
        <w:t xml:space="preserve">3.2 Primary Persona — The Portfolio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Name</w:t>
            </w:r>
          </w:p>
        </w:tc>
        <w:tc>
          <w:tcPr>
            <w:tcW w:type="dxa" w:w="7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Priya Sharma, 27</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Occupation</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Software engineer, 3 years into career</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Income</w:t>
            </w:r>
          </w:p>
        </w:tc>
        <w:tc>
          <w:tcPr>
            <w:tcW w:type="dxa" w:w="7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₹12–18L per annum, ₹15,000–₹30,000 investable monthly</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Status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No existing portfolio — wants to start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Frustration</w:t>
            </w:r>
          </w:p>
        </w:tc>
        <w:tc>
          <w:tcPr>
            <w:tcW w:type="dxa" w:w="7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Hears about world events, does not know what they mean for her money</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Goal</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Build a ₹20L portfolio over 5 years. Wants to understand what she owns and why</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Fear</w:t>
            </w:r>
          </w:p>
        </w:tc>
        <w:tc>
          <w:tcPr>
            <w:tcW w:type="dxa" w:w="7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Making uninformed decisions. Being misled by overconfident tools</w:t>
            </w:r>
          </w:p>
        </w:tc>
      </w:tr>
    </w:tbl>
    <w:p>
      <w:pPr>
        <w:spacing w:after="0" w:before="180"/>
      </w:pPr>
      <w:r>
        <w:t xml:space="preserve"/>
      </w:r>
    </w:p>
    <w:p>
      <w:pPr>
        <w:pStyle w:val="Heading2"/>
        <w:pBdr>
          <w:bottom w:val="single" w:color="2E63E8" w:sz="4" w:space="4"/>
        </w:pBdr>
        <w:spacing w:after="120" w:before="300"/>
      </w:pPr>
      <w:r>
        <w:rPr>
          <w:rFonts w:ascii="Arial" w:cs="Arial" w:eastAsia="Arial" w:hAnsi="Arial"/>
          <w:b/>
          <w:bCs/>
          <w:color w:val="1A4FCC"/>
          <w:sz w:val="28"/>
          <w:szCs w:val="28"/>
        </w:rPr>
        <w:t xml:space="preserve">3.3 Secondary Persona — The Portfolio Protector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Name</w:t>
            </w:r>
          </w:p>
        </w:tc>
        <w:tc>
          <w:tcPr>
            <w:tcW w:type="dxa" w:w="7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Arjun Mehta, 31</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Occupation</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Product manager, 6 years experience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Income</w:t>
            </w:r>
          </w:p>
        </w:tc>
        <w:tc>
          <w:tcPr>
            <w:tcW w:type="dxa" w:w="7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₹25–35L per annum, ₹40,000–₹80,000 investable monthly</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Status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Has SIPs and a few direct stocks — wants to protect and grow</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Frustration</w:t>
            </w:r>
          </w:p>
        </w:tc>
        <w:tc>
          <w:tcPr>
            <w:tcW w:type="dxa" w:w="7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Spends hours reading before any investment. Wants synthesised, event-driven view</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Goal</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Understand how current events affect his existing holdings. Add new positions intelligently</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Fear</w:t>
            </w:r>
          </w:p>
        </w:tc>
        <w:tc>
          <w:tcPr>
            <w:tcW w:type="dxa" w:w="7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Missing a risk signal. Making emotionally driven decisions during volatile periods</w:t>
            </w:r>
          </w:p>
        </w:tc>
      </w:tr>
    </w:tbl>
    <w:p>
      <w:pPr>
        <w:spacing w:after="0" w:before="180"/>
      </w:pPr>
      <w:r>
        <w:t xml:space="preserve"/>
      </w:r>
    </w:p>
    <w:p>
      <w:pPr>
        <w:pStyle w:val="Heading2"/>
        <w:pBdr>
          <w:bottom w:val="single" w:color="2E63E8" w:sz="4" w:space="4"/>
        </w:pBdr>
        <w:spacing w:after="120" w:before="300"/>
      </w:pPr>
      <w:r>
        <w:rPr>
          <w:rFonts w:ascii="Arial" w:cs="Arial" w:eastAsia="Arial" w:hAnsi="Arial"/>
          <w:b/>
          <w:bCs/>
          <w:color w:val="1A4FCC"/>
          <w:sz w:val="28"/>
          <w:szCs w:val="28"/>
        </w:rPr>
        <w:t xml:space="preserve">3.4 Three-Question Onboarding</w:t>
      </w:r>
    </w:p>
    <w:p>
      <w:pPr>
        <w:spacing w:after="80" w:before="80"/>
      </w:pPr>
      <w:r>
        <w:rPr>
          <w:rFonts w:ascii="Arial" w:cs="Arial" w:eastAsia="Arial" w:hAnsi="Arial"/>
          <w:color w:val="64748B"/>
          <w:sz w:val="22"/>
          <w:szCs w:val="22"/>
        </w:rPr>
        <w:t xml:space="preserve">The app distinguishes between portfolio builders and portfolio protectors through a three-question conversational onboarding — no forms, no sliders, no financial jargon:</w:t>
      </w:r>
    </w:p>
    <w:p>
      <w:pPr>
        <w:pStyle w:val="ListParagraph"/>
        <w:numPr>
          <w:ilvl w:val="0"/>
          <w:numId w:val="2"/>
        </w:numPr>
        <w:spacing w:after="60" w:before="60"/>
      </w:pPr>
      <w:r>
        <w:rPr>
          <w:rFonts w:ascii="Arial" w:cs="Arial" w:eastAsia="Arial" w:hAnsi="Arial"/>
          <w:b w:val="false"/>
          <w:bCs w:val="false"/>
          <w:color w:val="64748B"/>
          <w:sz w:val="22"/>
          <w:szCs w:val="22"/>
        </w:rPr>
        <w:t xml:space="preserve">Are you starting fresh or do you already have investments? (Starting fresh / I have some investments / Just curious for now)</w:t>
      </w:r>
    </w:p>
    <w:p>
      <w:pPr>
        <w:pStyle w:val="ListParagraph"/>
        <w:numPr>
          <w:ilvl w:val="0"/>
          <w:numId w:val="2"/>
        </w:numPr>
        <w:spacing w:after="60" w:before="60"/>
      </w:pPr>
      <w:r>
        <w:rPr>
          <w:rFonts w:ascii="Arial" w:cs="Arial" w:eastAsia="Arial" w:hAnsi="Arial"/>
          <w:b w:val="false"/>
          <w:bCs w:val="false"/>
          <w:color w:val="64748B"/>
          <w:sz w:val="22"/>
          <w:szCs w:val="22"/>
        </w:rPr>
        <w:t xml:space="preserve">How much are you thinking of investing — monthly or one-time? (Free text amount, monthly or lumpsum toggle)</w:t>
      </w:r>
    </w:p>
    <w:p>
      <w:pPr>
        <w:pStyle w:val="ListParagraph"/>
        <w:numPr>
          <w:ilvl w:val="0"/>
          <w:numId w:val="2"/>
        </w:numPr>
        <w:spacing w:after="60" w:before="60"/>
      </w:pPr>
      <w:r>
        <w:rPr>
          <w:rFonts w:ascii="Arial" w:cs="Arial" w:eastAsia="Arial" w:hAnsi="Arial"/>
          <w:b w:val="false"/>
          <w:bCs w:val="false"/>
          <w:color w:val="64748B"/>
          <w:sz w:val="22"/>
          <w:szCs w:val="22"/>
        </w:rPr>
        <w:t xml:space="preserve">How long are you thinking of staying invested? (Under 1 year / 1–3 years / 3–7 years / 7 years or more)</w:t>
      </w:r>
    </w:p>
    <w:p>
      <w:pPr>
        <w:spacing w:after="0" w:before="80"/>
      </w:pPr>
      <w:r>
        <w:t xml:space="preserve"/>
      </w:r>
    </w:p>
    <w:p>
      <w:pPr>
        <w:spacing w:after="80" w:before="80"/>
      </w:pPr>
      <w:r>
        <w:rPr>
          <w:rFonts w:ascii="Arial" w:cs="Arial" w:eastAsia="Arial" w:hAnsi="Arial"/>
          <w:color w:val="64748B"/>
          <w:sz w:val="22"/>
          <w:szCs w:val="22"/>
        </w:rPr>
        <w:t xml:space="preserve">From these three answers the app detects which mode the user is in. Portfolio builders see The Map first — sector learning before instrument selection. Portfolio protectors see The Pulse first — events affecting what is already at stake.</w:t>
      </w:r>
    </w:p>
    <w:p>
      <w:r>
        <w:br w:type="page"/>
      </w:r>
    </w:p>
    <w:p>
      <w:pPr>
        <w:pStyle w:val="Heading1"/>
        <w:spacing w:after="160" w:before="400"/>
      </w:pPr>
      <w:r>
        <w:rPr>
          <w:rFonts w:ascii="Arial" w:cs="Arial" w:eastAsia="Arial" w:hAnsi="Arial"/>
          <w:b/>
          <w:bCs/>
          <w:color w:val="0F172A"/>
          <w:sz w:val="36"/>
          <w:szCs w:val="36"/>
        </w:rPr>
        <w:t xml:space="preserve">4. Product Architecture — Five Surfaces</w:t>
      </w:r>
    </w:p>
    <w:p>
      <w:pPr>
        <w:spacing w:after="80" w:before="80"/>
      </w:pPr>
      <w:r>
        <w:rPr>
          <w:rFonts w:ascii="Arial" w:cs="Arial" w:eastAsia="Arial" w:hAnsi="Arial"/>
          <w:color w:val="64748B"/>
          <w:sz w:val="22"/>
          <w:szCs w:val="22"/>
        </w:rPr>
        <w:t xml:space="preserve">FinnWise is a web application with five distinct surfaces. Navigation on desktop uses a left sidebar that collapses to a top navigation bar on mobile. The app is fully responsive and usable on both desktop browsers and mobile browsers.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Surface</w:t>
            </w:r>
          </w:p>
        </w:tc>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Primary Purpose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1</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The Pulse</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Home screen. Personalised event feed. Financial implication leads, event is context. Fast user entry point.</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2</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The Thread</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Full Event Intelligence Card. The core product experience. ICE Stack — Insight, Context, Evidence. Living Card.</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3</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The Map</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Sector learning layer. Navigable by sector. Preparation layer for event-driven learning.</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4</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The Mirror</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Personal learning history. Prediction tracking. Reasoning gap analysis. Accountability layer.</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5</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The Lens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Deliberate research mode. On-demand Event Intelligence Card generation. Slow, deep user surface.</w:t>
            </w:r>
          </w:p>
        </w:tc>
      </w:tr>
    </w:tbl>
    <w:p>
      <w:pPr>
        <w:spacing w:after="0" w:before="200"/>
      </w:pPr>
      <w:r>
        <w:t xml:space="preserve"/>
      </w:r>
    </w:p>
    <w:p>
      <w:pPr>
        <w:pStyle w:val="Heading2"/>
        <w:pBdr>
          <w:bottom w:val="single" w:color="2E63E8" w:sz="4" w:space="4"/>
        </w:pBdr>
        <w:spacing w:after="120" w:before="300"/>
      </w:pPr>
      <w:r>
        <w:rPr>
          <w:rFonts w:ascii="Arial" w:cs="Arial" w:eastAsia="Arial" w:hAnsi="Arial"/>
          <w:b/>
          <w:bCs/>
          <w:color w:val="1A4FCC"/>
          <w:sz w:val="28"/>
          <w:szCs w:val="28"/>
        </w:rPr>
        <w:t xml:space="preserve">4.1 The Pulse — Design Specification</w:t>
      </w:r>
    </w:p>
    <w:p>
      <w:pPr>
        <w:spacing w:after="80" w:before="80"/>
      </w:pPr>
      <w:r>
        <w:rPr>
          <w:rFonts w:ascii="Arial" w:cs="Arial" w:eastAsia="Arial" w:hAnsi="Arial"/>
          <w:color w:val="64748B"/>
          <w:sz w:val="22"/>
          <w:szCs w:val="22"/>
        </w:rPr>
        <w:t xml:space="preserve">Two-column layout on desktop. Left column: event feed. Right column: live insight panel updating as user selects a card. Single column on mobile.</w:t>
      </w:r>
    </w:p>
    <w:p>
      <w:pPr>
        <w:spacing w:after="0" w:before="80"/>
      </w:pPr>
      <w:r>
        <w:t xml:space="preserve"/>
      </w:r>
    </w:p>
    <w:p>
      <w:pPr>
        <w:spacing w:after="80" w:before="80"/>
      </w:pPr>
      <w:r>
        <w:rPr>
          <w:rFonts w:ascii="Arial" w:cs="Arial" w:eastAsia="Arial" w:hAnsi="Arial"/>
          <w:color w:val="64748B"/>
          <w:sz w:val="22"/>
          <w:szCs w:val="22"/>
        </w:rPr>
        <w:t xml:space="preserve">Card language rule — financial implication leads, event is context. Not: 'Strait of Hormuz closes.' Instead: 'Domestic oil producers stand to gain. Aviation, paint, and logistics face real margin pressure.'</w:t>
      </w:r>
    </w:p>
    <w:p>
      <w:pPr>
        <w:spacing w:after="0" w:before="80"/>
      </w:pPr>
      <w:r>
        <w:t xml:space="preserve"/>
      </w:r>
    </w:p>
    <w:p>
      <w:pPr>
        <w:spacing w:after="80" w:before="80"/>
      </w:pPr>
      <w:r>
        <w:rPr>
          <w:rFonts w:ascii="Arial" w:cs="Arial" w:eastAsia="Arial" w:hAnsi="Arial"/>
          <w:color w:val="64748B"/>
          <w:sz w:val="22"/>
          <w:szCs w:val="22"/>
        </w:rPr>
        <w:t xml:space="preserve">Each event card displays:</w:t>
      </w:r>
    </w:p>
    <w:p>
      <w:pPr>
        <w:pStyle w:val="ListParagraph"/>
        <w:numPr>
          <w:ilvl w:val="0"/>
          <w:numId w:val="2"/>
        </w:numPr>
        <w:spacing w:after="60" w:before="60"/>
      </w:pPr>
      <w:r>
        <w:rPr>
          <w:rFonts w:ascii="Arial" w:cs="Arial" w:eastAsia="Arial" w:hAnsi="Arial"/>
          <w:b w:val="false"/>
          <w:bCs w:val="false"/>
          <w:color w:val="64748B"/>
          <w:sz w:val="22"/>
          <w:szCs w:val="22"/>
        </w:rPr>
        <w:t xml:space="preserve">Financial implication headline — plain English, consequence-first</w:t>
      </w:r>
    </w:p>
    <w:p>
      <w:pPr>
        <w:pStyle w:val="ListParagraph"/>
        <w:numPr>
          <w:ilvl w:val="0"/>
          <w:numId w:val="2"/>
        </w:numPr>
        <w:spacing w:after="60" w:before="60"/>
      </w:pPr>
      <w:r>
        <w:rPr>
          <w:rFonts w:ascii="Arial" w:cs="Arial" w:eastAsia="Arial" w:hAnsi="Arial"/>
          <w:b w:val="false"/>
          <w:bCs w:val="false"/>
          <w:color w:val="64748B"/>
          <w:sz w:val="22"/>
          <w:szCs w:val="22"/>
        </w:rPr>
        <w:t xml:space="preserve">One-sentence event context — what happened and why it matters</w:t>
      </w:r>
    </w:p>
    <w:p>
      <w:pPr>
        <w:pStyle w:val="ListParagraph"/>
        <w:numPr>
          <w:ilvl w:val="0"/>
          <w:numId w:val="2"/>
        </w:numPr>
        <w:spacing w:after="60" w:before="60"/>
      </w:pPr>
      <w:r>
        <w:rPr>
          <w:rFonts w:ascii="Arial" w:cs="Arial" w:eastAsia="Arial" w:hAnsi="Arial"/>
          <w:b w:val="false"/>
          <w:bCs w:val="false"/>
          <w:color w:val="64748B"/>
          <w:sz w:val="22"/>
          <w:szCs w:val="22"/>
        </w:rPr>
        <w:t xml:space="preserve">Event category tag — geopolitical, RBI policy, trade policy, macro, corporate</w:t>
      </w:r>
    </w:p>
    <w:p>
      <w:pPr>
        <w:pStyle w:val="ListParagraph"/>
        <w:numPr>
          <w:ilvl w:val="0"/>
          <w:numId w:val="2"/>
        </w:numPr>
        <w:spacing w:after="60" w:before="60"/>
      </w:pPr>
      <w:r>
        <w:rPr>
          <w:rFonts w:ascii="Arial" w:cs="Arial" w:eastAsia="Arial" w:hAnsi="Arial"/>
          <w:b w:val="false"/>
          <w:bCs w:val="false"/>
          <w:color w:val="64748B"/>
          <w:sz w:val="22"/>
          <w:szCs w:val="22"/>
        </w:rPr>
        <w:t xml:space="preserve">Time horizon tag — short-term signal, long-term signal, or both</w:t>
      </w:r>
    </w:p>
    <w:p>
      <w:pPr>
        <w:pStyle w:val="ListParagraph"/>
        <w:numPr>
          <w:ilvl w:val="0"/>
          <w:numId w:val="2"/>
        </w:numPr>
        <w:spacing w:after="60" w:before="60"/>
      </w:pPr>
      <w:r>
        <w:rPr>
          <w:rFonts w:ascii="Arial" w:cs="Arial" w:eastAsia="Arial" w:hAnsi="Arial"/>
          <w:b w:val="false"/>
          <w:bCs w:val="false"/>
          <w:color w:val="64748B"/>
          <w:sz w:val="22"/>
          <w:szCs w:val="22"/>
        </w:rPr>
        <w:t xml:space="preserve">Direction confidence dot — blue (high), amber (moderate), grey (uncertain)</w:t>
      </w:r>
    </w:p>
    <w:p>
      <w:pPr>
        <w:pStyle w:val="ListParagraph"/>
        <w:numPr>
          <w:ilvl w:val="0"/>
          <w:numId w:val="2"/>
        </w:numPr>
        <w:spacing w:after="60" w:before="60"/>
      </w:pPr>
      <w:r>
        <w:rPr>
          <w:rFonts w:ascii="Arial" w:cs="Arial" w:eastAsia="Arial" w:hAnsi="Arial"/>
          <w:b w:val="false"/>
          <w:bCs w:val="false"/>
          <w:color w:val="64748B"/>
          <w:sz w:val="22"/>
          <w:szCs w:val="22"/>
        </w:rPr>
        <w:t xml:space="preserve">Magnitude confidence dot — separate from direction, separately labelled</w:t>
      </w:r>
    </w:p>
    <w:p>
      <w:pPr>
        <w:pStyle w:val="ListParagraph"/>
        <w:numPr>
          <w:ilvl w:val="0"/>
          <w:numId w:val="2"/>
        </w:numPr>
        <w:spacing w:after="60" w:before="60"/>
      </w:pPr>
      <w:r>
        <w:rPr>
          <w:rFonts w:ascii="Arial" w:cs="Arial" w:eastAsia="Arial" w:hAnsi="Arial"/>
          <w:b w:val="false"/>
          <w:bCs w:val="false"/>
          <w:color w:val="64748B"/>
          <w:sz w:val="22"/>
          <w:szCs w:val="22"/>
        </w:rPr>
        <w:t xml:space="preserve">Affected instruments — stock chips showing 3–4 relevant names</w:t>
      </w:r>
    </w:p>
    <w:p>
      <w:pPr>
        <w:spacing w:after="0" w:before="80"/>
      </w:pPr>
      <w:r>
        <w:t xml:space="preserve"/>
      </w:r>
    </w:p>
    <w:p>
      <w:pPr>
        <w:spacing w:after="80" w:before="80"/>
      </w:pPr>
      <w:r>
        <w:rPr>
          <w:rFonts w:ascii="Arial" w:cs="Arial" w:eastAsia="Arial" w:hAnsi="Arial"/>
          <w:color w:val="64748B"/>
          <w:sz w:val="22"/>
          <w:szCs w:val="22"/>
        </w:rPr>
        <w:t xml:space="preserve">Fog of War mode: when three or more major events are active simultaneously, a warning banner appears above the feed before any analysis. The model declares its own limits. Users see the uncertainty flag before they see analysis, not after.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2E8F0" w:sz="1"/>
              <w:left w:val="single" w:color="E2E8F0" w:sz="1"/>
              <w:bottom w:val="single" w:color="E2E8F0" w:sz="1"/>
              <w:right w:val="single" w:color="E2E8F0" w:sz="1"/>
            </w:tcBorders>
            <w:shd w:fill="2E63E8"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DESIGN RULE</w:t>
            </w:r>
          </w:p>
        </w:tc>
        <w:tc>
          <w:tcPr>
            <w:tcW w:type="dxa" w:w="7760"/>
            <w:tcBorders>
              <w:top w:val="single" w:color="E2E8F0" w:sz="1"/>
              <w:left w:val="single" w:color="E2E8F0" w:sz="1"/>
              <w:bottom w:val="single" w:color="E2E8F0" w:sz="1"/>
              <w:right w:val="single" w:color="E2E8F0" w:sz="1"/>
            </w:tcBorders>
            <w:shd w:fill="EBF0FD" w:val="clear"/>
            <w:tcMar>
              <w:top w:type="dxa" w:w="100"/>
              <w:left w:type="dxa" w:w="140"/>
              <w:bottom w:type="dxa" w:w="100"/>
              <w:right w:type="dxa" w:w="120"/>
            </w:tcMar>
          </w:tcPr>
          <w:p>
            <w:r>
              <w:rPr>
                <w:rFonts w:ascii="Arial" w:cs="Arial" w:eastAsia="Arial" w:hAnsi="Arial"/>
                <w:color w:val="334155"/>
                <w:sz w:val="20"/>
                <w:szCs w:val="20"/>
              </w:rPr>
              <w:t xml:space="preserve">Meaning before metric. Every financial number in the app is accompanied by its plain-English translation and its context in the same breath. The number is secondary to the meaning. This single rule prevents the fin-heavy intimidation that causes users to abandon financial apps.</w:t>
            </w:r>
          </w:p>
        </w:tc>
      </w:tr>
    </w:tbl>
    <w:p>
      <w:pPr>
        <w:spacing w:after="0" w:before="200"/>
      </w:pPr>
      <w:r>
        <w:t xml:space="preserve"/>
      </w:r>
    </w:p>
    <w:p>
      <w:pPr>
        <w:pStyle w:val="Heading2"/>
        <w:pBdr>
          <w:bottom w:val="single" w:color="2E63E8" w:sz="4" w:space="4"/>
        </w:pBdr>
        <w:spacing w:after="120" w:before="300"/>
      </w:pPr>
      <w:r>
        <w:rPr>
          <w:rFonts w:ascii="Arial" w:cs="Arial" w:eastAsia="Arial" w:hAnsi="Arial"/>
          <w:b/>
          <w:bCs/>
          <w:color w:val="1A4FCC"/>
          <w:sz w:val="28"/>
          <w:szCs w:val="28"/>
        </w:rPr>
        <w:t xml:space="preserve">4.2 The Thread — Living Card Specification</w:t>
      </w:r>
    </w:p>
    <w:p>
      <w:pPr>
        <w:spacing w:after="80" w:before="80"/>
      </w:pPr>
      <w:r>
        <w:rPr>
          <w:rFonts w:ascii="Arial" w:cs="Arial" w:eastAsia="Arial" w:hAnsi="Arial"/>
          <w:color w:val="64748B"/>
          <w:sz w:val="22"/>
          <w:szCs w:val="22"/>
        </w:rPr>
        <w:t xml:space="preserve">The Thread is the core product experience. It is a living analytical document that evolves with the event it tracks. It is not a static article published once and forgotten.</w:t>
      </w:r>
    </w:p>
    <w:p>
      <w:pPr>
        <w:spacing w:after="0" w:before="80"/>
      </w:pPr>
      <w:r>
        <w:t xml:space="preserve"/>
      </w:r>
    </w:p>
    <w:p>
      <w:pPr>
        <w:pStyle w:val="Heading3"/>
        <w:spacing w:after="100" w:before="240"/>
      </w:pPr>
      <w:r>
        <w:rPr>
          <w:rFonts w:ascii="Arial" w:cs="Arial" w:eastAsia="Arial" w:hAnsi="Arial"/>
          <w:b/>
          <w:bCs/>
          <w:color w:val="334155"/>
          <w:sz w:val="24"/>
          <w:szCs w:val="24"/>
        </w:rPr>
        <w:t xml:space="preserve">4.2.1 ICE Stack Architecture</w:t>
      </w:r>
    </w:p>
    <w:p>
      <w:pPr>
        <w:spacing w:after="80" w:before="80"/>
      </w:pPr>
      <w:r>
        <w:rPr>
          <w:rFonts w:ascii="Arial" w:cs="Arial" w:eastAsia="Arial" w:hAnsi="Arial"/>
          <w:color w:val="64748B"/>
          <w:sz w:val="22"/>
          <w:szCs w:val="22"/>
        </w:rPr>
        <w:t xml:space="preserve">Every Event Intelligence Card is structured in three layers. Users choose how deep to go.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5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Content &amp; Purpose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I</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Insight</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Plain English summary. What this means for the user's money. Instrument assessments. Entry and exit conditions. Always visible — no tap required.</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C</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Context — Causal Chain</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Numbered step-by-step causal chain from event to sector to instrument. Each step labelled with MMJ confidence tag. One tap to expand.</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Evidence &amp; Sources</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Full source table. Every number with source name, date retrieved, freshness indicator, and MMJ type. Second tap to expand.</w:t>
            </w:r>
          </w:p>
        </w:tc>
      </w:tr>
    </w:tbl>
    <w:p>
      <w:pPr>
        <w:spacing w:after="0" w:before="160"/>
      </w:pPr>
      <w:r>
        <w:t xml:space="preserve"/>
      </w:r>
    </w:p>
    <w:p>
      <w:pPr>
        <w:pStyle w:val="Heading3"/>
        <w:spacing w:after="100" w:before="240"/>
      </w:pPr>
      <w:r>
        <w:rPr>
          <w:rFonts w:ascii="Arial" w:cs="Arial" w:eastAsia="Arial" w:hAnsi="Arial"/>
          <w:b/>
          <w:bCs/>
          <w:color w:val="334155"/>
          <w:sz w:val="24"/>
          <w:szCs w:val="24"/>
        </w:rPr>
        <w:t xml:space="preserve">4.2.2 Living Card Lifecycle</w:t>
      </w:r>
    </w:p>
    <w:p>
      <w:pPr>
        <w:spacing w:after="80" w:before="80"/>
      </w:pPr>
      <w:r>
        <w:rPr>
          <w:rFonts w:ascii="Arial" w:cs="Arial" w:eastAsia="Arial" w:hAnsi="Arial"/>
          <w:color w:val="64748B"/>
          <w:sz w:val="22"/>
          <w:szCs w:val="22"/>
        </w:rPr>
        <w:t xml:space="preserve">Every card progresses through a defined lifecycle. The lifecycle state is visible to users at all times in the aside panel.</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64748B"/>
          <w:sz w:val="22"/>
          <w:szCs w:val="22"/>
        </w:rPr>
        <w:t xml:space="preserve">Draft — card being generated and reviewed, not yet visible to users</w:t>
      </w:r>
    </w:p>
    <w:p>
      <w:pPr>
        <w:pStyle w:val="ListParagraph"/>
        <w:numPr>
          <w:ilvl w:val="0"/>
          <w:numId w:val="2"/>
        </w:numPr>
        <w:spacing w:after="60" w:before="60"/>
      </w:pPr>
      <w:r>
        <w:rPr>
          <w:rFonts w:ascii="Arial" w:cs="Arial" w:eastAsia="Arial" w:hAnsi="Arial"/>
          <w:b w:val="false"/>
          <w:bCs w:val="false"/>
          <w:color w:val="64748B"/>
          <w:sz w:val="22"/>
          <w:szCs w:val="22"/>
        </w:rPr>
        <w:t xml:space="preserve">Published — card live, all signals in Pending state, track record timestamp logged</w:t>
      </w:r>
    </w:p>
    <w:p>
      <w:pPr>
        <w:pStyle w:val="ListParagraph"/>
        <w:numPr>
          <w:ilvl w:val="0"/>
          <w:numId w:val="2"/>
        </w:numPr>
        <w:spacing w:after="60" w:before="60"/>
      </w:pPr>
      <w:r>
        <w:rPr>
          <w:rFonts w:ascii="Arial" w:cs="Arial" w:eastAsia="Arial" w:hAnsi="Arial"/>
          <w:b w:val="false"/>
          <w:bCs w:val="false"/>
          <w:color w:val="64748B"/>
          <w:sz w:val="22"/>
          <w:szCs w:val="22"/>
        </w:rPr>
        <w:t xml:space="preserve">Active — event ongoing, signals being monitored, card updating</w:t>
      </w:r>
    </w:p>
    <w:p>
      <w:pPr>
        <w:pStyle w:val="ListParagraph"/>
        <w:numPr>
          <w:ilvl w:val="0"/>
          <w:numId w:val="2"/>
        </w:numPr>
        <w:spacing w:after="60" w:before="60"/>
      </w:pPr>
      <w:r>
        <w:rPr>
          <w:rFonts w:ascii="Arial" w:cs="Arial" w:eastAsia="Arial" w:hAnsi="Arial"/>
          <w:b w:val="false"/>
          <w:bCs w:val="false"/>
          <w:color w:val="64748B"/>
          <w:sz w:val="22"/>
          <w:szCs w:val="22"/>
        </w:rPr>
        <w:t xml:space="preserve">Signal Triggered — one or more signals have fired, instrument assessments updated</w:t>
      </w:r>
    </w:p>
    <w:p>
      <w:pPr>
        <w:pStyle w:val="ListParagraph"/>
        <w:numPr>
          <w:ilvl w:val="0"/>
          <w:numId w:val="2"/>
        </w:numPr>
        <w:spacing w:after="60" w:before="60"/>
      </w:pPr>
      <w:r>
        <w:rPr>
          <w:rFonts w:ascii="Arial" w:cs="Arial" w:eastAsia="Arial" w:hAnsi="Arial"/>
          <w:b w:val="false"/>
          <w:bCs w:val="false"/>
          <w:color w:val="64748B"/>
          <w:sz w:val="22"/>
          <w:szCs w:val="22"/>
        </w:rPr>
        <w:t xml:space="preserve">Thesis Confirmed — primary thesis validated by events, track record updated</w:t>
      </w:r>
    </w:p>
    <w:p>
      <w:pPr>
        <w:pStyle w:val="ListParagraph"/>
        <w:numPr>
          <w:ilvl w:val="0"/>
          <w:numId w:val="2"/>
        </w:numPr>
        <w:spacing w:after="60" w:before="60"/>
      </w:pPr>
      <w:r>
        <w:rPr>
          <w:rFonts w:ascii="Arial" w:cs="Arial" w:eastAsia="Arial" w:hAnsi="Arial"/>
          <w:b w:val="false"/>
          <w:bCs w:val="false"/>
          <w:color w:val="64748B"/>
          <w:sz w:val="22"/>
          <w:szCs w:val="22"/>
        </w:rPr>
        <w:t xml:space="preserve">Thesis Weakened — partial invalidation, card updated with honest assessment</w:t>
      </w:r>
    </w:p>
    <w:p>
      <w:pPr>
        <w:pStyle w:val="ListParagraph"/>
        <w:numPr>
          <w:ilvl w:val="0"/>
          <w:numId w:val="2"/>
        </w:numPr>
        <w:spacing w:after="60" w:before="60"/>
      </w:pPr>
      <w:r>
        <w:rPr>
          <w:rFonts w:ascii="Arial" w:cs="Arial" w:eastAsia="Arial" w:hAnsi="Arial"/>
          <w:b w:val="false"/>
          <w:bCs w:val="false"/>
          <w:color w:val="64748B"/>
          <w:sz w:val="22"/>
          <w:szCs w:val="22"/>
        </w:rPr>
        <w:t xml:space="preserve">Thesis Invalidated — analysis was wrong, stated explicitly, track record updated</w:t>
      </w:r>
    </w:p>
    <w:p>
      <w:pPr>
        <w:pStyle w:val="ListParagraph"/>
        <w:numPr>
          <w:ilvl w:val="0"/>
          <w:numId w:val="2"/>
        </w:numPr>
        <w:spacing w:after="60" w:before="60"/>
      </w:pPr>
      <w:r>
        <w:rPr>
          <w:rFonts w:ascii="Arial" w:cs="Arial" w:eastAsia="Arial" w:hAnsi="Arial"/>
          <w:b w:val="false"/>
          <w:bCs w:val="false"/>
          <w:color w:val="64748B"/>
          <w:sz w:val="22"/>
          <w:szCs w:val="22"/>
        </w:rPr>
        <w:t xml:space="preserve">Resolved — event concluded, final summary added, Mirror notifies users whose predictions can be graded</w:t>
      </w:r>
    </w:p>
    <w:p>
      <w:pPr>
        <w:pStyle w:val="ListParagraph"/>
        <w:numPr>
          <w:ilvl w:val="0"/>
          <w:numId w:val="2"/>
        </w:numPr>
        <w:spacing w:after="60" w:before="60"/>
      </w:pPr>
      <w:r>
        <w:rPr>
          <w:rFonts w:ascii="Arial" w:cs="Arial" w:eastAsia="Arial" w:hAnsi="Arial"/>
          <w:b w:val="false"/>
          <w:bCs w:val="false"/>
          <w:color w:val="64748B"/>
          <w:sz w:val="22"/>
          <w:szCs w:val="22"/>
        </w:rPr>
        <w:t xml:space="preserve">Archived — historical record, Original View always accessible</w:t>
      </w:r>
    </w:p>
    <w:p>
      <w:pPr>
        <w:spacing w:after="0" w:before="120"/>
      </w:pPr>
      <w:r>
        <w:t xml:space="preserve"/>
      </w:r>
    </w:p>
    <w:p>
      <w:pPr>
        <w:pStyle w:val="Heading3"/>
        <w:spacing w:after="100" w:before="240"/>
      </w:pPr>
      <w:r>
        <w:rPr>
          <w:rFonts w:ascii="Arial" w:cs="Arial" w:eastAsia="Arial" w:hAnsi="Arial"/>
          <w:b/>
          <w:bCs/>
          <w:color w:val="334155"/>
          <w:sz w:val="24"/>
          <w:szCs w:val="24"/>
        </w:rPr>
        <w:t xml:space="preserve">4.2.3 Two Views — Current and Original</w:t>
      </w:r>
    </w:p>
    <w:p>
      <w:pPr>
        <w:pStyle w:val="ListParagraph"/>
        <w:numPr>
          <w:ilvl w:val="0"/>
          <w:numId w:val="2"/>
        </w:numPr>
        <w:spacing w:after="60" w:before="60"/>
      </w:pPr>
      <w:r>
        <w:rPr>
          <w:rFonts w:ascii="Arial" w:cs="Arial" w:eastAsia="Arial" w:hAnsi="Arial"/>
          <w:b w:val="false"/>
          <w:bCs w:val="false"/>
          <w:color w:val="64748B"/>
          <w:sz w:val="22"/>
          <w:szCs w:val="22"/>
        </w:rPr>
        <w:t xml:space="preserve">Current View — reflects the current state of the event, signals, and instrument assessments. Updated throughout lifecycle.</w:t>
      </w:r>
    </w:p>
    <w:p>
      <w:pPr>
        <w:pStyle w:val="ListParagraph"/>
        <w:numPr>
          <w:ilvl w:val="0"/>
          <w:numId w:val="2"/>
        </w:numPr>
        <w:spacing w:after="60" w:before="60"/>
      </w:pPr>
      <w:r>
        <w:rPr>
          <w:rFonts w:ascii="Arial" w:cs="Arial" w:eastAsia="Arial" w:hAnsi="Arial"/>
          <w:b w:val="false"/>
          <w:bCs w:val="false"/>
          <w:color w:val="64748B"/>
          <w:sz w:val="22"/>
          <w:szCs w:val="22"/>
        </w:rPr>
        <w:t xml:space="preserve">Original View — immutable record of what was published on Day 1. Accessible with one tap. Never edited. Feeds the track record log.</w:t>
      </w:r>
    </w:p>
    <w:p>
      <w:pPr>
        <w:spacing w:after="0" w:before="80"/>
      </w:pPr>
      <w:r>
        <w:t xml:space="preserve"/>
      </w:r>
    </w:p>
    <w:p>
      <w:pPr>
        <w:spacing w:after="80" w:before="80"/>
      </w:pPr>
      <w:r>
        <w:rPr>
          <w:rFonts w:ascii="Arial" w:cs="Arial" w:eastAsia="Arial" w:hAnsi="Arial"/>
          <w:color w:val="64748B"/>
          <w:sz w:val="22"/>
          <w:szCs w:val="22"/>
        </w:rPr>
        <w:t xml:space="preserve">Users can compare Current View against Original View to see how the analysis evolved and where predictions proved correct or wrong.</w:t>
      </w:r>
    </w:p>
    <w:p>
      <w:pPr>
        <w:spacing w:after="0" w:before="120"/>
      </w:pPr>
      <w:r>
        <w:t xml:space="preserve"/>
      </w:r>
    </w:p>
    <w:p>
      <w:pPr>
        <w:pStyle w:val="Heading3"/>
        <w:spacing w:after="100" w:before="240"/>
      </w:pPr>
      <w:r>
        <w:rPr>
          <w:rFonts w:ascii="Arial" w:cs="Arial" w:eastAsia="Arial" w:hAnsi="Arial"/>
          <w:b/>
          <w:bCs/>
          <w:color w:val="334155"/>
          <w:sz w:val="24"/>
          <w:szCs w:val="24"/>
        </w:rPr>
        <w:t xml:space="preserve">4.2.4 Signal Consequence Map</w:t>
      </w:r>
    </w:p>
    <w:p>
      <w:pPr>
        <w:spacing w:after="80" w:before="80"/>
      </w:pPr>
      <w:r>
        <w:rPr>
          <w:rFonts w:ascii="Arial" w:cs="Arial" w:eastAsia="Arial" w:hAnsi="Arial"/>
          <w:color w:val="64748B"/>
          <w:sz w:val="22"/>
          <w:szCs w:val="22"/>
        </w:rPr>
        <w:t xml:space="preserve">The Signals to Watch panel in the Thread aside is interactive. Each signal has three states:</w:t>
      </w:r>
    </w:p>
    <w:p>
      <w:pPr>
        <w:pStyle w:val="ListParagraph"/>
        <w:numPr>
          <w:ilvl w:val="0"/>
          <w:numId w:val="2"/>
        </w:numPr>
        <w:spacing w:after="60" w:before="60"/>
      </w:pPr>
      <w:r>
        <w:rPr>
          <w:rFonts w:ascii="Arial" w:cs="Arial" w:eastAsia="Arial" w:hAnsi="Arial"/>
          <w:b w:val="false"/>
          <w:bCs w:val="false"/>
          <w:color w:val="64748B"/>
          <w:sz w:val="22"/>
          <w:szCs w:val="22"/>
        </w:rPr>
        <w:t xml:space="preserve">Pending — grey dot — signal not yet triggered, monitoring active</w:t>
      </w:r>
    </w:p>
    <w:p>
      <w:pPr>
        <w:pStyle w:val="ListParagraph"/>
        <w:numPr>
          <w:ilvl w:val="0"/>
          <w:numId w:val="2"/>
        </w:numPr>
        <w:spacing w:after="60" w:before="60"/>
      </w:pPr>
      <w:r>
        <w:rPr>
          <w:rFonts w:ascii="Arial" w:cs="Arial" w:eastAsia="Arial" w:hAnsi="Arial"/>
          <w:b w:val="false"/>
          <w:bCs w:val="false"/>
          <w:color w:val="64748B"/>
          <w:sz w:val="22"/>
          <w:szCs w:val="22"/>
        </w:rPr>
        <w:t xml:space="preserve">Triggered — amber pulsing dot — signal has fired, consequence map activates</w:t>
      </w:r>
    </w:p>
    <w:p>
      <w:pPr>
        <w:pStyle w:val="ListParagraph"/>
        <w:numPr>
          <w:ilvl w:val="0"/>
          <w:numId w:val="2"/>
        </w:numPr>
        <w:spacing w:after="60" w:before="60"/>
      </w:pPr>
      <w:r>
        <w:rPr>
          <w:rFonts w:ascii="Arial" w:cs="Arial" w:eastAsia="Arial" w:hAnsi="Arial"/>
          <w:b w:val="false"/>
          <w:bCs w:val="false"/>
          <w:color w:val="64748B"/>
          <w:sz w:val="22"/>
          <w:szCs w:val="22"/>
        </w:rPr>
        <w:t xml:space="preserve">Resolved — green dot — signal outcome confirmed, feeds track record</w:t>
      </w:r>
    </w:p>
    <w:p>
      <w:pPr>
        <w:spacing w:after="0" w:before="80"/>
      </w:pPr>
      <w:r>
        <w:t xml:space="preserve"/>
      </w:r>
    </w:p>
    <w:p>
      <w:pPr>
        <w:spacing w:after="80" w:before="80"/>
      </w:pPr>
      <w:r>
        <w:rPr>
          <w:rFonts w:ascii="Arial" w:cs="Arial" w:eastAsia="Arial" w:hAnsi="Arial"/>
          <w:color w:val="64748B"/>
          <w:sz w:val="22"/>
          <w:szCs w:val="22"/>
        </w:rPr>
        <w:t xml:space="preserve">Tapping any signal reveals the consequence map — a structured display of how that specific signal changes the assessment of each affected instrument if it fires. Consequences are shown as positive, negative, or neutral with a one-line explanation.</w:t>
      </w:r>
    </w:p>
    <w:p>
      <w:pPr>
        <w:spacing w:after="0" w:before="80"/>
      </w:pPr>
      <w:r>
        <w:t xml:space="preserve"/>
      </w:r>
    </w:p>
    <w:p>
      <w:pPr>
        <w:spacing w:after="80" w:before="80"/>
      </w:pPr>
      <w:r>
        <w:rPr>
          <w:rFonts w:ascii="Arial" w:cs="Arial" w:eastAsia="Arial" w:hAnsi="Arial"/>
          <w:color w:val="64748B"/>
          <w:sz w:val="22"/>
          <w:szCs w:val="22"/>
        </w:rPr>
        <w:t xml:space="preserve">New signals are added during the event lifecycle as the situation develops. Each new signal is labelled with the week it was added. Users see the card evolving in real time.</w:t>
      </w:r>
    </w:p>
    <w:p>
      <w:pPr>
        <w:spacing w:after="0" w:before="120"/>
      </w:pPr>
      <w:r>
        <w:t xml:space="preserve"/>
      </w:r>
    </w:p>
    <w:p>
      <w:pPr>
        <w:pStyle w:val="Heading3"/>
        <w:spacing w:after="100" w:before="240"/>
      </w:pPr>
      <w:r>
        <w:rPr>
          <w:rFonts w:ascii="Arial" w:cs="Arial" w:eastAsia="Arial" w:hAnsi="Arial"/>
          <w:b/>
          <w:bCs/>
          <w:color w:val="334155"/>
          <w:sz w:val="24"/>
          <w:szCs w:val="24"/>
        </w:rPr>
        <w:t xml:space="preserve">4.2.5 Entry and Exit Conditions</w:t>
      </w:r>
    </w:p>
    <w:p>
      <w:pPr>
        <w:spacing w:after="80" w:before="80"/>
      </w:pPr>
      <w:r>
        <w:rPr>
          <w:rFonts w:ascii="Arial" w:cs="Arial" w:eastAsia="Arial" w:hAnsi="Arial"/>
          <w:color w:val="64748B"/>
          <w:sz w:val="22"/>
          <w:szCs w:val="22"/>
        </w:rPr>
        <w:t xml:space="preserve">FinnWise never uses buy, sell, or hold language. The app never displays or implies a target price or return expectation. Instead, every instrument assessment includes entry conditions and exit conditions — analytical conditions, not investment instructions.</w:t>
      </w:r>
    </w:p>
    <w:p>
      <w:pPr>
        <w:spacing w:after="0" w:before="80"/>
      </w:pPr>
      <w:r>
        <w:t xml:space="preserve"/>
      </w:r>
    </w:p>
    <w:p>
      <w:pPr>
        <w:spacing w:after="80" w:before="80"/>
      </w:pPr>
      <w:r>
        <w:rPr>
          <w:rFonts w:ascii="Arial" w:cs="Arial" w:eastAsia="Arial" w:hAnsi="Arial"/>
          <w:color w:val="64748B"/>
          <w:sz w:val="22"/>
          <w:szCs w:val="22"/>
        </w:rPr>
        <w:t xml:space="preserve">Entry conditions state: when these specific observable facts are true simultaneously, the opportunity thesis is confirmed. Exit conditions state: when these specific observable facts become true, the thesis weakens or is invalidated.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2E8F0" w:sz="1"/>
              <w:left w:val="single" w:color="E2E8F0" w:sz="1"/>
              <w:bottom w:val="single" w:color="E2E8F0" w:sz="1"/>
              <w:right w:val="single" w:color="E2E8F0" w:sz="1"/>
            </w:tcBorders>
            <w:shd w:fill="8A500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SEBI COMPLIANCE</w:t>
            </w:r>
          </w:p>
        </w:tc>
        <w:tc>
          <w:tcPr>
            <w:tcW w:type="dxa" w:w="7760"/>
            <w:tcBorders>
              <w:top w:val="single" w:color="E2E8F0" w:sz="1"/>
              <w:left w:val="single" w:color="E2E8F0" w:sz="1"/>
              <w:bottom w:val="single" w:color="E2E8F0" w:sz="1"/>
              <w:right w:val="single" w:color="E2E8F0" w:sz="1"/>
            </w:tcBorders>
            <w:shd w:fill="FDF2E3" w:val="clear"/>
            <w:tcMar>
              <w:top w:type="dxa" w:w="100"/>
              <w:left w:type="dxa" w:w="140"/>
              <w:bottom w:type="dxa" w:w="100"/>
              <w:right w:type="dxa" w:w="120"/>
            </w:tcMar>
          </w:tcPr>
          <w:p>
            <w:r>
              <w:rPr>
                <w:rFonts w:ascii="Arial" w:cs="Arial" w:eastAsia="Arial" w:hAnsi="Arial"/>
                <w:color w:val="334155"/>
                <w:sz w:val="20"/>
                <w:szCs w:val="20"/>
              </w:rPr>
              <w:t xml:space="preserve">Entry and exit conditions are analytical conditions framed as observations about the world, not investment instructions. They are SEBI-compliant under the safe harbour framing of research analysis for educational purposes. No rupee amounts, no price targets, no return expectations appear anywhere in the app.</w:t>
            </w:r>
          </w:p>
        </w:tc>
      </w:tr>
    </w:tbl>
    <w:p>
      <w:pPr>
        <w:spacing w:after="0" w:before="120"/>
      </w:pPr>
      <w:r>
        <w:t xml:space="preserve"/>
      </w:r>
    </w:p>
    <w:p>
      <w:pPr>
        <w:pStyle w:val="Heading3"/>
        <w:spacing w:after="100" w:before="240"/>
      </w:pPr>
      <w:r>
        <w:rPr>
          <w:rFonts w:ascii="Arial" w:cs="Arial" w:eastAsia="Arial" w:hAnsi="Arial"/>
          <w:b/>
          <w:bCs/>
          <w:color w:val="334155"/>
          <w:sz w:val="24"/>
          <w:szCs w:val="24"/>
        </w:rPr>
        <w:t xml:space="preserve">4.2.6 Dissenting View</w:t>
      </w:r>
    </w:p>
    <w:p>
      <w:pPr>
        <w:spacing w:after="80" w:before="80"/>
      </w:pPr>
      <w:r>
        <w:rPr>
          <w:rFonts w:ascii="Arial" w:cs="Arial" w:eastAsia="Arial" w:hAnsi="Arial"/>
          <w:color w:val="64748B"/>
          <w:sz w:val="22"/>
          <w:szCs w:val="22"/>
        </w:rPr>
        <w:t xml:space="preserve">Every Event Intelligence Card contains a dissenting view. This is a structural requirement, not an optional feature. A card without a dissenting view is not published.</w:t>
      </w:r>
    </w:p>
    <w:p>
      <w:pPr>
        <w:spacing w:after="0" w:before="80"/>
      </w:pPr>
      <w:r>
        <w:t xml:space="preserve"/>
      </w:r>
    </w:p>
    <w:p>
      <w:pPr>
        <w:spacing w:after="80" w:before="80"/>
      </w:pPr>
      <w:r>
        <w:rPr>
          <w:rFonts w:ascii="Arial" w:cs="Arial" w:eastAsia="Arial" w:hAnsi="Arial"/>
          <w:color w:val="64748B"/>
          <w:sz w:val="22"/>
          <w:szCs w:val="22"/>
        </w:rPr>
        <w:t xml:space="preserve">The dissenting view is generated by a separate LLM call with a separate prompt that explicitly instructs the model to argue the strongest reasonable counter-case against the main thesis. It is visually distinct from the main analysis — different background, pill label reading 'dissenting view', serif title.</w:t>
      </w:r>
    </w:p>
    <w:p>
      <w:pPr>
        <w:spacing w:after="0" w:before="120"/>
      </w:pPr>
      <w:r>
        <w:t xml:space="preserve"/>
      </w:r>
    </w:p>
    <w:p>
      <w:pPr>
        <w:pStyle w:val="Heading3"/>
        <w:spacing w:after="100" w:before="240"/>
      </w:pPr>
      <w:r>
        <w:rPr>
          <w:rFonts w:ascii="Arial" w:cs="Arial" w:eastAsia="Arial" w:hAnsi="Arial"/>
          <w:b/>
          <w:bCs/>
          <w:color w:val="334155"/>
          <w:sz w:val="24"/>
          <w:szCs w:val="24"/>
        </w:rPr>
        <w:t xml:space="preserve">4.2.7 Framework Behind This</w:t>
      </w:r>
    </w:p>
    <w:p>
      <w:pPr>
        <w:spacing w:after="80" w:before="80"/>
      </w:pPr>
      <w:r>
        <w:rPr>
          <w:rFonts w:ascii="Arial" w:cs="Arial" w:eastAsia="Arial" w:hAnsi="Arial"/>
          <w:color w:val="64748B"/>
          <w:sz w:val="22"/>
          <w:szCs w:val="22"/>
        </w:rPr>
        <w:t xml:space="preserve">Every Thread ends with a plain-English description of the reasoning framework used in the analysis. This section is designed to transfer the mental model to the user so they can apply it independently to future events the app has not covered.</w:t>
      </w:r>
    </w:p>
    <w:p>
      <w:pPr>
        <w:spacing w:after="0" w:before="80"/>
      </w:pPr>
      <w:r>
        <w:t xml:space="preserve"/>
      </w:r>
    </w:p>
    <w:p>
      <w:pPr>
        <w:spacing w:after="80" w:before="80"/>
      </w:pPr>
      <w:r>
        <w:rPr>
          <w:rFonts w:ascii="Arial" w:cs="Arial" w:eastAsia="Arial" w:hAnsi="Arial"/>
          <w:color w:val="64748B"/>
          <w:sz w:val="22"/>
          <w:szCs w:val="22"/>
        </w:rPr>
        <w:t xml:space="preserve">The Framework Behind This is generated by a third, separate LLM call. Its purpose is not to summarise the analysis — it is to extract and name the transferable reasoning pattern. Example: the supply shock framework, the rate cycle framework, the trade deal dependency framework.</w:t>
      </w:r>
    </w:p>
    <w:p>
      <w:pPr>
        <w:spacing w:after="0" w:before="120"/>
      </w:pPr>
      <w:r>
        <w:t xml:space="preserve"/>
      </w:r>
    </w:p>
    <w:p>
      <w:pPr>
        <w:pStyle w:val="Heading3"/>
        <w:spacing w:after="100" w:before="240"/>
      </w:pPr>
      <w:r>
        <w:rPr>
          <w:rFonts w:ascii="Arial" w:cs="Arial" w:eastAsia="Arial" w:hAnsi="Arial"/>
          <w:b/>
          <w:bCs/>
          <w:color w:val="334155"/>
          <w:sz w:val="24"/>
          <w:szCs w:val="24"/>
        </w:rPr>
        <w:t xml:space="preserve">4.2.8 Prediction Logger</w:t>
      </w:r>
    </w:p>
    <w:p>
      <w:pPr>
        <w:spacing w:after="80" w:before="80"/>
      </w:pPr>
      <w:r>
        <w:rPr>
          <w:rFonts w:ascii="Arial" w:cs="Arial" w:eastAsia="Arial" w:hAnsi="Arial"/>
          <w:color w:val="64748B"/>
          <w:sz w:val="22"/>
          <w:szCs w:val="22"/>
        </w:rPr>
        <w:t xml:space="preserve">Every card includes a prediction prompt before the full analysis is revealed in the Context tab. The user is invited to form a view first. Predictions are logged with timestamp and reviewed against outcomes at three levels:</w:t>
      </w:r>
    </w:p>
    <w:p>
      <w:pPr>
        <w:pStyle w:val="ListParagraph"/>
        <w:numPr>
          <w:ilvl w:val="0"/>
          <w:numId w:val="2"/>
        </w:numPr>
        <w:spacing w:after="60" w:before="60"/>
      </w:pPr>
      <w:r>
        <w:rPr>
          <w:rFonts w:ascii="Arial" w:cs="Arial" w:eastAsia="Arial" w:hAnsi="Arial"/>
          <w:b w:val="false"/>
          <w:bCs w:val="false"/>
          <w:color w:val="64748B"/>
          <w:sz w:val="22"/>
          <w:szCs w:val="22"/>
        </w:rPr>
        <w:t xml:space="preserve">Mechanism — did the causal chain the user identified prove correct?</w:t>
      </w:r>
    </w:p>
    <w:p>
      <w:pPr>
        <w:pStyle w:val="ListParagraph"/>
        <w:numPr>
          <w:ilvl w:val="0"/>
          <w:numId w:val="2"/>
        </w:numPr>
        <w:spacing w:after="60" w:before="60"/>
      </w:pPr>
      <w:r>
        <w:rPr>
          <w:rFonts w:ascii="Arial" w:cs="Arial" w:eastAsia="Arial" w:hAnsi="Arial"/>
          <w:b w:val="false"/>
          <w:bCs w:val="false"/>
          <w:color w:val="64748B"/>
          <w:sz w:val="22"/>
          <w:szCs w:val="22"/>
        </w:rPr>
        <w:t xml:space="preserve">Business impact — did the business-level consequence materialise?</w:t>
      </w:r>
    </w:p>
    <w:p>
      <w:pPr>
        <w:pStyle w:val="ListParagraph"/>
        <w:numPr>
          <w:ilvl w:val="0"/>
          <w:numId w:val="2"/>
        </w:numPr>
        <w:spacing w:after="60" w:before="60"/>
      </w:pPr>
      <w:r>
        <w:rPr>
          <w:rFonts w:ascii="Arial" w:cs="Arial" w:eastAsia="Arial" w:hAnsi="Arial"/>
          <w:b w:val="false"/>
          <w:bCs w:val="false"/>
          <w:color w:val="64748B"/>
          <w:sz w:val="22"/>
          <w:szCs w:val="22"/>
        </w:rPr>
        <w:t xml:space="preserve">Market reaction — did the stock price reflect the analysis in the expected timeframe?</w:t>
      </w:r>
    </w:p>
    <w:p>
      <w:pPr>
        <w:spacing w:after="0" w:before="80"/>
      </w:pPr>
      <w:r>
        <w:t xml:space="preserve"/>
      </w:r>
    </w:p>
    <w:p>
      <w:pPr>
        <w:spacing w:after="80" w:before="80"/>
      </w:pPr>
      <w:r>
        <w:rPr>
          <w:rFonts w:ascii="Arial" w:cs="Arial" w:eastAsia="Arial" w:hAnsi="Arial"/>
          <w:color w:val="64748B"/>
          <w:sz w:val="22"/>
          <w:szCs w:val="22"/>
        </w:rPr>
        <w:t xml:space="preserve">Being right at mechanism level and wrong at market reaction level is tracked and explained separately. This teaches users the crucial lesson: being right about fundamentals does not guarantee being right about near-term price movements.</w:t>
      </w:r>
    </w:p>
    <w:p>
      <w:r>
        <w:br w:type="page"/>
      </w:r>
    </w:p>
    <w:p>
      <w:pPr>
        <w:pStyle w:val="Heading2"/>
        <w:pBdr>
          <w:bottom w:val="single" w:color="2E63E8" w:sz="4" w:space="4"/>
        </w:pBdr>
        <w:spacing w:after="120" w:before="300"/>
      </w:pPr>
      <w:r>
        <w:rPr>
          <w:rFonts w:ascii="Arial" w:cs="Arial" w:eastAsia="Arial" w:hAnsi="Arial"/>
          <w:b/>
          <w:bCs/>
          <w:color w:val="1A4FCC"/>
          <w:sz w:val="28"/>
          <w:szCs w:val="28"/>
        </w:rPr>
        <w:t xml:space="preserve">4.3 The Map — Sector Learning Layer</w:t>
      </w:r>
    </w:p>
    <w:p>
      <w:pPr>
        <w:spacing w:after="80" w:before="80"/>
      </w:pPr>
      <w:r>
        <w:rPr>
          <w:rFonts w:ascii="Arial" w:cs="Arial" w:eastAsia="Arial" w:hAnsi="Arial"/>
          <w:color w:val="64748B"/>
          <w:sz w:val="22"/>
          <w:szCs w:val="22"/>
        </w:rPr>
        <w:t xml:space="preserve">The Map is a navigable representation of the Indian economy across eight major sectors. It is the preparation layer — users who learn a sector's structure are dramatically better prepared when an event card arrives that affects it.</w:t>
      </w:r>
    </w:p>
    <w:p>
      <w:pPr>
        <w:spacing w:after="0" w:before="80"/>
      </w:pPr>
      <w:r>
        <w:t xml:space="preserve"/>
      </w:r>
    </w:p>
    <w:p>
      <w:pPr>
        <w:spacing w:after="80" w:before="80"/>
      </w:pPr>
      <w:r>
        <w:rPr>
          <w:rFonts w:ascii="Arial" w:cs="Arial" w:eastAsia="Arial" w:hAnsi="Arial"/>
          <w:color w:val="64748B"/>
          <w:sz w:val="22"/>
          <w:szCs w:val="22"/>
        </w:rPr>
        <w:t xml:space="preserve">Each sector module contains five components:</w:t>
      </w:r>
    </w:p>
    <w:p>
      <w:pPr>
        <w:pStyle w:val="ListParagraph"/>
        <w:numPr>
          <w:ilvl w:val="0"/>
          <w:numId w:val="2"/>
        </w:numPr>
        <w:spacing w:after="60" w:before="60"/>
      </w:pPr>
      <w:r>
        <w:rPr>
          <w:rFonts w:ascii="Arial" w:cs="Arial" w:eastAsia="Arial" w:hAnsi="Arial"/>
          <w:b w:val="false"/>
          <w:bCs w:val="false"/>
          <w:color w:val="64748B"/>
          <w:sz w:val="22"/>
          <w:szCs w:val="22"/>
        </w:rPr>
        <w:t xml:space="preserve">What the sector does in the Indian economy — GDP share, market cap, employment context</w:t>
      </w:r>
    </w:p>
    <w:p>
      <w:pPr>
        <w:pStyle w:val="ListParagraph"/>
        <w:numPr>
          <w:ilvl w:val="0"/>
          <w:numId w:val="2"/>
        </w:numPr>
        <w:spacing w:after="60" w:before="60"/>
      </w:pPr>
      <w:r>
        <w:rPr>
          <w:rFonts w:ascii="Arial" w:cs="Arial" w:eastAsia="Arial" w:hAnsi="Arial"/>
          <w:b w:val="false"/>
          <w:bCs w:val="false"/>
          <w:color w:val="64748B"/>
          <w:sz w:val="22"/>
          <w:szCs w:val="22"/>
        </w:rPr>
        <w:t xml:space="preserve">What macro factors drive it — the two or three variables that explain 80% of its performance</w:t>
      </w:r>
    </w:p>
    <w:p>
      <w:pPr>
        <w:pStyle w:val="ListParagraph"/>
        <w:numPr>
          <w:ilvl w:val="0"/>
          <w:numId w:val="2"/>
        </w:numPr>
        <w:spacing w:after="60" w:before="60"/>
      </w:pPr>
      <w:r>
        <w:rPr>
          <w:rFonts w:ascii="Arial" w:cs="Arial" w:eastAsia="Arial" w:hAnsi="Arial"/>
          <w:b w:val="false"/>
          <w:bCs w:val="false"/>
          <w:color w:val="64748B"/>
          <w:sz w:val="22"/>
          <w:szCs w:val="22"/>
        </w:rPr>
        <w:t xml:space="preserve">Who the major players are — the dominant listed companies and what differentiates them</w:t>
      </w:r>
    </w:p>
    <w:p>
      <w:pPr>
        <w:pStyle w:val="ListParagraph"/>
        <w:numPr>
          <w:ilvl w:val="0"/>
          <w:numId w:val="2"/>
        </w:numPr>
        <w:spacing w:after="60" w:before="60"/>
      </w:pPr>
      <w:r>
        <w:rPr>
          <w:rFonts w:ascii="Arial" w:cs="Arial" w:eastAsia="Arial" w:hAnsi="Arial"/>
          <w:b w:val="false"/>
          <w:bCs w:val="false"/>
          <w:color w:val="64748B"/>
          <w:sz w:val="22"/>
          <w:szCs w:val="22"/>
        </w:rPr>
        <w:t xml:space="preserve">Historical patterns — how the sector has behaved in previous cycles of its key macro driver</w:t>
      </w:r>
    </w:p>
    <w:p>
      <w:pPr>
        <w:pStyle w:val="ListParagraph"/>
        <w:numPr>
          <w:ilvl w:val="0"/>
          <w:numId w:val="2"/>
        </w:numPr>
        <w:spacing w:after="60" w:before="60"/>
      </w:pPr>
      <w:r>
        <w:rPr>
          <w:rFonts w:ascii="Arial" w:cs="Arial" w:eastAsia="Arial" w:hAnsi="Arial"/>
          <w:b w:val="false"/>
          <w:bCs w:val="false"/>
          <w:color w:val="64748B"/>
          <w:sz w:val="22"/>
          <w:szCs w:val="22"/>
        </w:rPr>
        <w:t xml:space="preserve">What to watch for — leading indicators that signal the sector is about to move</w:t>
      </w:r>
    </w:p>
    <w:p>
      <w:pPr>
        <w:spacing w:after="0" w:before="80"/>
      </w:pPr>
      <w:r>
        <w:t xml:space="preserve"/>
      </w:r>
    </w:p>
    <w:p>
      <w:pPr>
        <w:spacing w:after="80" w:before="80"/>
      </w:pPr>
      <w:r>
        <w:rPr>
          <w:rFonts w:ascii="Arial" w:cs="Arial" w:eastAsia="Arial" w:hAnsi="Arial"/>
          <w:color w:val="64748B"/>
          <w:sz w:val="22"/>
          <w:szCs w:val="22"/>
        </w:rPr>
        <w:t xml:space="preserve">The eight sectors in V1:</w:t>
      </w:r>
    </w:p>
    <w:p>
      <w:pPr>
        <w:pStyle w:val="ListParagraph"/>
        <w:numPr>
          <w:ilvl w:val="0"/>
          <w:numId w:val="2"/>
        </w:numPr>
        <w:spacing w:after="60" w:before="60"/>
      </w:pPr>
      <w:r>
        <w:rPr>
          <w:rFonts w:ascii="Arial" w:cs="Arial" w:eastAsia="Arial" w:hAnsi="Arial"/>
          <w:b w:val="false"/>
          <w:bCs w:val="false"/>
          <w:color w:val="64748B"/>
          <w:sz w:val="22"/>
          <w:szCs w:val="22"/>
        </w:rPr>
        <w:t xml:space="preserve">Banking and Financial Services</w:t>
      </w:r>
    </w:p>
    <w:p>
      <w:pPr>
        <w:pStyle w:val="ListParagraph"/>
        <w:numPr>
          <w:ilvl w:val="0"/>
          <w:numId w:val="2"/>
        </w:numPr>
        <w:spacing w:after="60" w:before="60"/>
      </w:pPr>
      <w:r>
        <w:rPr>
          <w:rFonts w:ascii="Arial" w:cs="Arial" w:eastAsia="Arial" w:hAnsi="Arial"/>
          <w:b w:val="false"/>
          <w:bCs w:val="false"/>
          <w:color w:val="64748B"/>
          <w:sz w:val="22"/>
          <w:szCs w:val="22"/>
        </w:rPr>
        <w:t xml:space="preserve">Energy — oil, gas, and renewables</w:t>
      </w:r>
    </w:p>
    <w:p>
      <w:pPr>
        <w:pStyle w:val="ListParagraph"/>
        <w:numPr>
          <w:ilvl w:val="0"/>
          <w:numId w:val="2"/>
        </w:numPr>
        <w:spacing w:after="60" w:before="60"/>
      </w:pPr>
      <w:r>
        <w:rPr>
          <w:rFonts w:ascii="Arial" w:cs="Arial" w:eastAsia="Arial" w:hAnsi="Arial"/>
          <w:b w:val="false"/>
          <w:bCs w:val="false"/>
          <w:color w:val="64748B"/>
          <w:sz w:val="22"/>
          <w:szCs w:val="22"/>
        </w:rPr>
        <w:t xml:space="preserve">Information Technology</w:t>
      </w:r>
    </w:p>
    <w:p>
      <w:pPr>
        <w:pStyle w:val="ListParagraph"/>
        <w:numPr>
          <w:ilvl w:val="0"/>
          <w:numId w:val="2"/>
        </w:numPr>
        <w:spacing w:after="60" w:before="60"/>
      </w:pPr>
      <w:r>
        <w:rPr>
          <w:rFonts w:ascii="Arial" w:cs="Arial" w:eastAsia="Arial" w:hAnsi="Arial"/>
          <w:b w:val="false"/>
          <w:bCs w:val="false"/>
          <w:color w:val="64748B"/>
          <w:sz w:val="22"/>
          <w:szCs w:val="22"/>
        </w:rPr>
        <w:t xml:space="preserve">Consumer Staples and FMCG</w:t>
      </w:r>
    </w:p>
    <w:p>
      <w:pPr>
        <w:pStyle w:val="ListParagraph"/>
        <w:numPr>
          <w:ilvl w:val="0"/>
          <w:numId w:val="2"/>
        </w:numPr>
        <w:spacing w:after="60" w:before="60"/>
      </w:pPr>
      <w:r>
        <w:rPr>
          <w:rFonts w:ascii="Arial" w:cs="Arial" w:eastAsia="Arial" w:hAnsi="Arial"/>
          <w:b w:val="false"/>
          <w:bCs w:val="false"/>
          <w:color w:val="64748B"/>
          <w:sz w:val="22"/>
          <w:szCs w:val="22"/>
        </w:rPr>
        <w:t xml:space="preserve">Industrials and Infrastructure</w:t>
      </w:r>
    </w:p>
    <w:p>
      <w:pPr>
        <w:pStyle w:val="ListParagraph"/>
        <w:numPr>
          <w:ilvl w:val="0"/>
          <w:numId w:val="2"/>
        </w:numPr>
        <w:spacing w:after="60" w:before="60"/>
      </w:pPr>
      <w:r>
        <w:rPr>
          <w:rFonts w:ascii="Arial" w:cs="Arial" w:eastAsia="Arial" w:hAnsi="Arial"/>
          <w:b w:val="false"/>
          <w:bCs w:val="false"/>
          <w:color w:val="64748B"/>
          <w:sz w:val="22"/>
          <w:szCs w:val="22"/>
        </w:rPr>
        <w:t xml:space="preserve">Healthcare and Pharmaceuticals</w:t>
      </w:r>
    </w:p>
    <w:p>
      <w:pPr>
        <w:pStyle w:val="ListParagraph"/>
        <w:numPr>
          <w:ilvl w:val="0"/>
          <w:numId w:val="2"/>
        </w:numPr>
        <w:spacing w:after="60" w:before="60"/>
      </w:pPr>
      <w:r>
        <w:rPr>
          <w:rFonts w:ascii="Arial" w:cs="Arial" w:eastAsia="Arial" w:hAnsi="Arial"/>
          <w:b w:val="false"/>
          <w:bCs w:val="false"/>
          <w:color w:val="64748B"/>
          <w:sz w:val="22"/>
          <w:szCs w:val="22"/>
        </w:rPr>
        <w:t xml:space="preserve">Real Estate and Construction</w:t>
      </w:r>
    </w:p>
    <w:p>
      <w:pPr>
        <w:pStyle w:val="ListParagraph"/>
        <w:numPr>
          <w:ilvl w:val="0"/>
          <w:numId w:val="2"/>
        </w:numPr>
        <w:spacing w:after="60" w:before="60"/>
      </w:pPr>
      <w:r>
        <w:rPr>
          <w:rFonts w:ascii="Arial" w:cs="Arial" w:eastAsia="Arial" w:hAnsi="Arial"/>
          <w:b w:val="false"/>
          <w:bCs w:val="false"/>
          <w:color w:val="64748B"/>
          <w:sz w:val="22"/>
          <w:szCs w:val="22"/>
        </w:rPr>
        <w:t xml:space="preserve">Agriculture and Food Processing</w:t>
      </w:r>
    </w:p>
    <w:p>
      <w:pPr>
        <w:spacing w:after="0" w:before="80"/>
      </w:pPr>
      <w:r>
        <w:t xml:space="preserve"/>
      </w:r>
    </w:p>
    <w:p>
      <w:pPr>
        <w:spacing w:after="80" w:before="80"/>
      </w:pPr>
      <w:r>
        <w:rPr>
          <w:rFonts w:ascii="Arial" w:cs="Arial" w:eastAsia="Arial" w:hAnsi="Arial"/>
          <w:color w:val="64748B"/>
          <w:sz w:val="22"/>
          <w:szCs w:val="22"/>
        </w:rPr>
        <w:t xml:space="preserve">Each sector on The Map displays its current macro environment status — green (tailwind), amber (neutral or mixed), red (headwind) — based on active event signals. The status connects The Map to The Pulse in real time.</w:t>
      </w:r>
    </w:p>
    <w:p>
      <w:pPr>
        <w:spacing w:after="0" w:before="80"/>
      </w:pPr>
      <w:r>
        <w:t xml:space="preserve"/>
      </w:r>
    </w:p>
    <w:p>
      <w:pPr>
        <w:spacing w:after="80" w:before="80"/>
      </w:pPr>
      <w:r>
        <w:rPr>
          <w:rFonts w:ascii="Arial" w:cs="Arial" w:eastAsia="Arial" w:hAnsi="Arial"/>
          <w:color w:val="64748B"/>
          <w:sz w:val="22"/>
          <w:szCs w:val="22"/>
        </w:rPr>
        <w:t xml:space="preserve">Sector modules are built once and updated semi-annually. This is a content-intensive but infrastructure-light build. Sector structures do not change monthly.</w:t>
      </w:r>
    </w:p>
    <w:p>
      <w:pPr>
        <w:spacing w:after="0" w:before="200"/>
      </w:pPr>
      <w:r>
        <w:t xml:space="preserve"/>
      </w:r>
    </w:p>
    <w:p>
      <w:pPr>
        <w:pStyle w:val="Heading2"/>
        <w:pBdr>
          <w:bottom w:val="single" w:color="2E63E8" w:sz="4" w:space="4"/>
        </w:pBdr>
        <w:spacing w:after="120" w:before="300"/>
      </w:pPr>
      <w:r>
        <w:rPr>
          <w:rFonts w:ascii="Arial" w:cs="Arial" w:eastAsia="Arial" w:hAnsi="Arial"/>
          <w:b/>
          <w:bCs/>
          <w:color w:val="1A4FCC"/>
          <w:sz w:val="28"/>
          <w:szCs w:val="28"/>
        </w:rPr>
        <w:t xml:space="preserve">4.4 The Mirror — Learning History</w:t>
      </w:r>
    </w:p>
    <w:p>
      <w:pPr>
        <w:spacing w:after="80" w:before="80"/>
      </w:pPr>
      <w:r>
        <w:rPr>
          <w:rFonts w:ascii="Arial" w:cs="Arial" w:eastAsia="Arial" w:hAnsi="Arial"/>
          <w:color w:val="64748B"/>
          <w:sz w:val="22"/>
          <w:szCs w:val="22"/>
        </w:rPr>
        <w:t xml:space="preserve">The Mirror is the personal accountability layer. It shows users their prediction history, their reasoning accuracy, and their identified reasoning gaps. It does not show rupee performance or portfolio returns.</w:t>
      </w:r>
    </w:p>
    <w:p>
      <w:pPr>
        <w:spacing w:after="0" w:before="80"/>
      </w:pPr>
      <w:r>
        <w:t xml:space="preserve"/>
      </w:r>
    </w:p>
    <w:p>
      <w:pPr>
        <w:spacing w:after="80" w:before="80"/>
      </w:pPr>
      <w:r>
        <w:rPr>
          <w:rFonts w:ascii="Arial" w:cs="Arial" w:eastAsia="Arial" w:hAnsi="Arial"/>
          <w:color w:val="64748B"/>
          <w:sz w:val="22"/>
          <w:szCs w:val="22"/>
        </w:rPr>
        <w:t xml:space="preserve">The Mirror has two panels:</w:t>
      </w:r>
    </w:p>
    <w:p>
      <w:pPr>
        <w:pStyle w:val="ListParagraph"/>
        <w:numPr>
          <w:ilvl w:val="0"/>
          <w:numId w:val="2"/>
        </w:numPr>
        <w:spacing w:after="60" w:before="60"/>
      </w:pPr>
      <w:r>
        <w:rPr>
          <w:rFonts w:ascii="Arial" w:cs="Arial" w:eastAsia="Arial" w:hAnsi="Arial"/>
          <w:b w:val="false"/>
          <w:bCs w:val="false"/>
          <w:color w:val="64748B"/>
          <w:sz w:val="22"/>
          <w:szCs w:val="22"/>
        </w:rPr>
        <w:t xml:space="preserve">Prediction history — every prediction made, the event it was tied to, the outcome date, and the accuracy assessment at all three levels (mechanism, business impact, market reaction)</w:t>
      </w:r>
    </w:p>
    <w:p>
      <w:pPr>
        <w:pStyle w:val="ListParagraph"/>
        <w:numPr>
          <w:ilvl w:val="0"/>
          <w:numId w:val="2"/>
        </w:numPr>
        <w:spacing w:after="60" w:before="60"/>
      </w:pPr>
      <w:r>
        <w:rPr>
          <w:rFonts w:ascii="Arial" w:cs="Arial" w:eastAsia="Arial" w:hAnsi="Arial"/>
          <w:b w:val="false"/>
          <w:bCs w:val="false"/>
          <w:color w:val="64748B"/>
          <w:sz w:val="22"/>
          <w:szCs w:val="22"/>
        </w:rPr>
        <w:t xml:space="preserve">Reasoning gap analysis — where the user consistently over or underestimates, with suggested sector modules in The Map to address the identified gap</w:t>
      </w:r>
    </w:p>
    <w:p>
      <w:pPr>
        <w:spacing w:after="0" w:before="80"/>
      </w:pPr>
      <w:r>
        <w:t xml:space="preserve"/>
      </w:r>
    </w:p>
    <w:p>
      <w:pPr>
        <w:spacing w:after="80" w:before="80"/>
      </w:pPr>
      <w:r>
        <w:rPr>
          <w:rFonts w:ascii="Arial" w:cs="Arial" w:eastAsia="Arial" w:hAnsi="Arial"/>
          <w:color w:val="64748B"/>
          <w:sz w:val="22"/>
          <w:szCs w:val="22"/>
        </w:rPr>
        <w:t xml:space="preserve">The Mirror surfaces resolved cards to users whose predictions can now be graded. When a card enters Resolved status, The Mirror notifies the relevant users and shows them the comparison — what they predicted, what happened, where the gap was.</w:t>
      </w:r>
    </w:p>
    <w:p>
      <w:pPr>
        <w:spacing w:after="0" w:before="200"/>
      </w:pPr>
      <w:r>
        <w:t xml:space="preserve"/>
      </w:r>
    </w:p>
    <w:p>
      <w:pPr>
        <w:pStyle w:val="Heading2"/>
        <w:pBdr>
          <w:bottom w:val="single" w:color="2E63E8" w:sz="4" w:space="4"/>
        </w:pBdr>
        <w:spacing w:after="120" w:before="300"/>
      </w:pPr>
      <w:r>
        <w:rPr>
          <w:rFonts w:ascii="Arial" w:cs="Arial" w:eastAsia="Arial" w:hAnsi="Arial"/>
          <w:b/>
          <w:bCs/>
          <w:color w:val="1A4FCC"/>
          <w:sz w:val="28"/>
          <w:szCs w:val="28"/>
        </w:rPr>
        <w:t xml:space="preserve">4.5 The Lens — Deliberate Research Mode</w:t>
      </w:r>
    </w:p>
    <w:p>
      <w:pPr>
        <w:spacing w:after="80" w:before="80"/>
      </w:pPr>
      <w:r>
        <w:rPr>
          <w:rFonts w:ascii="Arial" w:cs="Arial" w:eastAsia="Arial" w:hAnsi="Arial"/>
          <w:color w:val="64748B"/>
          <w:sz w:val="22"/>
          <w:szCs w:val="22"/>
        </w:rPr>
        <w:t xml:space="preserve">The Lens is the on-demand Event Intelligence Card generator. The user types a question or selects an event type and a sector. The system builds a full ICE card using the same pipeline as event-triggered cards.</w:t>
      </w:r>
    </w:p>
    <w:p>
      <w:pPr>
        <w:spacing w:after="0" w:before="80"/>
      </w:pPr>
      <w:r>
        <w:t xml:space="preserve"/>
      </w:r>
    </w:p>
    <w:p>
      <w:pPr>
        <w:spacing w:after="80" w:before="80"/>
      </w:pPr>
      <w:r>
        <w:rPr>
          <w:rFonts w:ascii="Arial" w:cs="Arial" w:eastAsia="Arial" w:hAnsi="Arial"/>
          <w:color w:val="64748B"/>
          <w:sz w:val="22"/>
          <w:szCs w:val="22"/>
        </w:rPr>
        <w:t xml:space="preserve">The Lens serves the slow, deep user who wants to investigate something The Pulse has not covered yet, or wants to explore a hypothetical — what would a US recession mean for Indian IT exports? What happens to Indian pharma if the FDA tightens import standards?</w:t>
      </w:r>
    </w:p>
    <w:p>
      <w:pPr>
        <w:spacing w:after="0" w:before="80"/>
      </w:pPr>
      <w:r>
        <w:t xml:space="preserve"/>
      </w:r>
    </w:p>
    <w:p>
      <w:pPr>
        <w:spacing w:after="80" w:before="80"/>
      </w:pPr>
      <w:r>
        <w:rPr>
          <w:rFonts w:ascii="Arial" w:cs="Arial" w:eastAsia="Arial" w:hAnsi="Arial"/>
          <w:color w:val="64748B"/>
          <w:sz w:val="22"/>
          <w:szCs w:val="22"/>
        </w:rPr>
        <w:t xml:space="preserve">Response time target: 30 to 90 seconds. The Lens is a Phase 2 feature.</w:t>
      </w:r>
    </w:p>
    <w:p>
      <w:r>
        <w:br w:type="page"/>
      </w:r>
    </w:p>
    <w:p>
      <w:pPr>
        <w:pStyle w:val="Heading1"/>
        <w:spacing w:after="160" w:before="400"/>
      </w:pPr>
      <w:r>
        <w:rPr>
          <w:rFonts w:ascii="Arial" w:cs="Arial" w:eastAsia="Arial" w:hAnsi="Arial"/>
          <w:b/>
          <w:bCs/>
          <w:color w:val="0F172A"/>
          <w:sz w:val="36"/>
          <w:szCs w:val="36"/>
        </w:rPr>
        <w:t xml:space="preserve">5. Intelligence Architecture</w:t>
      </w:r>
    </w:p>
    <w:p>
      <w:pPr>
        <w:pStyle w:val="Heading2"/>
        <w:pBdr>
          <w:bottom w:val="single" w:color="2E63E8" w:sz="4" w:space="4"/>
        </w:pBdr>
        <w:spacing w:after="120" w:before="300"/>
      </w:pPr>
      <w:r>
        <w:rPr>
          <w:rFonts w:ascii="Arial" w:cs="Arial" w:eastAsia="Arial" w:hAnsi="Arial"/>
          <w:b/>
          <w:bCs/>
          <w:color w:val="1A4FCC"/>
          <w:sz w:val="28"/>
          <w:szCs w:val="28"/>
        </w:rPr>
        <w:t xml:space="preserve">5.1 The ICE Card Generation Pipeline</w:t>
      </w:r>
    </w:p>
    <w:p>
      <w:pPr>
        <w:spacing w:after="80" w:before="80"/>
      </w:pPr>
      <w:r>
        <w:rPr>
          <w:rFonts w:ascii="Arial" w:cs="Arial" w:eastAsia="Arial" w:hAnsi="Arial"/>
          <w:color w:val="64748B"/>
          <w:sz w:val="22"/>
          <w:szCs w:val="22"/>
        </w:rPr>
        <w:t xml:space="preserve">The pipeline that produces every Event Intelligence Card has four stages. This is the same pipeline for both event-triggered cards (The Pulse / The Thread) and on-demand cards (The Lens).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760"/>
        <w:gridCol w:w="2000"/>
      </w:tblGrid>
      <w:tr>
        <w:trPr>
          <w:tblHeader/>
        </w:trPr>
        <w:tc>
          <w:tcPr>
            <w:tcW w:type="dxa" w:w="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47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1</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Event Detection</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Automated monitor watches four sources: NewsAPI, RBI RSS feed, NSE/BSE corporate announcements, manually maintained slow-burn watchlist. Events enter a queue with an AI-generated confidence score.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Phase 1</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2</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Draft Generation</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Structured LLM prompt takes event, queries Factor Exposure Database, pulls active macro signals, generates full draft ICE card including causal chain, instrument assessments, dissenting view, and Framework Behind This.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Phase 1</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3</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Editorial Review</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Product Owner reviews draft against non-expert checklist — are all numbers source-tagged, is dissenting view present, is confidence level consistent with data freshness, is language accessible to middle-of-distribution user. Estimated time: 30–45 minutes per card.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Phase 1</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4</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Publication</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Approved card published. Track record timestamp logged. Signal monitoring begins. Users with relevant profile receive in-app notification on next login.</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Phase 1</w:t>
            </w:r>
          </w:p>
        </w:tc>
      </w:tr>
    </w:tbl>
    <w:p>
      <w:pPr>
        <w:spacing w:after="0" w:before="200"/>
      </w:pPr>
      <w:r>
        <w:t xml:space="preserve"/>
      </w:r>
    </w:p>
    <w:p>
      <w:pPr>
        <w:pStyle w:val="Heading2"/>
        <w:pBdr>
          <w:bottom w:val="single" w:color="2E63E8" w:sz="4" w:space="4"/>
        </w:pBdr>
        <w:spacing w:after="120" w:before="300"/>
      </w:pPr>
      <w:r>
        <w:rPr>
          <w:rFonts w:ascii="Arial" w:cs="Arial" w:eastAsia="Arial" w:hAnsi="Arial"/>
          <w:b/>
          <w:bCs/>
          <w:color w:val="1A4FCC"/>
          <w:sz w:val="28"/>
          <w:szCs w:val="28"/>
        </w:rPr>
        <w:t xml:space="preserve">5.2 Confidence-Gated Signal Detection</w:t>
      </w:r>
    </w:p>
    <w:p>
      <w:pPr>
        <w:spacing w:after="80" w:before="80"/>
      </w:pPr>
      <w:r>
        <w:rPr>
          <w:rFonts w:ascii="Arial" w:cs="Arial" w:eastAsia="Arial" w:hAnsi="Arial"/>
          <w:color w:val="64748B"/>
          <w:sz w:val="22"/>
          <w:szCs w:val="22"/>
        </w:rPr>
        <w:t xml:space="preserve">Signal triggers are not binary. The system assesses confidence before acting. This prevents false triggers that would damage user trust.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360"/>
        <w:gridCol w:w="2000"/>
      </w:tblGrid>
      <w:tr>
        <w:trPr>
          <w:tblHeader/>
        </w:trPr>
        <w:tc>
          <w:tcPr>
            <w:tcW w:type="dxa" w:w="2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Confidence Level</w:t>
            </w:r>
          </w:p>
        </w:tc>
        <w:tc>
          <w:tcPr>
            <w:tcW w:type="dxa" w:w="3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Trigger Criteria</w:t>
            </w:r>
          </w:p>
        </w:tc>
        <w:tc>
          <w:tcPr>
            <w:tcW w:type="dxa" w:w="23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System Action</w:t>
            </w:r>
          </w:p>
        </w:tc>
        <w:tc>
          <w:tcPr>
            <w:tcW w:type="dxa" w:w="2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Editorial Action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High</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Signal confirmed by 3+ independent sources within 4 hours, directly matches original signal definition</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Auto-update card, notify Product Owner simultaneously</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Override window: 2 hours. If no override, update stands.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Medium</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Signal confirmed by 1–2 sources, partially matches signal definition, or context is ambiguous</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Generate draft update, hold for review</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Product Owner reviews AI draft, approves or rejects. Target: under 10 minutes.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Low</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Possible signal match, single source, or source quality uncertain</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Log internally, surface in daily editorial digest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No card update. Product Owner reviews digest and decides whether to escalate.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2E8F0" w:sz="1"/>
              <w:left w:val="single" w:color="E2E8F0" w:sz="1"/>
              <w:bottom w:val="single" w:color="E2E8F0" w:sz="1"/>
              <w:right w:val="single" w:color="E2E8F0" w:sz="1"/>
            </w:tcBorders>
            <w:shd w:fill="2E63E8"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IMPORTANT</w:t>
            </w:r>
          </w:p>
        </w:tc>
        <w:tc>
          <w:tcPr>
            <w:tcW w:type="dxa" w:w="7760"/>
            <w:tcBorders>
              <w:top w:val="single" w:color="E2E8F0" w:sz="1"/>
              <w:left w:val="single" w:color="E2E8F0" w:sz="1"/>
              <w:bottom w:val="single" w:color="E2E8F0" w:sz="1"/>
              <w:right w:val="single" w:color="E2E8F0" w:sz="1"/>
            </w:tcBorders>
            <w:shd w:fill="EBF0FD" w:val="clear"/>
            <w:tcMar>
              <w:top w:type="dxa" w:w="100"/>
              <w:left w:type="dxa" w:w="140"/>
              <w:bottom w:type="dxa" w:w="100"/>
              <w:right w:type="dxa" w:w="120"/>
            </w:tcMar>
          </w:tcPr>
          <w:p>
            <w:r>
              <w:rPr>
                <w:rFonts w:ascii="Arial" w:cs="Arial" w:eastAsia="Arial" w:hAnsi="Arial"/>
                <w:color w:val="334155"/>
                <w:sz w:val="20"/>
                <w:szCs w:val="20"/>
              </w:rPr>
              <w:t xml:space="preserve">Review cadence is event-driven, not calendar-driven. The system detects and surfaces. The Product Owner reviews only medium and low confidence triggers. High confidence triggers are automated with an override window. This architecture removes the manual dependency that would make the system unsustainable.</w:t>
            </w:r>
          </w:p>
        </w:tc>
      </w:tr>
    </w:tbl>
    <w:p>
      <w:pPr>
        <w:spacing w:after="0" w:before="200"/>
      </w:pPr>
      <w:r>
        <w:t xml:space="preserve"/>
      </w:r>
    </w:p>
    <w:p>
      <w:pPr>
        <w:pStyle w:val="Heading2"/>
        <w:pBdr>
          <w:bottom w:val="single" w:color="2E63E8" w:sz="4" w:space="4"/>
        </w:pBdr>
        <w:spacing w:after="120" w:before="300"/>
      </w:pPr>
      <w:r>
        <w:rPr>
          <w:rFonts w:ascii="Arial" w:cs="Arial" w:eastAsia="Arial" w:hAnsi="Arial"/>
          <w:b/>
          <w:bCs/>
          <w:color w:val="1A4FCC"/>
          <w:sz w:val="28"/>
          <w:szCs w:val="28"/>
        </w:rPr>
        <w:t xml:space="preserve">5.3 Quantification Standard — Measured, Modelled, Judged</w:t>
      </w:r>
    </w:p>
    <w:p>
      <w:pPr>
        <w:spacing w:after="80" w:before="80"/>
      </w:pPr>
      <w:r>
        <w:rPr>
          <w:rFonts w:ascii="Arial" w:cs="Arial" w:eastAsia="Arial" w:hAnsi="Arial"/>
          <w:color w:val="64748B"/>
          <w:sz w:val="22"/>
          <w:szCs w:val="22"/>
        </w:rPr>
        <w:t xml:space="preserve">Every quantitative claim in every Event Intelligence Card is labelled with one of three tags. This is the integrity feature of the product. It cannot be removed or made optional.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Tag</w:t>
            </w:r>
          </w:p>
        </w:tc>
        <w:tc>
          <w:tcPr>
            <w:tcW w:type="dxa" w:w="3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43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Display</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MEASURED</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Derived from historical data with a defined, documented methodology. Minimum 8 quarters of data.</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Blue badge. Highest user confidence.</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MODELLED</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Derived from a calibrated model with explicit, stated assumptions. Model methodology documented.</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Green badge. Medium user confidence.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JUDGED</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A structured expert opinion with stated reasoning but no statistical foundation. Honest label for informed estimates.</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Amber badge. User informed this is an opinion, not a measurement.</w:t>
            </w:r>
          </w:p>
        </w:tc>
      </w:tr>
    </w:tbl>
    <w:p>
      <w:pPr>
        <w:spacing w:after="0" w:before="120"/>
      </w:pPr>
      <w:r>
        <w:t xml:space="preserve"/>
      </w:r>
    </w:p>
    <w:p>
      <w:pPr>
        <w:spacing w:after="80" w:before="80"/>
      </w:pPr>
      <w:r>
        <w:rPr>
          <w:rFonts w:ascii="Arial" w:cs="Arial" w:eastAsia="Arial" w:hAnsi="Arial"/>
          <w:color w:val="64748B"/>
          <w:sz w:val="22"/>
          <w:szCs w:val="22"/>
        </w:rPr>
        <w:t xml:space="preserve">Short-term event cards are heavier on Measured data — historical sensitivity is estimable. Long-term structural cards are heavier on Judged data — the causal chains are longer and historical analogues are fewer. The MMJ distribution of a card tells the user how much of it is empirical versus analytical.</w:t>
      </w:r>
    </w:p>
    <w:p>
      <w:pPr>
        <w:spacing w:after="0" w:before="200"/>
      </w:pPr>
      <w:r>
        <w:t xml:space="preserve"/>
      </w:r>
    </w:p>
    <w:p>
      <w:pPr>
        <w:pStyle w:val="Heading2"/>
        <w:pBdr>
          <w:bottom w:val="single" w:color="2E63E8" w:sz="4" w:space="4"/>
        </w:pBdr>
        <w:spacing w:after="120" w:before="300"/>
      </w:pPr>
      <w:r>
        <w:rPr>
          <w:rFonts w:ascii="Arial" w:cs="Arial" w:eastAsia="Arial" w:hAnsi="Arial"/>
          <w:b/>
          <w:bCs/>
          <w:color w:val="1A4FCC"/>
          <w:sz w:val="28"/>
          <w:szCs w:val="28"/>
        </w:rPr>
        <w:t xml:space="preserve">5.4 LLM Architecture — Three Defined Roles</w:t>
      </w:r>
    </w:p>
    <w:p>
      <w:pPr>
        <w:spacing w:after="80" w:before="80"/>
      </w:pPr>
      <w:r>
        <w:rPr>
          <w:rFonts w:ascii="Arial" w:cs="Arial" w:eastAsia="Arial" w:hAnsi="Arial"/>
          <w:color w:val="64748B"/>
          <w:sz w:val="22"/>
          <w:szCs w:val="22"/>
        </w:rPr>
        <w:t xml:space="preserve">The LLM has three strictly defined roles. It does not operate outside them. The LLM never touches the Evidence layer. The LLM never generates numbers. Any number that appears in the Insight or Context layers must be traceable to a specific Evidence layer data point.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4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Role 1 — Card Synthesis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Generates Insight and Context layers of the ICE card. Explains and connects structured inputs. Does not estimate.</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All numbers in output must reference Evidence layer data points. Validated post-generation.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Role 2 — Dissent Generation</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Generates the dissenting view. Separate LLM call. Separate prompt. Explicitly instructed to argue counter-case.</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Separate call prevents anchoring. Dissent must identify a specific mechanism, not a generic disclaimer.</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Role 3 — Framework Articulation</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Generates Framework Behind This section. Extracts and names the transferable reasoning pattern from the card.</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Must describe how the framework applies beyond this specific event. Must be actionable for a non-expert.</w:t>
            </w:r>
          </w:p>
        </w:tc>
      </w:tr>
    </w:tbl>
    <w:p>
      <w:pPr>
        <w:spacing w:after="0" w:before="120"/>
      </w:pPr>
      <w:r>
        <w:t xml:space="preserve"/>
      </w:r>
    </w:p>
    <w:p>
      <w:pPr>
        <w:spacing w:after="80" w:before="80"/>
      </w:pPr>
      <w:r>
        <w:rPr>
          <w:rFonts w:ascii="Arial" w:cs="Arial" w:eastAsia="Arial" w:hAnsi="Arial"/>
          <w:color w:val="64748B"/>
          <w:sz w:val="22"/>
          <w:szCs w:val="22"/>
        </w:rPr>
        <w:t xml:space="preserve">All three prompt templates are version-controlled in Git. Every change is logged with date and reason. Cards generated before and after a prompt change are tagged with the prompt version that generated them. This makes the track record log interpretable when output quality changes.</w:t>
      </w:r>
    </w:p>
    <w:p>
      <w:pPr>
        <w:spacing w:after="0" w:before="200"/>
      </w:pPr>
      <w:r>
        <w:t xml:space="preserve"/>
      </w:r>
    </w:p>
    <w:p>
      <w:pPr>
        <w:pStyle w:val="Heading2"/>
        <w:pBdr>
          <w:bottom w:val="single" w:color="2E63E8" w:sz="4" w:space="4"/>
        </w:pBdr>
        <w:spacing w:after="120" w:before="300"/>
      </w:pPr>
      <w:r>
        <w:rPr>
          <w:rFonts w:ascii="Arial" w:cs="Arial" w:eastAsia="Arial" w:hAnsi="Arial"/>
          <w:b/>
          <w:bCs/>
          <w:color w:val="1A4FCC"/>
          <w:sz w:val="28"/>
          <w:szCs w:val="28"/>
        </w:rPr>
        <w:t xml:space="preserve">5.5 Provenance System — Three Levels</w:t>
      </w:r>
    </w:p>
    <w:p>
      <w:pPr>
        <w:spacing w:after="80" w:before="80"/>
      </w:pPr>
      <w:r>
        <w:rPr>
          <w:rFonts w:ascii="Arial" w:cs="Arial" w:eastAsia="Arial" w:hAnsi="Arial"/>
          <w:color w:val="64748B"/>
          <w:sz w:val="22"/>
          <w:szCs w:val="22"/>
        </w:rPr>
        <w:t xml:space="preserve">Every number in the app has a full provenance trail, presented at three levels of depth. The user is never forced to read it but can always access it.</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64748B"/>
          <w:sz w:val="22"/>
          <w:szCs w:val="22"/>
        </w:rPr>
        <w:t xml:space="preserve">Surface level — visible without any interaction: a freshness dot. Green = updated within 6 months. Amber = 6–18 months old. Red = over 18 months or unverifiable. One dot. Readable at a glance.</w:t>
      </w:r>
    </w:p>
    <w:p>
      <w:pPr>
        <w:pStyle w:val="ListParagraph"/>
        <w:numPr>
          <w:ilvl w:val="0"/>
          <w:numId w:val="2"/>
        </w:numPr>
        <w:spacing w:after="60" w:before="60"/>
      </w:pPr>
      <w:r>
        <w:rPr>
          <w:rFonts w:ascii="Arial" w:cs="Arial" w:eastAsia="Arial" w:hAnsi="Arial"/>
          <w:b w:val="false"/>
          <w:bCs w:val="false"/>
          <w:color w:val="64748B"/>
          <w:sz w:val="22"/>
          <w:szCs w:val="22"/>
        </w:rPr>
        <w:t xml:space="preserve">First tap — one tap on any number reveals: source name, date retrieved, and a one-line assumption statement.</w:t>
      </w:r>
    </w:p>
    <w:p>
      <w:pPr>
        <w:pStyle w:val="ListParagraph"/>
        <w:numPr>
          <w:ilvl w:val="0"/>
          <w:numId w:val="2"/>
        </w:numPr>
        <w:spacing w:after="60" w:before="60"/>
      </w:pPr>
      <w:r>
        <w:rPr>
          <w:rFonts w:ascii="Arial" w:cs="Arial" w:eastAsia="Arial" w:hAnsi="Arial"/>
          <w:b w:val="false"/>
          <w:bCs w:val="false"/>
          <w:color w:val="64748B"/>
          <w:sz w:val="22"/>
          <w:szCs w:val="22"/>
        </w:rPr>
        <w:t xml:space="preserve">Deep dive — second tap reveals full sensitivity analysis and methodology note. For the slow user who wants to verify everything.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2E8F0" w:sz="1"/>
              <w:left w:val="single" w:color="E2E8F0" w:sz="1"/>
              <w:bottom w:val="single" w:color="E2E8F0" w:sz="1"/>
              <w:right w:val="single" w:color="E2E8F0" w:sz="1"/>
            </w:tcBorders>
            <w:shd w:fill="0A6644"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TRACK RECORD LOG</w:t>
            </w:r>
          </w:p>
        </w:tc>
        <w:tc>
          <w:tcPr>
            <w:tcW w:type="dxa" w:w="7760"/>
            <w:tcBorders>
              <w:top w:val="single" w:color="E2E8F0" w:sz="1"/>
              <w:left w:val="single" w:color="E2E8F0" w:sz="1"/>
              <w:bottom w:val="single" w:color="E2E8F0" w:sz="1"/>
              <w:right w:val="single" w:color="E2E8F0" w:sz="1"/>
            </w:tcBorders>
            <w:shd w:fill="E4F3EC" w:val="clear"/>
            <w:tcMar>
              <w:top w:type="dxa" w:w="100"/>
              <w:left w:type="dxa" w:w="140"/>
              <w:bottom w:type="dxa" w:w="100"/>
              <w:right w:type="dxa" w:w="120"/>
            </w:tcMar>
          </w:tcPr>
          <w:p>
            <w:r>
              <w:rPr>
                <w:rFonts w:ascii="Arial" w:cs="Arial" w:eastAsia="Arial" w:hAnsi="Arial"/>
                <w:color w:val="334155"/>
                <w:sz w:val="20"/>
                <w:szCs w:val="20"/>
              </w:rPr>
              <w:t xml:space="preserve">Every published card's predictions — by the app and by the user — are logged from Day 1 in an append-only PostgreSQL table enforced at the database level. No editing, no deletion. The track record is visible to users. The app is accountable for what it said, in public, from the first day it says anything.</w:t>
            </w:r>
          </w:p>
        </w:tc>
      </w:tr>
    </w:tbl>
    <w:p>
      <w:r>
        <w:br w:type="page"/>
      </w:r>
    </w:p>
    <w:p>
      <w:pPr>
        <w:pStyle w:val="Heading1"/>
        <w:spacing w:after="160" w:before="400"/>
      </w:pPr>
      <w:r>
        <w:rPr>
          <w:rFonts w:ascii="Arial" w:cs="Arial" w:eastAsia="Arial" w:hAnsi="Arial"/>
          <w:b/>
          <w:bCs/>
          <w:color w:val="0F172A"/>
          <w:sz w:val="36"/>
          <w:szCs w:val="36"/>
        </w:rPr>
        <w:t xml:space="preserve">6. Data Architecture — Three Tiers</w:t>
      </w:r>
    </w:p>
    <w:p>
      <w:pPr>
        <w:pStyle w:val="Heading2"/>
        <w:pBdr>
          <w:bottom w:val="single" w:color="2E63E8" w:sz="4" w:space="4"/>
        </w:pBdr>
        <w:spacing w:after="120" w:before="300"/>
      </w:pPr>
      <w:r>
        <w:rPr>
          <w:rFonts w:ascii="Arial" w:cs="Arial" w:eastAsia="Arial" w:hAnsi="Arial"/>
          <w:b/>
          <w:bCs/>
          <w:color w:val="1A4FCC"/>
          <w:sz w:val="28"/>
          <w:szCs w:val="28"/>
        </w:rPr>
        <w:t xml:space="preserve">6.1 Tier 1 — Factor Exposure Database</w:t>
      </w:r>
    </w:p>
    <w:p>
      <w:pPr>
        <w:spacing w:after="80" w:before="80"/>
      </w:pPr>
      <w:r>
        <w:rPr>
          <w:rFonts w:ascii="Arial" w:cs="Arial" w:eastAsia="Arial" w:hAnsi="Arial"/>
          <w:color w:val="64748B"/>
          <w:sz w:val="22"/>
          <w:szCs w:val="22"/>
        </w:rPr>
        <w:t xml:space="preserve">The analytical backbone of every Event Intelligence Card. A structured database of the top 150 NSE-listed stocks, each tagged with their sensitivity to 8 macro factors.</w:t>
      </w:r>
    </w:p>
    <w:p>
      <w:pPr>
        <w:spacing w:after="0" w:before="80"/>
      </w:pPr>
      <w:r>
        <w:t xml:space="preserve"/>
      </w:r>
    </w:p>
    <w:p>
      <w:pPr>
        <w:pStyle w:val="Heading3"/>
        <w:spacing w:after="100" w:before="240"/>
      </w:pPr>
      <w:r>
        <w:rPr>
          <w:rFonts w:ascii="Arial" w:cs="Arial" w:eastAsia="Arial" w:hAnsi="Arial"/>
          <w:b/>
          <w:bCs/>
          <w:color w:val="334155"/>
          <w:sz w:val="24"/>
          <w:szCs w:val="24"/>
        </w:rPr>
        <w:t xml:space="preserve">6.1.1 Eight Macro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3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What It Captures</w:t>
            </w:r>
          </w:p>
        </w:tc>
        <w:tc>
          <w:tcPr>
            <w:tcW w:type="dxa" w:w="33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India-Specific Note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Crude oil price</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Input cost sensitivity for downstream users. Realisation uplift for upstream producers.</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India imports 80% of crude. Transmission is fast and direct.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Dollar-Rupee exchange rate</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Revenue uplift for exporters. Input cost pressure for importers.</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IT sector earns in USD. Importers of commodities and electronics are exposed.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Domestic interest rates</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Cost of capital, NIM for banks, consumer demand sensitivity.</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RBI repo rate is the primary driver. Transmission to lending rates takes 1–2 quarters.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Global risk sentiment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FII flow direction, broader market beta.</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FII activity is reported daily on NSE. Net flows are a lagging indicator, used as confidence modifier only.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Monsoon index</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Agricultural output, rural consumption, food inflation.</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India-specific factor critical for FMCG, fertilisers, and consumer discretionary.</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Government capex</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Infrastructure demand, order books for capital goods companies.</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Union Budget and quarterly capex data are primary sources.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GST collections trend</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Proxy for domestic consumption health.</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Monthly GST data published by Ministry of Finance. High-frequency and reliable.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Sector regulatory environment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Pending policy changes, SEBI actions, sector-specific regulations.</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Requires manual monitoring. Flags companies with active regulatory risk.</w:t>
            </w:r>
          </w:p>
        </w:tc>
      </w:tr>
    </w:tbl>
    <w:p>
      <w:pPr>
        <w:spacing w:after="0" w:before="120"/>
      </w:pPr>
      <w:r>
        <w:t xml:space="preserve"/>
      </w:r>
    </w:p>
    <w:p>
      <w:pPr>
        <w:pStyle w:val="Heading3"/>
        <w:spacing w:after="100" w:before="240"/>
      </w:pPr>
      <w:r>
        <w:rPr>
          <w:rFonts w:ascii="Arial" w:cs="Arial" w:eastAsia="Arial" w:hAnsi="Arial"/>
          <w:b/>
          <w:bCs/>
          <w:color w:val="334155"/>
          <w:sz w:val="24"/>
          <w:szCs w:val="24"/>
        </w:rPr>
        <w:t xml:space="preserve">6.1.2 Sensitivity Estimation Methodology</w:t>
      </w:r>
    </w:p>
    <w:p>
      <w:pPr>
        <w:spacing w:after="80" w:before="80"/>
      </w:pPr>
      <w:r>
        <w:rPr>
          <w:rFonts w:ascii="Arial" w:cs="Arial" w:eastAsia="Arial" w:hAnsi="Arial"/>
          <w:color w:val="64748B"/>
          <w:sz w:val="22"/>
          <w:szCs w:val="22"/>
        </w:rPr>
        <w:t xml:space="preserve">The methodology for estimating factor sensitivity is documented and applied consistently to every stock. Consistency matters more than precision — every stock must be analysed using the same approach.</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64748B"/>
          <w:sz w:val="22"/>
          <w:szCs w:val="22"/>
        </w:rPr>
        <w:t xml:space="preserve">Standard regression window: 5-year rolling, minimum 8 quarters of data for a Measured label</w:t>
      </w:r>
    </w:p>
    <w:p>
      <w:pPr>
        <w:pStyle w:val="ListParagraph"/>
        <w:numPr>
          <w:ilvl w:val="0"/>
          <w:numId w:val="2"/>
        </w:numPr>
        <w:spacing w:after="60" w:before="60"/>
      </w:pPr>
      <w:r>
        <w:rPr>
          <w:rFonts w:ascii="Arial" w:cs="Arial" w:eastAsia="Arial" w:hAnsi="Arial"/>
          <w:b w:val="false"/>
          <w:bCs w:val="false"/>
          <w:color w:val="64748B"/>
          <w:sz w:val="22"/>
          <w:szCs w:val="22"/>
        </w:rPr>
        <w:t xml:space="preserve">Sensitivity expressed as beta coefficient: percentage change in relevant business metric for 1% change in macro factor, with 95% confidence interval</w:t>
      </w:r>
    </w:p>
    <w:p>
      <w:pPr>
        <w:pStyle w:val="ListParagraph"/>
        <w:numPr>
          <w:ilvl w:val="0"/>
          <w:numId w:val="2"/>
        </w:numPr>
        <w:spacing w:after="60" w:before="60"/>
      </w:pPr>
      <w:r>
        <w:rPr>
          <w:rFonts w:ascii="Arial" w:cs="Arial" w:eastAsia="Arial" w:hAnsi="Arial"/>
          <w:b w:val="false"/>
          <w:bCs w:val="false"/>
          <w:color w:val="64748B"/>
          <w:sz w:val="22"/>
          <w:szCs w:val="22"/>
        </w:rPr>
        <w:t xml:space="preserve">If confidence interval crosses zero: sensitivity flagged as statistically insignificant — 'No clear directional relationship detected'</w:t>
      </w:r>
    </w:p>
    <w:p>
      <w:pPr>
        <w:pStyle w:val="ListParagraph"/>
        <w:numPr>
          <w:ilvl w:val="0"/>
          <w:numId w:val="2"/>
        </w:numPr>
        <w:spacing w:after="60" w:before="60"/>
      </w:pPr>
      <w:r>
        <w:rPr>
          <w:rFonts w:ascii="Arial" w:cs="Arial" w:eastAsia="Arial" w:hAnsi="Arial"/>
          <w:b w:val="false"/>
          <w:bCs w:val="false"/>
          <w:color w:val="64748B"/>
          <w:sz w:val="22"/>
          <w:szCs w:val="22"/>
        </w:rPr>
        <w:t xml:space="preserve">Under 8 quarters of data: defaults to peer group proxy with Judged label</w:t>
      </w:r>
    </w:p>
    <w:p>
      <w:pPr>
        <w:pStyle w:val="ListParagraph"/>
        <w:numPr>
          <w:ilvl w:val="0"/>
          <w:numId w:val="2"/>
        </w:numPr>
        <w:spacing w:after="60" w:before="60"/>
      </w:pPr>
      <w:r>
        <w:rPr>
          <w:rFonts w:ascii="Arial" w:cs="Arial" w:eastAsia="Arial" w:hAnsi="Arial"/>
          <w:b w:val="false"/>
          <w:bCs w:val="false"/>
          <w:color w:val="64748B"/>
          <w:sz w:val="22"/>
          <w:szCs w:val="22"/>
        </w:rPr>
        <w:t xml:space="preserve">Business model change detection: structural break algorithm identifies change point, post-break data used only, pre-break data discarded</w:t>
      </w:r>
    </w:p>
    <w:p>
      <w:pPr>
        <w:pStyle w:val="ListParagraph"/>
        <w:numPr>
          <w:ilvl w:val="0"/>
          <w:numId w:val="2"/>
        </w:numPr>
        <w:spacing w:after="60" w:before="60"/>
      </w:pPr>
      <w:r>
        <w:rPr>
          <w:rFonts w:ascii="Arial" w:cs="Arial" w:eastAsia="Arial" w:hAnsi="Arial"/>
          <w:b w:val="false"/>
          <w:bCs w:val="false"/>
          <w:color w:val="64748B"/>
          <w:sz w:val="22"/>
          <w:szCs w:val="22"/>
        </w:rPr>
        <w:t xml:space="preserve">Conglomerates: segment-level sensitivity estimated separately, combined using segment revenue weights from most recent annual report</w:t>
      </w:r>
    </w:p>
    <w:p>
      <w:pPr>
        <w:pStyle w:val="ListParagraph"/>
        <w:numPr>
          <w:ilvl w:val="0"/>
          <w:numId w:val="2"/>
        </w:numPr>
        <w:spacing w:after="60" w:before="60"/>
      </w:pPr>
      <w:r>
        <w:rPr>
          <w:rFonts w:ascii="Arial" w:cs="Arial" w:eastAsia="Arial" w:hAnsi="Arial"/>
          <w:b w:val="false"/>
          <w:bCs w:val="false"/>
          <w:color w:val="64748B"/>
          <w:sz w:val="22"/>
          <w:szCs w:val="22"/>
        </w:rPr>
        <w:t xml:space="preserve">Recently listed companies (under 5 years): peer group proxy from comparable emerging market companies, Judged label</w:t>
      </w:r>
    </w:p>
    <w:p>
      <w:pPr>
        <w:spacing w:after="0" w:before="120"/>
      </w:pPr>
      <w:r>
        <w:t xml:space="preserve"/>
      </w:r>
    </w:p>
    <w:p>
      <w:pPr>
        <w:pStyle w:val="Heading3"/>
        <w:spacing w:after="100" w:before="240"/>
      </w:pPr>
      <w:r>
        <w:rPr>
          <w:rFonts w:ascii="Arial" w:cs="Arial" w:eastAsia="Arial" w:hAnsi="Arial"/>
          <w:b/>
          <w:bCs/>
          <w:color w:val="334155"/>
          <w:sz w:val="24"/>
          <w:szCs w:val="24"/>
        </w:rPr>
        <w:t xml:space="preserve">6.1.3 Factor Database Build — Parallel Workstream</w:t>
      </w:r>
    </w:p>
    <w:p>
      <w:pPr>
        <w:spacing w:after="80" w:before="80"/>
      </w:pPr>
      <w:r>
        <w:rPr>
          <w:rFonts w:ascii="Arial" w:cs="Arial" w:eastAsia="Arial" w:hAnsi="Arial"/>
          <w:color w:val="64748B"/>
          <w:sz w:val="22"/>
          <w:szCs w:val="22"/>
        </w:rPr>
        <w:t xml:space="preserve">The factor database is built as a parallel workstream to the application build. It connects to the same database but is managed as an independent project to avoid blocking the application build.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2E8F0" w:sz="1"/>
              <w:left w:val="single" w:color="E2E8F0" w:sz="1"/>
              <w:bottom w:val="single" w:color="E2E8F0" w:sz="1"/>
              <w:right w:val="single" w:color="E2E8F0" w:sz="1"/>
            </w:tcBorders>
            <w:shd w:fill="2E63E8"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STARTING POINT</w:t>
            </w:r>
          </w:p>
        </w:tc>
        <w:tc>
          <w:tcPr>
            <w:tcW w:type="dxa" w:w="7760"/>
            <w:tcBorders>
              <w:top w:val="single" w:color="E2E8F0" w:sz="1"/>
              <w:left w:val="single" w:color="E2E8F0" w:sz="1"/>
              <w:bottom w:val="single" w:color="E2E8F0" w:sz="1"/>
              <w:right w:val="single" w:color="E2E8F0" w:sz="1"/>
            </w:tcBorders>
            <w:shd w:fill="EBF0FD" w:val="clear"/>
            <w:tcMar>
              <w:top w:type="dxa" w:w="100"/>
              <w:left w:type="dxa" w:w="140"/>
              <w:bottom w:type="dxa" w:w="100"/>
              <w:right w:type="dxa" w:w="120"/>
            </w:tcMar>
          </w:tcPr>
          <w:p>
            <w:r>
              <w:rPr>
                <w:rFonts w:ascii="Arial" w:cs="Arial" w:eastAsia="Arial" w:hAnsi="Arial"/>
                <w:color w:val="334155"/>
                <w:sz w:val="20"/>
                <w:szCs w:val="20"/>
              </w:rPr>
              <w:t xml:space="preserve">Phase 1 begins with Banking and Financial Services — the most event-sensitive sector, cleanest publicly available data, and every RBI decision creates an immediate test case. The first real application test happens when Banking sector data is complete, not when all 150 stocks are done.</w:t>
            </w:r>
          </w:p>
        </w:tc>
      </w:tr>
    </w:tbl>
    <w:p>
      <w:pPr>
        <w:spacing w:after="0" w:before="80"/>
      </w:pPr>
      <w:r>
        <w:t xml:space="preserve"/>
      </w:r>
    </w:p>
    <w:p>
      <w:pPr>
        <w:spacing w:after="80" w:before="80"/>
      </w:pPr>
      <w:r>
        <w:rPr>
          <w:rFonts w:ascii="Arial" w:cs="Arial" w:eastAsia="Arial" w:hAnsi="Arial"/>
          <w:color w:val="64748B"/>
          <w:sz w:val="22"/>
          <w:szCs w:val="22"/>
        </w:rPr>
        <w:t xml:space="preserve">Build workflow — AI-assisted, Product Owner as reviewer:</w:t>
      </w:r>
    </w:p>
    <w:p>
      <w:pPr>
        <w:pStyle w:val="ListParagraph"/>
        <w:numPr>
          <w:ilvl w:val="0"/>
          <w:numId w:val="3"/>
        </w:numPr>
        <w:spacing w:after="60" w:before="60"/>
      </w:pPr>
      <w:r>
        <w:rPr>
          <w:rFonts w:ascii="Arial" w:cs="Arial" w:eastAsia="Arial" w:hAnsi="Arial"/>
          <w:color w:val="64748B"/>
          <w:sz w:val="22"/>
          <w:szCs w:val="22"/>
        </w:rPr>
        <w:t xml:space="preserve">AI agent reads company's last 3 annual reports and 4 quarterly filings. Extracts relevant numbers: cost structure breakdown, input cost composition, revenue geography, forex exposure, borrowing profile.</w:t>
      </w:r>
    </w:p>
    <w:p>
      <w:pPr>
        <w:pStyle w:val="ListParagraph"/>
        <w:numPr>
          <w:ilvl w:val="0"/>
          <w:numId w:val="3"/>
        </w:numPr>
        <w:spacing w:after="60" w:before="60"/>
      </w:pPr>
      <w:r>
        <w:rPr>
          <w:rFonts w:ascii="Arial" w:cs="Arial" w:eastAsia="Arial" w:hAnsi="Arial"/>
          <w:color w:val="64748B"/>
          <w:sz w:val="22"/>
          <w:szCs w:val="22"/>
        </w:rPr>
        <w:t xml:space="preserve">AI agent proposes sensitivity estimate for each of the 8 macro factors with reasoning and a Measured/Modelled/Judged label recommendation.</w:t>
      </w:r>
    </w:p>
    <w:p>
      <w:pPr>
        <w:pStyle w:val="ListParagraph"/>
        <w:numPr>
          <w:ilvl w:val="0"/>
          <w:numId w:val="3"/>
        </w:numPr>
        <w:spacing w:after="60" w:before="60"/>
      </w:pPr>
      <w:r>
        <w:rPr>
          <w:rFonts w:ascii="Arial" w:cs="Arial" w:eastAsia="Arial" w:hAnsi="Arial"/>
          <w:color w:val="64748B"/>
          <w:sz w:val="22"/>
          <w:szCs w:val="22"/>
        </w:rPr>
        <w:t xml:space="preserve">Product Owner reviews proposal. Asks questions if something does not make sense. Approves or requests revision. No financial expertise required — the checklist is: does this have a source, is the source cited, does the label match the data quality?</w:t>
      </w:r>
    </w:p>
    <w:p>
      <w:pPr>
        <w:pStyle w:val="ListParagraph"/>
        <w:numPr>
          <w:ilvl w:val="0"/>
          <w:numId w:val="3"/>
        </w:numPr>
        <w:spacing w:after="60" w:before="60"/>
      </w:pPr>
      <w:r>
        <w:rPr>
          <w:rFonts w:ascii="Arial" w:cs="Arial" w:eastAsia="Arial" w:hAnsi="Arial"/>
          <w:color w:val="64748B"/>
          <w:sz w:val="22"/>
          <w:szCs w:val="22"/>
        </w:rPr>
        <w:t xml:space="preserve">Approved entry logged to database with source citations, date, and analyst notes. Version-controlled.</w:t>
      </w:r>
    </w:p>
    <w:p>
      <w:pPr>
        <w:pStyle w:val="ListParagraph"/>
        <w:numPr>
          <w:ilvl w:val="0"/>
          <w:numId w:val="3"/>
        </w:numPr>
        <w:spacing w:after="60" w:before="60"/>
      </w:pPr>
      <w:r>
        <w:rPr>
          <w:rFonts w:ascii="Arial" w:cs="Arial" w:eastAsia="Arial" w:hAnsi="Arial"/>
          <w:color w:val="64748B"/>
          <w:sz w:val="22"/>
          <w:szCs w:val="22"/>
        </w:rPr>
        <w:t xml:space="preserve">Quarterly review: AI flags any stock where a significant business event — acquisition, new segment, major capex announcement — may have changed the sensitivity profile.</w:t>
      </w:r>
    </w:p>
    <w:p>
      <w:pPr>
        <w:spacing w:after="0" w:before="80"/>
      </w:pPr>
      <w:r>
        <w:t xml:space="preserve"/>
      </w:r>
    </w:p>
    <w:p>
      <w:pPr>
        <w:spacing w:after="80" w:before="80"/>
      </w:pPr>
      <w:r>
        <w:rPr>
          <w:rFonts w:ascii="Arial" w:cs="Arial" w:eastAsia="Arial" w:hAnsi="Arial"/>
          <w:color w:val="64748B"/>
          <w:sz w:val="22"/>
          <w:szCs w:val="22"/>
        </w:rPr>
        <w:t xml:space="preserve">Time estimate per stock with AI assistance: 20–40 minutes. Full Banking sector (approximately 15–20 stocks): 8–14 hours of Product Owner review time. Spread across Month 1 at 1 hour per day.</w:t>
      </w:r>
    </w:p>
    <w:p>
      <w:pPr>
        <w:spacing w:after="0" w:before="200"/>
      </w:pPr>
      <w:r>
        <w:t xml:space="preserve"/>
      </w:r>
    </w:p>
    <w:p>
      <w:pPr>
        <w:pStyle w:val="Heading2"/>
        <w:pBdr>
          <w:bottom w:val="single" w:color="2E63E8" w:sz="4" w:space="4"/>
        </w:pBdr>
        <w:spacing w:after="120" w:before="300"/>
      </w:pPr>
      <w:r>
        <w:rPr>
          <w:rFonts w:ascii="Arial" w:cs="Arial" w:eastAsia="Arial" w:hAnsi="Arial"/>
          <w:b/>
          <w:bCs/>
          <w:color w:val="1A4FCC"/>
          <w:sz w:val="28"/>
          <w:szCs w:val="28"/>
        </w:rPr>
        <w:t xml:space="preserve">6.2 Tier 2 — Sector Knowledge Base</w:t>
      </w:r>
    </w:p>
    <w:p>
      <w:pPr>
        <w:spacing w:after="80" w:before="80"/>
      </w:pPr>
      <w:r>
        <w:rPr>
          <w:rFonts w:ascii="Arial" w:cs="Arial" w:eastAsia="Arial" w:hAnsi="Arial"/>
          <w:color w:val="64748B"/>
          <w:sz w:val="22"/>
          <w:szCs w:val="22"/>
        </w:rPr>
        <w:t xml:space="preserve">Eight sector learning modules powering The Map. Built once, updated semi-annually. Content-intensive but infrastructure-light. Each module follows the five-component structure.</w:t>
      </w:r>
    </w:p>
    <w:p>
      <w:pPr>
        <w:spacing w:after="0" w:before="80"/>
      </w:pPr>
      <w:r>
        <w:t xml:space="preserve"/>
      </w:r>
    </w:p>
    <w:p>
      <w:pPr>
        <w:spacing w:after="80" w:before="80"/>
      </w:pPr>
      <w:r>
        <w:rPr>
          <w:rFonts w:ascii="Arial" w:cs="Arial" w:eastAsia="Arial" w:hAnsi="Arial"/>
          <w:color w:val="64748B"/>
          <w:sz w:val="22"/>
          <w:szCs w:val="22"/>
        </w:rPr>
        <w:t xml:space="preserve">Build approach: LLM generates first draft of each module from publicly available sector research. Product Owner reviews for accuracy and accessibility. Published to The Map with a 'Last reviewed' date. No ongoing editorial burden beyond semi-annual refresh.</w:t>
      </w:r>
    </w:p>
    <w:p>
      <w:pPr>
        <w:spacing w:after="0" w:before="200"/>
      </w:pPr>
      <w:r>
        <w:t xml:space="preserve"/>
      </w:r>
    </w:p>
    <w:p>
      <w:pPr>
        <w:pStyle w:val="Heading2"/>
        <w:pBdr>
          <w:bottom w:val="single" w:color="2E63E8" w:sz="4" w:space="4"/>
        </w:pBdr>
        <w:spacing w:after="120" w:before="300"/>
      </w:pPr>
      <w:r>
        <w:rPr>
          <w:rFonts w:ascii="Arial" w:cs="Arial" w:eastAsia="Arial" w:hAnsi="Arial"/>
          <w:b/>
          <w:bCs/>
          <w:color w:val="1A4FCC"/>
          <w:sz w:val="28"/>
          <w:szCs w:val="28"/>
        </w:rPr>
        <w:t xml:space="preserve">6.3 Tier 3 — Event Intelligence Layer</w:t>
      </w:r>
    </w:p>
    <w:p>
      <w:pPr>
        <w:spacing w:after="80" w:before="80"/>
      </w:pPr>
      <w:r>
        <w:rPr>
          <w:rFonts w:ascii="Arial" w:cs="Arial" w:eastAsia="Arial" w:hAnsi="Arial"/>
          <w:color w:val="64748B"/>
          <w:sz w:val="22"/>
          <w:szCs w:val="22"/>
        </w:rPr>
        <w:t xml:space="preserve">The continuous production layer. Automated event detection, AI-assisted card generation, editorial review, publication, and lifecycle management.</w:t>
      </w:r>
    </w:p>
    <w:p>
      <w:pPr>
        <w:spacing w:after="0" w:before="80"/>
      </w:pPr>
      <w:r>
        <w:t xml:space="preserve"/>
      </w:r>
    </w:p>
    <w:p>
      <w:pPr>
        <w:pStyle w:val="Heading3"/>
        <w:spacing w:after="100" w:before="240"/>
      </w:pPr>
      <w:r>
        <w:rPr>
          <w:rFonts w:ascii="Arial" w:cs="Arial" w:eastAsia="Arial" w:hAnsi="Arial"/>
          <w:b/>
          <w:bCs/>
          <w:color w:val="334155"/>
          <w:sz w:val="24"/>
          <w:szCs w:val="24"/>
        </w:rPr>
        <w:t xml:space="preserve">6.3.1 Event Detection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000"/>
        <w:gridCol w:w="1960"/>
      </w:tblGrid>
      <w:tr>
        <w:trPr>
          <w:tblHeader/>
        </w:trPr>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What It Monitors</w:t>
            </w:r>
          </w:p>
        </w:tc>
        <w:tc>
          <w:tcPr>
            <w:tcW w:type="dxa" w:w="2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Cadence</w:t>
            </w:r>
          </w:p>
        </w:tc>
        <w:tc>
          <w:tcPr>
            <w:tcW w:type="dxa" w:w="1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NewsAPI free tier</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Major global and Indian news events tagged to market relevance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4-hourly during market days</w:t>
            </w:r>
          </w:p>
        </w:tc>
        <w:tc>
          <w:tcPr>
            <w:tcW w:type="dxa" w:w="1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Phase 1</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RBI website RSS feed</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Monetary policy decisions, press releases, circulars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Event-driven, checked 4-hourly</w:t>
            </w:r>
          </w:p>
        </w:tc>
        <w:tc>
          <w:tcPr>
            <w:tcW w:type="dxa" w:w="1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Phase 1</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NSE/BSE corporate announcements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Significant company-level disclosures, results, governance events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Daily post-market</w:t>
            </w:r>
          </w:p>
        </w:tc>
        <w:tc>
          <w:tcPr>
            <w:tcW w:type="dxa" w:w="1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Phase 1</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Manually maintained watchlist</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Slow-burn events: trade deals, budget timelines, election cycles, ongoing geopolitical situations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Weekly editorial review</w:t>
            </w:r>
          </w:p>
        </w:tc>
        <w:tc>
          <w:tcPr>
            <w:tcW w:type="dxa" w:w="1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Phase 1</w:t>
            </w:r>
          </w:p>
        </w:tc>
      </w:tr>
    </w:tbl>
    <w:p>
      <w:pPr>
        <w:spacing w:after="0" w:before="120"/>
      </w:pPr>
      <w:r>
        <w:t xml:space="preserve"/>
      </w:r>
    </w:p>
    <w:p>
      <w:pPr>
        <w:pStyle w:val="Heading3"/>
        <w:spacing w:after="100" w:before="240"/>
      </w:pPr>
      <w:r>
        <w:rPr>
          <w:rFonts w:ascii="Arial" w:cs="Arial" w:eastAsia="Arial" w:hAnsi="Arial"/>
          <w:b/>
          <w:bCs/>
          <w:color w:val="334155"/>
          <w:sz w:val="24"/>
          <w:szCs w:val="24"/>
        </w:rPr>
        <w:t xml:space="preserve">6.3.2 Data Sources — Free Tier, Research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2160"/>
      </w:tblGrid>
      <w:tr>
        <w:trPr>
          <w:tblHeader/>
        </w:trPr>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Refresh</w:t>
            </w:r>
          </w:p>
        </w:tc>
        <w:tc>
          <w:tcPr>
            <w:tcW w:type="dxa" w:w="2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Legal Status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Stock EOD prices</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yfinance (Yahoo Finance)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Daily post 6PM IST</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Free, research use — unofficial, build fallback</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Mutual Fund NAV</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mfapi.in</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Daily</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Fully free, AMFI data</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FII/DII activity</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NSE website public CSV</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Daily</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Public data, research use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RBI policy data</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RBI website public releases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Event-driven</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Public domain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INR/USD, Crude Oil</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yfinance or investing.com</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Daily</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Free for research</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Market news</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NewsAPI free tier (100 calls/day)</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4-hourly</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Free tier, research use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Fundamental data</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Screener.in free tier / Tickertape free tier</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Weekly manual review</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Grey area — research only, no redistribution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2E8F0" w:sz="1"/>
              <w:left w:val="single" w:color="E2E8F0" w:sz="1"/>
              <w:bottom w:val="single" w:color="E2E8F0" w:sz="1"/>
              <w:right w:val="single" w:color="E2E8F0" w:sz="1"/>
            </w:tcBorders>
            <w:shd w:fill="8A500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DATA RISK</w:t>
            </w:r>
          </w:p>
        </w:tc>
        <w:tc>
          <w:tcPr>
            <w:tcW w:type="dxa" w:w="7760"/>
            <w:tcBorders>
              <w:top w:val="single" w:color="E2E8F0" w:sz="1"/>
              <w:left w:val="single" w:color="E2E8F0" w:sz="1"/>
              <w:bottom w:val="single" w:color="E2E8F0" w:sz="1"/>
              <w:right w:val="single" w:color="E2E8F0" w:sz="1"/>
            </w:tcBorders>
            <w:shd w:fill="FDF2E3" w:val="clear"/>
            <w:tcMar>
              <w:top w:type="dxa" w:w="100"/>
              <w:left w:type="dxa" w:w="140"/>
              <w:bottom w:type="dxa" w:w="100"/>
              <w:right w:type="dxa" w:w="120"/>
            </w:tcMar>
          </w:tcPr>
          <w:p>
            <w:r>
              <w:rPr>
                <w:rFonts w:ascii="Arial" w:cs="Arial" w:eastAsia="Arial" w:hAnsi="Arial"/>
                <w:color w:val="334155"/>
                <w:sz w:val="20"/>
                <w:szCs w:val="20"/>
              </w:rPr>
              <w:t xml:space="preserve">yfinance is unofficial and can break without notice. NSE periodically blocks scrapers. Build the data layer with source abstraction and fallback sources from Day 1. Every data point carries a timestamp and source tag. Never assume data freshness.</w:t>
            </w:r>
          </w:p>
        </w:tc>
      </w:tr>
    </w:tbl>
    <w:p>
      <w:r>
        <w:br w:type="page"/>
      </w:r>
    </w:p>
    <w:p>
      <w:pPr>
        <w:pStyle w:val="Heading1"/>
        <w:spacing w:after="160" w:before="400"/>
      </w:pPr>
      <w:r>
        <w:rPr>
          <w:rFonts w:ascii="Arial" w:cs="Arial" w:eastAsia="Arial" w:hAnsi="Arial"/>
          <w:b/>
          <w:bCs/>
          <w:color w:val="0F172A"/>
          <w:sz w:val="36"/>
          <w:szCs w:val="36"/>
        </w:rPr>
        <w:t xml:space="preserve">7. UI Design Specification</w:t>
      </w:r>
    </w:p>
    <w:p>
      <w:pPr>
        <w:pStyle w:val="Heading2"/>
        <w:pBdr>
          <w:bottom w:val="single" w:color="2E63E8" w:sz="4" w:space="4"/>
        </w:pBdr>
        <w:spacing w:after="120" w:before="300"/>
      </w:pPr>
      <w:r>
        <w:rPr>
          <w:rFonts w:ascii="Arial" w:cs="Arial" w:eastAsia="Arial" w:hAnsi="Arial"/>
          <w:b/>
          <w:bCs/>
          <w:color w:val="1A4FCC"/>
          <w:sz w:val="28"/>
          <w:szCs w:val="28"/>
        </w:rPr>
        <w:t xml:space="preserve">7.1 Design Philosophy</w:t>
      </w:r>
    </w:p>
    <w:p>
      <w:pPr>
        <w:spacing w:after="80" w:before="80"/>
      </w:pPr>
      <w:r>
        <w:rPr>
          <w:rFonts w:ascii="Arial" w:cs="Arial" w:eastAsia="Arial" w:hAnsi="Arial"/>
          <w:color w:val="64748B"/>
          <w:sz w:val="22"/>
          <w:szCs w:val="22"/>
        </w:rPr>
        <w:t xml:space="preserve">FinnWise is designed to feel like The Economist, not like a fintech app. Calm authority. Generous whitespace. Typography that signals reading, not scanning. Information density that rewards attention without punishing occasional use.</w:t>
      </w:r>
    </w:p>
    <w:p>
      <w:pPr>
        <w:spacing w:after="0" w:before="80"/>
      </w:pPr>
      <w:r>
        <w:t xml:space="preserve"/>
      </w:r>
    </w:p>
    <w:p>
      <w:pPr>
        <w:spacing w:after="80" w:before="80"/>
      </w:pPr>
      <w:r>
        <w:rPr>
          <w:rFonts w:ascii="Arial" w:cs="Arial" w:eastAsia="Arial" w:hAnsi="Arial"/>
          <w:color w:val="64748B"/>
          <w:sz w:val="22"/>
          <w:szCs w:val="22"/>
        </w:rPr>
        <w:t xml:space="preserve">Three design rules that override all others:</w:t>
      </w:r>
    </w:p>
    <w:p>
      <w:pPr>
        <w:pStyle w:val="ListParagraph"/>
        <w:numPr>
          <w:ilvl w:val="0"/>
          <w:numId w:val="2"/>
        </w:numPr>
        <w:spacing w:after="60" w:before="60"/>
      </w:pPr>
      <w:r>
        <w:rPr>
          <w:rFonts w:ascii="Arial" w:cs="Arial" w:eastAsia="Arial" w:hAnsi="Arial"/>
          <w:b w:val="false"/>
          <w:bCs w:val="false"/>
          <w:color w:val="64748B"/>
          <w:sz w:val="22"/>
          <w:szCs w:val="22"/>
        </w:rPr>
        <w:t xml:space="preserve">Meaning before metric — every financial number is accompanied by its plain-English translation and context in the same display. The number is secondary to the meaning.</w:t>
      </w:r>
    </w:p>
    <w:p>
      <w:pPr>
        <w:pStyle w:val="ListParagraph"/>
        <w:numPr>
          <w:ilvl w:val="0"/>
          <w:numId w:val="2"/>
        </w:numPr>
        <w:spacing w:after="60" w:before="60"/>
      </w:pPr>
      <w:r>
        <w:rPr>
          <w:rFonts w:ascii="Arial" w:cs="Arial" w:eastAsia="Arial" w:hAnsi="Arial"/>
          <w:b w:val="false"/>
          <w:bCs w:val="false"/>
          <w:color w:val="64748B"/>
          <w:sz w:val="22"/>
          <w:szCs w:val="22"/>
        </w:rPr>
        <w:t xml:space="preserve">Context before concept — financial concepts are taught through current, real events that the user already cares about, never in the abstract.</w:t>
      </w:r>
    </w:p>
    <w:p>
      <w:pPr>
        <w:pStyle w:val="ListParagraph"/>
        <w:numPr>
          <w:ilvl w:val="0"/>
          <w:numId w:val="2"/>
        </w:numPr>
        <w:spacing w:after="60" w:before="60"/>
      </w:pPr>
      <w:r>
        <w:rPr>
          <w:rFonts w:ascii="Arial" w:cs="Arial" w:eastAsia="Arial" w:hAnsi="Arial"/>
          <w:b w:val="false"/>
          <w:bCs w:val="false"/>
          <w:color w:val="64748B"/>
          <w:sz w:val="22"/>
          <w:szCs w:val="22"/>
        </w:rPr>
        <w:t xml:space="preserve">Confidence before conclusion — uncertainty is displayed before analysis, not buried in footnotes after recommendations.</w:t>
      </w:r>
    </w:p>
    <w:p>
      <w:pPr>
        <w:spacing w:after="0" w:before="200"/>
      </w:pPr>
      <w:r>
        <w:t xml:space="preserve"/>
      </w:r>
    </w:p>
    <w:p>
      <w:pPr>
        <w:pStyle w:val="Heading2"/>
        <w:pBdr>
          <w:bottom w:val="single" w:color="2E63E8" w:sz="4" w:space="4"/>
        </w:pBdr>
        <w:spacing w:after="120" w:before="300"/>
      </w:pPr>
      <w:r>
        <w:rPr>
          <w:rFonts w:ascii="Arial" w:cs="Arial" w:eastAsia="Arial" w:hAnsi="Arial"/>
          <w:b/>
          <w:bCs/>
          <w:color w:val="1A4FCC"/>
          <w:sz w:val="28"/>
          <w:szCs w:val="28"/>
        </w:rPr>
        <w:t xml:space="preserve">7.2 Typography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2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Use</w:t>
            </w:r>
          </w:p>
        </w:tc>
        <w:tc>
          <w:tcPr>
            <w:tcW w:type="dxa" w:w="43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Playfair Display</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Article titles, section headers in The Thread, Framework Behind This title</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Signals reading and depth. Editorial authority without feeling like a newspaper template. Used by serious financial publications.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Inter</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Body text, UI elements, navigation, buttons, form inputs</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Clean, highly legible at small sizes. Genuinely professional at the information density this app requires. Industry standard for web applications.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DM Mono</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Data labels, MMJ badges, provenance tags, navigation group labels, card lifecycle status</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Mono treatment on data elements signals precision and verifiability. Creates clear visual separation between narrative content and analytical metadata.</w:t>
            </w:r>
          </w:p>
        </w:tc>
      </w:tr>
    </w:tbl>
    <w:p>
      <w:pPr>
        <w:spacing w:after="0" w:before="200"/>
      </w:pPr>
      <w:r>
        <w:t xml:space="preserve"/>
      </w:r>
    </w:p>
    <w:p>
      <w:pPr>
        <w:pStyle w:val="Heading2"/>
        <w:pBdr>
          <w:bottom w:val="single" w:color="2E63E8" w:sz="4" w:space="4"/>
        </w:pBdr>
        <w:spacing w:after="120" w:before="300"/>
      </w:pPr>
      <w:r>
        <w:rPr>
          <w:rFonts w:ascii="Arial" w:cs="Arial" w:eastAsia="Arial" w:hAnsi="Arial"/>
          <w:b/>
          <w:bCs/>
          <w:color w:val="1A4FCC"/>
          <w:sz w:val="28"/>
          <w:szCs w:val="28"/>
        </w:rPr>
        <w:t xml:space="preserve">7.3 Colour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Colour</w:t>
            </w:r>
          </w:p>
        </w:tc>
        <w:tc>
          <w:tcPr>
            <w:tcW w:type="dxa" w:w="2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53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Blue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#1A4FCC</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Primary trust colour. Navigation active state, links, confidence dots (high), Measured MMJ badge, primary CTAs.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Green</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#0A6644</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Opportunity signals, positive instrument assessments, entry conditions, resolved signal state, Modelled MMJ badge.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Amber</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#8A5009</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Watch signals, moderate confidence, triggered signal state, Judged MMJ badge, Fog of War banner.</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Red</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#9B2416</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Headwind signals, negative instrument assessments, exit conditions, SEBI disclaimer.</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Slate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#0F172A — #94A3B8</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Full ink scale for body text, subtext, labels, borders. No pure black.</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Surface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#F8FAFC / #FFFFFF</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Page background and raised card background. Warm white, not cold grey.</w:t>
            </w:r>
          </w:p>
        </w:tc>
      </w:tr>
    </w:tbl>
    <w:p>
      <w:pPr>
        <w:spacing w:after="0" w:before="200"/>
      </w:pPr>
      <w:r>
        <w:t xml:space="preserve"/>
      </w:r>
    </w:p>
    <w:p>
      <w:pPr>
        <w:pStyle w:val="Heading2"/>
        <w:pBdr>
          <w:bottom w:val="single" w:color="2E63E8" w:sz="4" w:space="4"/>
        </w:pBdr>
        <w:spacing w:after="120" w:before="300"/>
      </w:pPr>
      <w:r>
        <w:rPr>
          <w:rFonts w:ascii="Arial" w:cs="Arial" w:eastAsia="Arial" w:hAnsi="Arial"/>
          <w:b/>
          <w:bCs/>
          <w:color w:val="1A4FCC"/>
          <w:sz w:val="28"/>
          <w:szCs w:val="28"/>
        </w:rPr>
        <w:t xml:space="preserve">7.4 Navigation — Responsive Behaviour</w:t>
      </w:r>
    </w:p>
    <w:p>
      <w:pPr>
        <w:pStyle w:val="ListParagraph"/>
        <w:numPr>
          <w:ilvl w:val="0"/>
          <w:numId w:val="2"/>
        </w:numPr>
        <w:spacing w:after="60" w:before="60"/>
      </w:pPr>
      <w:r>
        <w:rPr>
          <w:rFonts w:ascii="Arial" w:cs="Arial" w:eastAsia="Arial" w:hAnsi="Arial"/>
          <w:b w:val="false"/>
          <w:bCs w:val="false"/>
          <w:color w:val="64748B"/>
          <w:sz w:val="22"/>
          <w:szCs w:val="22"/>
        </w:rPr>
        <w:t xml:space="preserve">Desktop (over 860px): left sidebar, 220px wide, persistent. Logo at top. Nav groups with labels. User profile chip at bottom.</w:t>
      </w:r>
    </w:p>
    <w:p>
      <w:pPr>
        <w:pStyle w:val="ListParagraph"/>
        <w:numPr>
          <w:ilvl w:val="0"/>
          <w:numId w:val="2"/>
        </w:numPr>
        <w:spacing w:after="60" w:before="60"/>
      </w:pPr>
      <w:r>
        <w:rPr>
          <w:rFonts w:ascii="Arial" w:cs="Arial" w:eastAsia="Arial" w:hAnsi="Arial"/>
          <w:b w:val="false"/>
          <w:bCs w:val="false"/>
          <w:color w:val="64748B"/>
          <w:sz w:val="22"/>
          <w:szCs w:val="22"/>
        </w:rPr>
        <w:t xml:space="preserve">Tablet (600–860px): sidebar collapses to top navigation bar. Core surfaces accessible.</w:t>
      </w:r>
    </w:p>
    <w:p>
      <w:pPr>
        <w:pStyle w:val="ListParagraph"/>
        <w:numPr>
          <w:ilvl w:val="0"/>
          <w:numId w:val="2"/>
        </w:numPr>
        <w:spacing w:after="60" w:before="60"/>
      </w:pPr>
      <w:r>
        <w:rPr>
          <w:rFonts w:ascii="Arial" w:cs="Arial" w:eastAsia="Arial" w:hAnsi="Arial"/>
          <w:b w:val="false"/>
          <w:bCs w:val="false"/>
          <w:color w:val="64748B"/>
          <w:sz w:val="22"/>
          <w:szCs w:val="22"/>
        </w:rPr>
        <w:t xml:space="preserve">Mobile (under 600px): top bar with logo and hamburger menu. Full article layout, aside panel hidden or stacked below.</w:t>
      </w:r>
    </w:p>
    <w:p>
      <w:pPr>
        <w:spacing w:after="0" w:before="200"/>
      </w:pPr>
      <w:r>
        <w:t xml:space="preserve"/>
      </w:r>
    </w:p>
    <w:p>
      <w:pPr>
        <w:pStyle w:val="Heading2"/>
        <w:pBdr>
          <w:bottom w:val="single" w:color="2E63E8" w:sz="4" w:space="4"/>
        </w:pBdr>
        <w:spacing w:after="120" w:before="300"/>
      </w:pPr>
      <w:r>
        <w:rPr>
          <w:rFonts w:ascii="Arial" w:cs="Arial" w:eastAsia="Arial" w:hAnsi="Arial"/>
          <w:b/>
          <w:bCs/>
          <w:color w:val="1A4FCC"/>
          <w:sz w:val="28"/>
          <w:szCs w:val="28"/>
        </w:rPr>
        <w:t xml:space="preserve">7.5 Approved Screen Designs</w:t>
      </w:r>
    </w:p>
    <w:p>
      <w:pPr>
        <w:spacing w:after="80" w:before="80"/>
      </w:pPr>
      <w:r>
        <w:rPr>
          <w:rFonts w:ascii="Arial" w:cs="Arial" w:eastAsia="Arial" w:hAnsi="Arial"/>
          <w:color w:val="64748B"/>
          <w:sz w:val="22"/>
          <w:szCs w:val="22"/>
        </w:rPr>
        <w:t xml:space="preserve">The following screens have been reviewed and approved by the Product Owner. They represent the design specification for V1. Screens 4 (The Map), 5 (The Mirror), and 6 (The Lens) are specified functionally in this PRD but not yet designed.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760"/>
        <w:gridCol w:w="3600"/>
      </w:tblGrid>
      <w:tr>
        <w:trPr>
          <w:tblHeader/>
        </w:trPr>
        <w:tc>
          <w:tcPr>
            <w:tcW w:type="dxa" w:w="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7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Key Design Decisions</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1</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Onboarding</w:t>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Approved</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Three-step conversational flow. No forms, no sliders. Plain English questions. Portfolio builder vs protector detection. Progress dots not percentage bar. SEBI disclaimer persistent at base.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2</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The Pulse — v2</w:t>
            </w:r>
          </w:p>
        </w:tc>
        <w:tc>
          <w:tcPr>
            <w:tcW w:type="dxa" w:w="2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Approved</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Two-column desktop layout. Left sidebar navigation. Financial implication leads card headline. Fog of War banner above feed. Direction and magnitude confidence shown separately. Interactive right panel updating on card selection.</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3</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The Thread — v2</w:t>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Approved</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Playfair Display + Inter + DM Mono typography. ICE tabs — Insight, Context, Evidence. Causal chain numbered steps. Entry and exit conditions panel. Dissenting view with distinct visual treatment. Framework Behind This with gradient background. Prediction logger. Living Card status panel in aside. Signal consequence map — interactive, three states.</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4</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The Map</w:t>
            </w:r>
          </w:p>
        </w:tc>
        <w:tc>
          <w:tcPr>
            <w:tcW w:type="dxa" w:w="2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Not yet designed</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Navigable sector landscape. Eight sectors. Each shows current macro status colour. Tap to enter sector learning module. Module uses ICE structure applied to sector, not event.</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5</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The Mirror</w:t>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Not yet designed</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Two panels: prediction history and reasoning gap analysis. No rupee performance shown. Resolved card notifications. Reasoning accuracy tracked at three levels.</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6</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The Lens</w:t>
            </w:r>
          </w:p>
        </w:tc>
        <w:tc>
          <w:tcPr>
            <w:tcW w:type="dxa" w:w="2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Not yet designed</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Search / query input. On-demand card generation. 30–90 second response time. Same ICE structure as The Thread. Phase 2 feature.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2E8F0" w:sz="1"/>
              <w:left w:val="single" w:color="E2E8F0" w:sz="1"/>
              <w:bottom w:val="single" w:color="E2E8F0" w:sz="1"/>
              <w:right w:val="single" w:color="E2E8F0" w:sz="1"/>
            </w:tcBorders>
            <w:shd w:fill="2E63E8"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DESIGN FILES</w:t>
            </w:r>
          </w:p>
        </w:tc>
        <w:tc>
          <w:tcPr>
            <w:tcW w:type="dxa" w:w="7760"/>
            <w:tcBorders>
              <w:top w:val="single" w:color="E2E8F0" w:sz="1"/>
              <w:left w:val="single" w:color="E2E8F0" w:sz="1"/>
              <w:bottom w:val="single" w:color="E2E8F0" w:sz="1"/>
              <w:right w:val="single" w:color="E2E8F0" w:sz="1"/>
            </w:tcBorders>
            <w:shd w:fill="EBF0FD" w:val="clear"/>
            <w:tcMar>
              <w:top w:type="dxa" w:w="100"/>
              <w:left w:type="dxa" w:w="140"/>
              <w:bottom w:type="dxa" w:w="100"/>
              <w:right w:type="dxa" w:w="120"/>
            </w:tcMar>
          </w:tcPr>
          <w:p>
            <w:r>
              <w:rPr>
                <w:rFonts w:ascii="Arial" w:cs="Arial" w:eastAsia="Arial" w:hAnsi="Arial"/>
                <w:color w:val="334155"/>
                <w:sz w:val="20"/>
                <w:szCs w:val="20"/>
              </w:rPr>
              <w:t xml:space="preserve">Approved HTML design files for Screens 1, 2, and 3 are included as deliverables alongside this PRD. They are interactive prototypes built in HTML/CSS/JavaScript representing the full desktop and mobile responsive behaviour.</w:t>
            </w:r>
          </w:p>
        </w:tc>
      </w:tr>
    </w:tbl>
    <w:p>
      <w:r>
        <w:br w:type="page"/>
      </w:r>
    </w:p>
    <w:p>
      <w:pPr>
        <w:pStyle w:val="Heading1"/>
        <w:spacing w:after="160" w:before="400"/>
      </w:pPr>
      <w:r>
        <w:rPr>
          <w:rFonts w:ascii="Arial" w:cs="Arial" w:eastAsia="Arial" w:hAnsi="Arial"/>
          <w:b/>
          <w:bCs/>
          <w:color w:val="0F172A"/>
          <w:sz w:val="36"/>
          <w:szCs w:val="36"/>
        </w:rPr>
        <w:t xml:space="preserve">8.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2E8F0" w:sz="1"/>
              <w:left w:val="single" w:color="E2E8F0" w:sz="1"/>
              <w:bottom w:val="single" w:color="E2E8F0" w:sz="1"/>
              <w:right w:val="single" w:color="E2E8F0" w:sz="1"/>
            </w:tcBorders>
            <w:shd w:fill="2E63E8"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NOTE</w:t>
            </w:r>
          </w:p>
        </w:tc>
        <w:tc>
          <w:tcPr>
            <w:tcW w:type="dxa" w:w="7760"/>
            <w:tcBorders>
              <w:top w:val="single" w:color="E2E8F0" w:sz="1"/>
              <w:left w:val="single" w:color="E2E8F0" w:sz="1"/>
              <w:bottom w:val="single" w:color="E2E8F0" w:sz="1"/>
              <w:right w:val="single" w:color="E2E8F0" w:sz="1"/>
            </w:tcBorders>
            <w:shd w:fill="EBF0FD" w:val="clear"/>
            <w:tcMar>
              <w:top w:type="dxa" w:w="100"/>
              <w:left w:type="dxa" w:w="140"/>
              <w:bottom w:type="dxa" w:w="100"/>
              <w:right w:type="dxa" w:w="120"/>
            </w:tcMar>
          </w:tcPr>
          <w:p>
            <w:r>
              <w:rPr>
                <w:rFonts w:ascii="Arial" w:cs="Arial" w:eastAsia="Arial" w:hAnsi="Arial"/>
                <w:color w:val="334155"/>
                <w:sz w:val="20"/>
                <w:szCs w:val="20"/>
              </w:rPr>
              <w:t xml:space="preserve">Tech stack is confirmed for V1. Final implementation decisions on specific libraries and versions are made during the build. The stack below reflects what is realistic for a solo builder using AI development agents on a ₹20,000 annual budget.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Frontend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React + Next.js + Tailwind CSS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Five-surface web app requiring server-side rendering for fast initial load. Next.js is the natural React framework. Tailwind for consistent styling without a custom design system.</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Backend</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Python + FastAPI</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Analytical stack is Python-native. FastAPI for async LLM calls (15–45 second response times). Automatic API documentation.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LLM</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Anthropic Claude API — Sonnet</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Best instruction-following for structured financial prompts. Cost-effective at moderate usage volumes. Confirmed provider.</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Database</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PostgreSQL via Supabase</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Relational database with free tier sufficient for V1. Append-only track record log enforced at database level via row-level security. Cannot be edited or deleted by application layer.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Authentication</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Supabase Auth — magic link email</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No password management. Product Owner invites testers by email. Testers click a link and are in. Solves tester access without infrastructure overhead.</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Frontend hosting</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Vercel</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Native Next.js deployment. Free tier. One-click GitHub integration. Automatic preview deployments.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Backend hosting</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Railway</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Free tier handles Python backend and scheduled jobs. Event detection monitor runs as a scheduled Python job.</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Event detection</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Python scheduled job — 4-hour cadence</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Watches NewsAPI, RBI RSS, NSE announcements. Generates confidence score. Routes to auto-update or editorial queue based on confidence threshold.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Factor database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CSV to PostgreSQL — quarterly refresh</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Built and maintained as a separate project. Same database, independent pipeline. No ETL complexity in V1.</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Prompt templates</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Version-controlled in Git</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Auditable, change-tracked. Cards tagged with prompt version at generation. Track record interpretable when prompts change.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Development tooling</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AI agents — Cursor, Claude Code, GitHub Copilot, v0</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Product Owner uses AI agents for all code generation. Product Owner role in build: factor database review, editorial card review, product decisions.</w:t>
            </w:r>
          </w:p>
        </w:tc>
      </w:tr>
    </w:tbl>
    <w:p>
      <w:pPr>
        <w:spacing w:after="0" w:before="180"/>
      </w:pPr>
      <w:r>
        <w:t xml:space="preserve"/>
      </w:r>
    </w:p>
    <w:p>
      <w:pPr>
        <w:pStyle w:val="Heading2"/>
        <w:pBdr>
          <w:bottom w:val="single" w:color="2E63E8" w:sz="4" w:space="4"/>
        </w:pBdr>
        <w:spacing w:after="120" w:before="300"/>
      </w:pPr>
      <w:r>
        <w:rPr>
          <w:rFonts w:ascii="Arial" w:cs="Arial" w:eastAsia="Arial" w:hAnsi="Arial"/>
          <w:b/>
          <w:bCs/>
          <w:color w:val="1A4FCC"/>
          <w:sz w:val="28"/>
          <w:szCs w:val="28"/>
        </w:rPr>
        <w:t xml:space="preserve">8.1 Budget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rPr>
          <w:tblHeader/>
        </w:trPr>
        <w:tc>
          <w:tcPr>
            <w:tcW w:type="dxa" w:w="3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Estimated Cost</w:t>
            </w:r>
          </w:p>
        </w:tc>
        <w:tc>
          <w:tcPr>
            <w:tcW w:type="dxa" w:w="37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Claude API — LLM reasoning and card generation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₹8,000–10,000/yr</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~500–800 card generations and signal checks per month at moderate usage</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Vercel — frontend hosting</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₹0</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Free tier sufficient for V1 with 10–15 testers</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Railway — backend and scheduled jobs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₹0–1,500/yr</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Free tier or minimal paid tier</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Supabase — database and auth</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₹0</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Free tier sufficient for V1</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NewsAPI — event detection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₹0</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100 requests/day free tier, sufficient for 4-hourly cadence</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Domain name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₹800–1,200/yr</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Optional for research phase</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Buffer and contingency</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₹2,000–4,000</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API overages, additional tools</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TOTAL</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₹11,000–17,000/yr</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Within ₹20,000 annual budget</w:t>
            </w:r>
          </w:p>
        </w:tc>
      </w:tr>
    </w:tbl>
    <w:p>
      <w:r>
        <w:br w:type="page"/>
      </w:r>
    </w:p>
    <w:p>
      <w:pPr>
        <w:pStyle w:val="Heading1"/>
        <w:spacing w:after="160" w:before="400"/>
      </w:pPr>
      <w:r>
        <w:rPr>
          <w:rFonts w:ascii="Arial" w:cs="Arial" w:eastAsia="Arial" w:hAnsi="Arial"/>
          <w:b/>
          <w:bCs/>
          <w:color w:val="0F172A"/>
          <w:sz w:val="36"/>
          <w:szCs w:val="36"/>
        </w:rPr>
        <w:t xml:space="preserve">9. Phased Roadmap</w:t>
      </w:r>
    </w:p>
    <w:p>
      <w:pPr>
        <w:pStyle w:val="Heading2"/>
        <w:pBdr>
          <w:bottom w:val="single" w:color="2E63E8" w:sz="4" w:space="4"/>
        </w:pBdr>
        <w:spacing w:after="120" w:before="300"/>
      </w:pPr>
      <w:r>
        <w:rPr>
          <w:rFonts w:ascii="Arial" w:cs="Arial" w:eastAsia="Arial" w:hAnsi="Arial"/>
          <w:b/>
          <w:bCs/>
          <w:color w:val="1A4FCC"/>
          <w:sz w:val="28"/>
          <w:szCs w:val="28"/>
        </w:rPr>
        <w:t xml:space="preserve">9.1 Phase 1 — Foundation (Months 1–3)</w:t>
      </w:r>
    </w:p>
    <w:p>
      <w:pPr>
        <w:spacing w:after="80" w:before="80"/>
      </w:pPr>
      <w:r>
        <w:rPr>
          <w:rFonts w:ascii="Arial" w:cs="Arial" w:eastAsia="Arial" w:hAnsi="Arial"/>
          <w:color w:val="64748B"/>
          <w:sz w:val="22"/>
          <w:szCs w:val="22"/>
        </w:rPr>
        <w:t xml:space="preserve">The seed version. One sector of the factor database complete. Two or three sector knowledge modules built. The Pulse and The Thread surfaces live. Event detection and card generation pipeline operational. 10–15 testers. Track record logging from Day 1.</w:t>
      </w:r>
    </w:p>
    <w:p>
      <w:pPr>
        <w:spacing w:after="0" w:before="80"/>
      </w:pPr>
      <w:r>
        <w:t xml:space="preserve"/>
      </w:r>
    </w:p>
    <w:p>
      <w:pPr>
        <w:pStyle w:val="Heading3"/>
        <w:spacing w:after="100" w:before="240"/>
      </w:pPr>
      <w:r>
        <w:rPr>
          <w:rFonts w:ascii="Arial" w:cs="Arial" w:eastAsia="Arial" w:hAnsi="Arial"/>
          <w:b/>
          <w:bCs/>
          <w:color w:val="334155"/>
          <w:sz w:val="24"/>
          <w:szCs w:val="24"/>
        </w:rPr>
        <w:t xml:space="preserve">Application Build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57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1–2</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Database schema</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PostgreSQL schema live on Supabase. Factor database tables, card tables, signal tables, track record log table, user prediction table. All created with correct constraints.</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3–4</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LLM pipeline</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Three prompt templates version-controlled. ICE card synthesis, dissent generation, framework articulation. Test runs producing structurally correct cards from dummy input data.</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5–6</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Event detection</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Scheduled job running on Railway. NewsAPI and RBI RSS monitored. Events entering queue with confidence scores. Editorial review interface for Product Owner.</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7–8</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The Thread</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Full Thread surface live. ICE tabs functional. Living Card status panel. Signal consequence map. Prediction logger. Provenance dots. SEBI disclaimer.</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9–10</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The Pulse</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Full Pulse surface live. Two-column layout. Card feed. Insight panel. Fog of War mode. Onboarding flow. Tester access via Supabase magic link.</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11–12</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Tester launch</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5–10 testers invited. First real event card published. Track record timestamp logged. Feedback collection begins.</w:t>
            </w:r>
          </w:p>
        </w:tc>
      </w:tr>
    </w:tbl>
    <w:p>
      <w:pPr>
        <w:spacing w:after="0" w:before="120"/>
      </w:pPr>
      <w:r>
        <w:t xml:space="preserve"/>
      </w:r>
    </w:p>
    <w:p>
      <w:pPr>
        <w:pStyle w:val="Heading3"/>
        <w:spacing w:after="100" w:before="240"/>
      </w:pPr>
      <w:r>
        <w:rPr>
          <w:rFonts w:ascii="Arial" w:cs="Arial" w:eastAsia="Arial" w:hAnsi="Arial"/>
          <w:b/>
          <w:bCs/>
          <w:color w:val="334155"/>
          <w:sz w:val="24"/>
          <w:szCs w:val="24"/>
        </w:rPr>
        <w:t xml:space="preserve">Factor Database Build Milestones — Parallel Workstream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53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Forces Application Testing</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Month 1</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Banking and Financial Services complete — 15–20 stocks across 8 macro factors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Week 10 application test requires Banking sector data in database</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Month 2</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Energy sector complete — oil, gas, renewables — 10–15 stocks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Month 2 event card testing requires Energy sector data for Hormuz-type scenarios</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Month 3</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IT sector complete — 10–12 stocks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Month 3 tester launch requires at least 3 sectors in database for meaningful recommendations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2E8F0" w:sz="1"/>
              <w:left w:val="single" w:color="E2E8F0" w:sz="1"/>
              <w:bottom w:val="single" w:color="E2E8F0" w:sz="1"/>
              <w:right w:val="single" w:color="E2E8F0" w:sz="1"/>
            </w:tcBorders>
            <w:shd w:fill="2E63E8"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MILESTONE DESIGN INTENT</w:t>
            </w:r>
          </w:p>
        </w:tc>
        <w:tc>
          <w:tcPr>
            <w:tcW w:type="dxa" w:w="7760"/>
            <w:tcBorders>
              <w:top w:val="single" w:color="E2E8F0" w:sz="1"/>
              <w:left w:val="single" w:color="E2E8F0" w:sz="1"/>
              <w:bottom w:val="single" w:color="E2E8F0" w:sz="1"/>
              <w:right w:val="single" w:color="E2E8F0" w:sz="1"/>
            </w:tcBorders>
            <w:shd w:fill="EBF0FD" w:val="clear"/>
            <w:tcMar>
              <w:top w:type="dxa" w:w="100"/>
              <w:left w:type="dxa" w:w="140"/>
              <w:bottom w:type="dxa" w:w="100"/>
              <w:right w:type="dxa" w:w="120"/>
            </w:tcMar>
          </w:tcPr>
          <w:p>
            <w:r>
              <w:rPr>
                <w:rFonts w:ascii="Arial" w:cs="Arial" w:eastAsia="Arial" w:hAnsi="Arial"/>
                <w:color w:val="334155"/>
                <w:sz w:val="20"/>
                <w:szCs w:val="20"/>
              </w:rPr>
              <w:t xml:space="preserve">The factor database milestones are intentionally timed to force parallel progress. The application cannot be meaningfully tested without sector data. Sector data completion gates each application milestone. Neither workstream can fall behind without blocking the other.</w:t>
            </w:r>
          </w:p>
        </w:tc>
      </w:tr>
    </w:tbl>
    <w:p>
      <w:pPr>
        <w:spacing w:after="0" w:before="200"/>
      </w:pPr>
      <w:r>
        <w:t xml:space="preserve"/>
      </w:r>
    </w:p>
    <w:p>
      <w:pPr>
        <w:pStyle w:val="Heading2"/>
        <w:pBdr>
          <w:bottom w:val="single" w:color="2E63E8" w:sz="4" w:space="4"/>
        </w:pBdr>
        <w:spacing w:after="120" w:before="300"/>
      </w:pPr>
      <w:r>
        <w:rPr>
          <w:rFonts w:ascii="Arial" w:cs="Arial" w:eastAsia="Arial" w:hAnsi="Arial"/>
          <w:b/>
          <w:bCs/>
          <w:color w:val="1A4FCC"/>
          <w:sz w:val="28"/>
          <w:szCs w:val="28"/>
        </w:rPr>
        <w:t xml:space="preserve">9.2 Phase 2 — Engagement Layer (Months 4–9)</w:t>
      </w:r>
    </w:p>
    <w:p>
      <w:pPr>
        <w:pStyle w:val="ListParagraph"/>
        <w:numPr>
          <w:ilvl w:val="0"/>
          <w:numId w:val="2"/>
        </w:numPr>
        <w:spacing w:after="60" w:before="60"/>
      </w:pPr>
      <w:r>
        <w:rPr>
          <w:rFonts w:ascii="Arial" w:cs="Arial" w:eastAsia="Arial" w:hAnsi="Arial"/>
          <w:b w:val="false"/>
          <w:bCs w:val="false"/>
          <w:color w:val="64748B"/>
          <w:sz w:val="22"/>
          <w:szCs w:val="22"/>
        </w:rPr>
        <w:t xml:space="preserve">The Lens — on-demand Event Intelligence Card generation</w:t>
      </w:r>
    </w:p>
    <w:p>
      <w:pPr>
        <w:pStyle w:val="ListParagraph"/>
        <w:numPr>
          <w:ilvl w:val="0"/>
          <w:numId w:val="2"/>
        </w:numPr>
        <w:spacing w:after="60" w:before="60"/>
      </w:pPr>
      <w:r>
        <w:rPr>
          <w:rFonts w:ascii="Arial" w:cs="Arial" w:eastAsia="Arial" w:hAnsi="Arial"/>
          <w:b w:val="false"/>
          <w:bCs w:val="false"/>
          <w:color w:val="64748B"/>
          <w:sz w:val="22"/>
          <w:szCs w:val="22"/>
        </w:rPr>
        <w:t xml:space="preserve">The Mirror — prediction history, reasoning gap analysis, resolved card notifications</w:t>
      </w:r>
    </w:p>
    <w:p>
      <w:pPr>
        <w:pStyle w:val="ListParagraph"/>
        <w:numPr>
          <w:ilvl w:val="0"/>
          <w:numId w:val="2"/>
        </w:numPr>
        <w:spacing w:after="60" w:before="60"/>
      </w:pPr>
      <w:r>
        <w:rPr>
          <w:rFonts w:ascii="Arial" w:cs="Arial" w:eastAsia="Arial" w:hAnsi="Arial"/>
          <w:b w:val="false"/>
          <w:bCs w:val="false"/>
          <w:color w:val="64748B"/>
          <w:sz w:val="22"/>
          <w:szCs w:val="22"/>
        </w:rPr>
        <w:t xml:space="preserve">Portfolio protector personalisation — Pulse and Thread personalised to existing holdings</w:t>
      </w:r>
    </w:p>
    <w:p>
      <w:pPr>
        <w:pStyle w:val="ListParagraph"/>
        <w:numPr>
          <w:ilvl w:val="0"/>
          <w:numId w:val="2"/>
        </w:numPr>
        <w:spacing w:after="60" w:before="60"/>
      </w:pPr>
      <w:r>
        <w:rPr>
          <w:rFonts w:ascii="Arial" w:cs="Arial" w:eastAsia="Arial" w:hAnsi="Arial"/>
          <w:b w:val="false"/>
          <w:bCs w:val="false"/>
          <w:color w:val="64748B"/>
          <w:sz w:val="22"/>
          <w:szCs w:val="22"/>
        </w:rPr>
        <w:t xml:space="preserve">Email notifications when signals fire — triggered by confidence-gated detection</w:t>
      </w:r>
    </w:p>
    <w:p>
      <w:pPr>
        <w:pStyle w:val="ListParagraph"/>
        <w:numPr>
          <w:ilvl w:val="0"/>
          <w:numId w:val="2"/>
        </w:numPr>
        <w:spacing w:after="60" w:before="60"/>
      </w:pPr>
      <w:r>
        <w:rPr>
          <w:rFonts w:ascii="Arial" w:cs="Arial" w:eastAsia="Arial" w:hAnsi="Arial"/>
          <w:b w:val="false"/>
          <w:bCs w:val="false"/>
          <w:color w:val="64748B"/>
          <w:sz w:val="22"/>
          <w:szCs w:val="22"/>
        </w:rPr>
        <w:t xml:space="preserve">Factor database expansion — all 8 sectors complete</w:t>
      </w:r>
    </w:p>
    <w:p>
      <w:pPr>
        <w:pStyle w:val="ListParagraph"/>
        <w:numPr>
          <w:ilvl w:val="0"/>
          <w:numId w:val="2"/>
        </w:numPr>
        <w:spacing w:after="60" w:before="60"/>
      </w:pPr>
      <w:r>
        <w:rPr>
          <w:rFonts w:ascii="Arial" w:cs="Arial" w:eastAsia="Arial" w:hAnsi="Arial"/>
          <w:b w:val="false"/>
          <w:bCs w:val="false"/>
          <w:color w:val="64748B"/>
          <w:sz w:val="22"/>
          <w:szCs w:val="22"/>
        </w:rPr>
        <w:t xml:space="preserve">UI polish — Thread and Pulse refinement based on tester feedback from Phase 1</w:t>
      </w:r>
    </w:p>
    <w:p>
      <w:pPr>
        <w:spacing w:after="0" w:before="200"/>
      </w:pPr>
      <w:r>
        <w:t xml:space="preserve"/>
      </w:r>
    </w:p>
    <w:p>
      <w:pPr>
        <w:pStyle w:val="Heading2"/>
        <w:pBdr>
          <w:bottom w:val="single" w:color="2E63E8" w:sz="4" w:space="4"/>
        </w:pBdr>
        <w:spacing w:after="120" w:before="300"/>
      </w:pPr>
      <w:r>
        <w:rPr>
          <w:rFonts w:ascii="Arial" w:cs="Arial" w:eastAsia="Arial" w:hAnsi="Arial"/>
          <w:b/>
          <w:bCs/>
          <w:color w:val="1A4FCC"/>
          <w:sz w:val="28"/>
          <w:szCs w:val="28"/>
        </w:rPr>
        <w:t xml:space="preserve">9.3 Phase 3 — Intelligence Deepening (Months 10–18)</w:t>
      </w:r>
    </w:p>
    <w:p>
      <w:pPr>
        <w:pStyle w:val="ListParagraph"/>
        <w:numPr>
          <w:ilvl w:val="0"/>
          <w:numId w:val="2"/>
        </w:numPr>
        <w:spacing w:after="60" w:before="60"/>
      </w:pPr>
      <w:r>
        <w:rPr>
          <w:rFonts w:ascii="Arial" w:cs="Arial" w:eastAsia="Arial" w:hAnsi="Arial"/>
          <w:b w:val="false"/>
          <w:bCs w:val="false"/>
          <w:color w:val="64748B"/>
          <w:sz w:val="22"/>
          <w:szCs w:val="22"/>
        </w:rPr>
        <w:t xml:space="preserve">Full NLP pipeline for factor database — automated extraction from quarterly filings replaces manual review</w:t>
      </w:r>
    </w:p>
    <w:p>
      <w:pPr>
        <w:pStyle w:val="ListParagraph"/>
        <w:numPr>
          <w:ilvl w:val="0"/>
          <w:numId w:val="2"/>
        </w:numPr>
        <w:spacing w:after="60" w:before="60"/>
      </w:pPr>
      <w:r>
        <w:rPr>
          <w:rFonts w:ascii="Arial" w:cs="Arial" w:eastAsia="Arial" w:hAnsi="Arial"/>
          <w:b w:val="false"/>
          <w:bCs w:val="false"/>
          <w:color w:val="64748B"/>
          <w:sz w:val="22"/>
          <w:szCs w:val="22"/>
        </w:rPr>
        <w:t xml:space="preserve">Compound event Fog of War automation — model detects interaction effects between simultaneous events and adjusts confidence automatically</w:t>
      </w:r>
    </w:p>
    <w:p>
      <w:pPr>
        <w:pStyle w:val="ListParagraph"/>
        <w:numPr>
          <w:ilvl w:val="0"/>
          <w:numId w:val="2"/>
        </w:numPr>
        <w:spacing w:after="60" w:before="60"/>
      </w:pPr>
      <w:r>
        <w:rPr>
          <w:rFonts w:ascii="Arial" w:cs="Arial" w:eastAsia="Arial" w:hAnsi="Arial"/>
          <w:b w:val="false"/>
          <w:bCs w:val="false"/>
          <w:color w:val="64748B"/>
          <w:sz w:val="22"/>
          <w:szCs w:val="22"/>
        </w:rPr>
        <w:t xml:space="preserve">Community contribution model — curated external contributors for event card generation with editorial oversight</w:t>
      </w:r>
    </w:p>
    <w:p>
      <w:pPr>
        <w:pStyle w:val="ListParagraph"/>
        <w:numPr>
          <w:ilvl w:val="0"/>
          <w:numId w:val="2"/>
        </w:numPr>
        <w:spacing w:after="60" w:before="60"/>
      </w:pPr>
      <w:r>
        <w:rPr>
          <w:rFonts w:ascii="Arial" w:cs="Arial" w:eastAsia="Arial" w:hAnsi="Arial"/>
          <w:b w:val="false"/>
          <w:bCs w:val="false"/>
          <w:color w:val="64748B"/>
          <w:sz w:val="22"/>
          <w:szCs w:val="22"/>
        </w:rPr>
        <w:t xml:space="preserve">SEBI compliance audit — formal legal review before any public launch beyond tester group</w:t>
      </w:r>
    </w:p>
    <w:p>
      <w:pPr>
        <w:pStyle w:val="ListParagraph"/>
        <w:numPr>
          <w:ilvl w:val="0"/>
          <w:numId w:val="2"/>
        </w:numPr>
        <w:spacing w:after="60" w:before="60"/>
      </w:pPr>
      <w:r>
        <w:rPr>
          <w:rFonts w:ascii="Arial" w:cs="Arial" w:eastAsia="Arial" w:hAnsi="Arial"/>
          <w:b w:val="false"/>
          <w:bCs w:val="false"/>
          <w:color w:val="64748B"/>
          <w:sz w:val="22"/>
          <w:szCs w:val="22"/>
        </w:rPr>
        <w:t xml:space="preserve">Productisation assessment — RA registration research, scalability review, pricing model if registration obtained</w:t>
      </w:r>
    </w:p>
    <w:p>
      <w:r>
        <w:br w:type="page"/>
      </w:r>
    </w:p>
    <w:p>
      <w:pPr>
        <w:pStyle w:val="Heading1"/>
        <w:spacing w:after="160" w:before="400"/>
      </w:pPr>
      <w:r>
        <w:rPr>
          <w:rFonts w:ascii="Arial" w:cs="Arial" w:eastAsia="Arial" w:hAnsi="Arial"/>
          <w:b/>
          <w:bCs/>
          <w:color w:val="0F172A"/>
          <w:sz w:val="36"/>
          <w:szCs w:val="36"/>
        </w:rPr>
        <w:t xml:space="preserve">10. Compliance &amp; Legal Requirements</w:t>
      </w:r>
    </w:p>
    <w:p>
      <w:pPr>
        <w:pStyle w:val="Heading2"/>
        <w:pBdr>
          <w:bottom w:val="single" w:color="2E63E8" w:sz="4" w:space="4"/>
        </w:pBdr>
        <w:spacing w:after="120" w:before="300"/>
      </w:pPr>
      <w:r>
        <w:rPr>
          <w:rFonts w:ascii="Arial" w:cs="Arial" w:eastAsia="Arial" w:hAnsi="Arial"/>
          <w:b/>
          <w:bCs/>
          <w:color w:val="1A4FCC"/>
          <w:sz w:val="28"/>
          <w:szCs w:val="28"/>
        </w:rPr>
        <w:t xml:space="preserve">10.1 SEBI Safe Harbour Framing</w:t>
      </w:r>
    </w:p>
    <w:p>
      <w:pPr>
        <w:spacing w:after="80" w:before="80"/>
      </w:pPr>
      <w:r>
        <w:rPr>
          <w:rFonts w:ascii="Arial" w:cs="Arial" w:eastAsia="Arial" w:hAnsi="Arial"/>
          <w:color w:val="64748B"/>
          <w:sz w:val="22"/>
          <w:szCs w:val="22"/>
        </w:rPr>
        <w:t xml:space="preserve">FinnWise operates under the safe harbour for research and educational tools. The following constraints are non-negotiable and apply to every screen, every card, and every output.</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64748B"/>
          <w:sz w:val="22"/>
          <w:szCs w:val="22"/>
        </w:rPr>
        <w:t xml:space="preserve">No buy, sell, or hold language anywhere in the application — language is: opportunity signal, headwind signal, watch</w:t>
      </w:r>
    </w:p>
    <w:p>
      <w:pPr>
        <w:pStyle w:val="ListParagraph"/>
        <w:numPr>
          <w:ilvl w:val="0"/>
          <w:numId w:val="2"/>
        </w:numPr>
        <w:spacing w:after="60" w:before="60"/>
      </w:pPr>
      <w:r>
        <w:rPr>
          <w:rFonts w:ascii="Arial" w:cs="Arial" w:eastAsia="Arial" w:hAnsi="Arial"/>
          <w:b w:val="false"/>
          <w:bCs w:val="false"/>
          <w:color w:val="64748B"/>
          <w:sz w:val="22"/>
          <w:szCs w:val="22"/>
        </w:rPr>
        <w:t xml:space="preserve">No instrument shall have a target price or return expectation stated or implied</w:t>
      </w:r>
    </w:p>
    <w:p>
      <w:pPr>
        <w:pStyle w:val="ListParagraph"/>
        <w:numPr>
          <w:ilvl w:val="0"/>
          <w:numId w:val="2"/>
        </w:numPr>
        <w:spacing w:after="60" w:before="60"/>
      </w:pPr>
      <w:r>
        <w:rPr>
          <w:rFonts w:ascii="Arial" w:cs="Arial" w:eastAsia="Arial" w:hAnsi="Arial"/>
          <w:b w:val="false"/>
          <w:bCs w:val="false"/>
          <w:color w:val="64748B"/>
          <w:sz w:val="22"/>
          <w:szCs w:val="22"/>
        </w:rPr>
        <w:t xml:space="preserve">No personalised investment advice as defined under SEBI (Investment Advisers) Regulations 2013</w:t>
      </w:r>
    </w:p>
    <w:p>
      <w:pPr>
        <w:pStyle w:val="ListParagraph"/>
        <w:numPr>
          <w:ilvl w:val="0"/>
          <w:numId w:val="2"/>
        </w:numPr>
        <w:spacing w:after="60" w:before="60"/>
      </w:pPr>
      <w:r>
        <w:rPr>
          <w:rFonts w:ascii="Arial" w:cs="Arial" w:eastAsia="Arial" w:hAnsi="Arial"/>
          <w:b w:val="false"/>
          <w:bCs w:val="false"/>
          <w:color w:val="64748B"/>
          <w:sz w:val="22"/>
          <w:szCs w:val="22"/>
        </w:rPr>
        <w:t xml:space="preserve">SEBI disclaimer hardcoded on every screen that shows instrument-specific analysis — not a popup, a persistent element</w:t>
      </w:r>
    </w:p>
    <w:p>
      <w:pPr>
        <w:pStyle w:val="ListParagraph"/>
        <w:numPr>
          <w:ilvl w:val="0"/>
          <w:numId w:val="2"/>
        </w:numPr>
        <w:spacing w:after="60" w:before="60"/>
      </w:pPr>
      <w:r>
        <w:rPr>
          <w:rFonts w:ascii="Arial" w:cs="Arial" w:eastAsia="Arial" w:hAnsi="Arial"/>
          <w:b w:val="false"/>
          <w:bCs w:val="false"/>
          <w:color w:val="64748B"/>
          <w:sz w:val="22"/>
          <w:szCs w:val="22"/>
        </w:rPr>
        <w:t xml:space="preserve">Entry and exit conditions are analytical conditions framed as observations about the world — not investment instructions</w:t>
      </w:r>
    </w:p>
    <w:p>
      <w:pPr>
        <w:pStyle w:val="ListParagraph"/>
        <w:numPr>
          <w:ilvl w:val="0"/>
          <w:numId w:val="2"/>
        </w:numPr>
        <w:spacing w:after="60" w:before="60"/>
      </w:pPr>
      <w:r>
        <w:rPr>
          <w:rFonts w:ascii="Arial" w:cs="Arial" w:eastAsia="Arial" w:hAnsi="Arial"/>
          <w:b w:val="false"/>
          <w:bCs w:val="false"/>
          <w:color w:val="64748B"/>
          <w:sz w:val="22"/>
          <w:szCs w:val="22"/>
        </w:rPr>
        <w:t xml:space="preserve">No fee charged for recommendation output in V1</w:t>
      </w:r>
    </w:p>
    <w:p>
      <w:pPr>
        <w:pStyle w:val="ListParagraph"/>
        <w:numPr>
          <w:ilvl w:val="0"/>
          <w:numId w:val="2"/>
        </w:numPr>
        <w:spacing w:after="60" w:before="60"/>
      </w:pPr>
      <w:r>
        <w:rPr>
          <w:rFonts w:ascii="Arial" w:cs="Arial" w:eastAsia="Arial" w:hAnsi="Arial"/>
          <w:b w:val="false"/>
          <w:bCs w:val="false"/>
          <w:color w:val="64748B"/>
          <w:sz w:val="22"/>
          <w:szCs w:val="22"/>
        </w:rPr>
        <w:t xml:space="preserve">No user financial data stored beyond the current session — investment amount, period, risk preference are session-only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2E8F0" w:sz="1"/>
              <w:left w:val="single" w:color="E2E8F0" w:sz="1"/>
              <w:bottom w:val="single" w:color="E2E8F0" w:sz="1"/>
              <w:right w:val="single" w:color="E2E8F0" w:sz="1"/>
            </w:tcBorders>
            <w:shd w:fill="8A500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LEGAL REVIEW</w:t>
            </w:r>
          </w:p>
        </w:tc>
        <w:tc>
          <w:tcPr>
            <w:tcW w:type="dxa" w:w="7760"/>
            <w:tcBorders>
              <w:top w:val="single" w:color="E2E8F0" w:sz="1"/>
              <w:left w:val="single" w:color="E2E8F0" w:sz="1"/>
              <w:bottom w:val="single" w:color="E2E8F0" w:sz="1"/>
              <w:right w:val="single" w:color="E2E8F0" w:sz="1"/>
            </w:tcBorders>
            <w:shd w:fill="FDF2E3" w:val="clear"/>
            <w:tcMar>
              <w:top w:type="dxa" w:w="100"/>
              <w:left w:type="dxa" w:w="140"/>
              <w:bottom w:type="dxa" w:w="100"/>
              <w:right w:type="dxa" w:w="120"/>
            </w:tcMar>
          </w:tcPr>
          <w:p>
            <w:r>
              <w:rPr>
                <w:rFonts w:ascii="Arial" w:cs="Arial" w:eastAsia="Arial" w:hAnsi="Arial"/>
                <w:color w:val="334155"/>
                <w:sz w:val="20"/>
                <w:szCs w:val="20"/>
              </w:rPr>
              <w:t xml:space="preserve">Before any public launch beyond the invited tester group, all UI copy must be reviewed by a SEBI-specialised lawyer. The safe harbour framing in this PRD is based on the best current understanding of SEBI (Investment Advisers) Regulations 2013 and SEBI (Research Analysts) Regulations 2014 but does not constitute legal advice.</w:t>
            </w:r>
          </w:p>
        </w:tc>
      </w:tr>
    </w:tbl>
    <w:p>
      <w:pPr>
        <w:spacing w:after="0" w:before="200"/>
      </w:pPr>
      <w:r>
        <w:t xml:space="preserve"/>
      </w:r>
    </w:p>
    <w:p>
      <w:pPr>
        <w:pStyle w:val="Heading2"/>
        <w:pBdr>
          <w:bottom w:val="single" w:color="2E63E8" w:sz="4" w:space="4"/>
        </w:pBdr>
        <w:spacing w:after="120" w:before="300"/>
      </w:pPr>
      <w:r>
        <w:rPr>
          <w:rFonts w:ascii="Arial" w:cs="Arial" w:eastAsia="Arial" w:hAnsi="Arial"/>
          <w:b/>
          <w:bCs/>
          <w:color w:val="1A4FCC"/>
          <w:sz w:val="28"/>
          <w:szCs w:val="28"/>
        </w:rPr>
        <w:t xml:space="preserve">10.2 Relevant Regulations</w:t>
      </w:r>
    </w:p>
    <w:p>
      <w:pPr>
        <w:pStyle w:val="ListParagraph"/>
        <w:numPr>
          <w:ilvl w:val="0"/>
          <w:numId w:val="2"/>
        </w:numPr>
        <w:spacing w:after="60" w:before="60"/>
      </w:pPr>
      <w:r>
        <w:rPr>
          <w:rFonts w:ascii="Arial" w:cs="Arial" w:eastAsia="Arial" w:hAnsi="Arial"/>
          <w:b w:val="false"/>
          <w:bCs w:val="false"/>
          <w:color w:val="64748B"/>
          <w:sz w:val="22"/>
          <w:szCs w:val="22"/>
        </w:rPr>
        <w:t xml:space="preserve">SEBI (Investment Advisers) Regulations 2013 — defines personalised investment advice requiring IA registration</w:t>
      </w:r>
    </w:p>
    <w:p>
      <w:pPr>
        <w:pStyle w:val="ListParagraph"/>
        <w:numPr>
          <w:ilvl w:val="0"/>
          <w:numId w:val="2"/>
        </w:numPr>
        <w:spacing w:after="60" w:before="60"/>
      </w:pPr>
      <w:r>
        <w:rPr>
          <w:rFonts w:ascii="Arial" w:cs="Arial" w:eastAsia="Arial" w:hAnsi="Arial"/>
          <w:b w:val="false"/>
          <w:bCs w:val="false"/>
          <w:color w:val="64748B"/>
          <w:sz w:val="22"/>
          <w:szCs w:val="22"/>
        </w:rPr>
        <w:t xml:space="preserve">SEBI (Research Analysts) Regulations 2014 — defines securities research reports requiring RA registration</w:t>
      </w:r>
    </w:p>
    <w:p>
      <w:pPr>
        <w:pStyle w:val="ListParagraph"/>
        <w:numPr>
          <w:ilvl w:val="0"/>
          <w:numId w:val="2"/>
        </w:numPr>
        <w:spacing w:after="60" w:before="60"/>
      </w:pPr>
      <w:r>
        <w:rPr>
          <w:rFonts w:ascii="Arial" w:cs="Arial" w:eastAsia="Arial" w:hAnsi="Arial"/>
          <w:b w:val="false"/>
          <w:bCs w:val="false"/>
          <w:color w:val="64748B"/>
          <w:sz w:val="22"/>
          <w:szCs w:val="22"/>
        </w:rPr>
        <w:t xml:space="preserve">SEBI Circular on Digital Platforms 2021 — guidelines for fintechs providing investment-related content</w:t>
      </w:r>
    </w:p>
    <w:p>
      <w:pPr>
        <w:pStyle w:val="ListParagraph"/>
        <w:numPr>
          <w:ilvl w:val="0"/>
          <w:numId w:val="2"/>
        </w:numPr>
        <w:spacing w:after="60" w:before="60"/>
      </w:pPr>
      <w:r>
        <w:rPr>
          <w:rFonts w:ascii="Arial" w:cs="Arial" w:eastAsia="Arial" w:hAnsi="Arial"/>
          <w:b w:val="false"/>
          <w:bCs w:val="false"/>
          <w:color w:val="64748B"/>
          <w:sz w:val="22"/>
          <w:szCs w:val="22"/>
        </w:rPr>
        <w:t xml:space="preserve">NSE/BSE Data Vendor Policy — governs use of exchange data in commercial applications</w:t>
      </w:r>
    </w:p>
    <w:p>
      <w:r>
        <w:br w:type="page"/>
      </w:r>
    </w:p>
    <w:p>
      <w:pPr>
        <w:pStyle w:val="Heading1"/>
        <w:spacing w:after="160" w:before="400"/>
      </w:pPr>
      <w:r>
        <w:rPr>
          <w:rFonts w:ascii="Arial" w:cs="Arial" w:eastAsia="Arial" w:hAnsi="Arial"/>
          <w:b/>
          <w:bCs/>
          <w:color w:val="0F172A"/>
          <w:sz w:val="36"/>
          <w:szCs w:val="36"/>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600"/>
        <w:gridCol w:w="4760"/>
      </w:tblGrid>
      <w:tr>
        <w:trPr>
          <w:tblHeader/>
        </w:trPr>
        <w:tc>
          <w:tcPr>
            <w:tcW w:type="dxa" w:w="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7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1</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LLM generates qualitatively wrong analysis that sounds authoritative — not numeric hallucination but contextually wrong sector reasoning</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Critical</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Mandatory uncertainty statement on every card. Evidence layer is LLM-free. All LLM outputs logged with exact prompt. Prompt templates version-controlled.</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2</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Factor database weights are unvalidated — recommendations directionally wrong</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Critical</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All factor sensitivity estimates carry MMJ labels. Cards labelled as educational analysis not validated signals. Backtest methodology documented before tester launch.</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3</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Confidence-gated auto-update fires incorrectly — false signal damages user trust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High</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High confidence threshold requires 3+ independent sources. 2-hour override window. Product Owner notified simultaneously with every auto-update.</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4</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SEBI compliance — app crosses into regulated advice territory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High</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Legal review of all UI copy before tester launch. Mandatory signed onboarding disclaimer for testers. No rupee targets, no buy/sell language, no fees.</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yfinance breaks or NSE blocks — data pipeline fails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High</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Secondary data sources identified. Source abstraction layer in data pipeline. Freshness dots surface stale data to users immediately.</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6</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Editorial bottleneck — card quality declines under time pressure</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High</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AI-assisted draft generation reduces editorial time to 30–45 minutes per card. Event-driven cadence not calendar-driven. Quality gate: no card published without dissenting view.</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7</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Testers interpret analysis as financial advice and make real investment decisions based on it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High</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Mandatory tester briefing document signed before access. SEBI disclaimer on every screen. Onboarding explicitly states this is educational analysis.</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8</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Factor database build falls behind — application cannot be tested meaningfully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Medium</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Milestone design forces parallel progress. Banking sector data gates Week 10 application test. Solo builder time commitment: 1 hour per day for 3 months.</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9</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API cost overruns during testing</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Low</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Hard daily limit on LLM API calls — maximum 50 card generations per day in V1. Usage monitored weekly.</w:t>
            </w:r>
          </w:p>
        </w:tc>
      </w:tr>
    </w:tbl>
    <w:p>
      <w:r>
        <w:br w:type="page"/>
      </w:r>
    </w:p>
    <w:p>
      <w:pPr>
        <w:pStyle w:val="Heading1"/>
        <w:spacing w:after="160" w:before="400"/>
      </w:pPr>
      <w:r>
        <w:rPr>
          <w:rFonts w:ascii="Arial" w:cs="Arial" w:eastAsia="Arial" w:hAnsi="Arial"/>
          <w:b/>
          <w:bCs/>
          <w:color w:val="0F172A"/>
          <w:sz w:val="36"/>
          <w:szCs w:val="36"/>
        </w:rPr>
        <w:t xml:space="preserve">12. Success Metrics for V1</w:t>
      </w:r>
    </w:p>
    <w:p>
      <w:pPr>
        <w:spacing w:after="80" w:before="80"/>
      </w:pPr>
      <w:r>
        <w:rPr>
          <w:rFonts w:ascii="Arial" w:cs="Arial" w:eastAsia="Arial" w:hAnsi="Arial"/>
          <w:color w:val="64748B"/>
          <w:sz w:val="22"/>
          <w:szCs w:val="22"/>
        </w:rPr>
        <w:t xml:space="preserve">V1 is a research project. Success is measured on quality of intelligence output and user learning — not revenue, DAU, or engagement metrics.</w:t>
      </w:r>
    </w:p>
    <w:p>
      <w:pPr>
        <w:spacing w:after="0" w:before="120"/>
      </w:pPr>
      <w:r>
        <w:t xml:space="preserve"/>
      </w:r>
    </w:p>
    <w:p>
      <w:pPr>
        <w:pStyle w:val="Heading2"/>
        <w:pBdr>
          <w:bottom w:val="single" w:color="2E63E8" w:sz="4" w:space="4"/>
        </w:pBdr>
        <w:spacing w:after="120" w:before="300"/>
      </w:pPr>
      <w:r>
        <w:rPr>
          <w:rFonts w:ascii="Arial" w:cs="Arial" w:eastAsia="Arial" w:hAnsi="Arial"/>
          <w:b/>
          <w:bCs/>
          <w:color w:val="1A4FCC"/>
          <w:sz w:val="28"/>
          <w:szCs w:val="28"/>
        </w:rPr>
        <w:t xml:space="preserve">12.1 Quantitative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rPr>
          <w:tblHeader/>
        </w:trPr>
        <w:tc>
          <w:tcPr>
            <w:tcW w:type="dxa" w:w="3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5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Card accuracy — numbers match source data</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100%</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Manual spot-check of all published V1 cards</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Bias flag trigger rate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Over 60% of sessions trigger at least one bias flag</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Bias audit log analysis</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Tester comprehension — can explain why an instrument was flagged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Over 70% of testers after first session</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Short survey</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Data pipeline reliability</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Over 95% of weekday EOD refreshes complete</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Pipeline run log</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Editorial review time per card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Under 45 minutes</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Time log</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Signal detection false positive rate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Under 10% of high confidence auto-updates overridden</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Override log</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Tester sessions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5–10 testers complete at least 3 sessions each in Month 3</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Session log</w:t>
            </w:r>
          </w:p>
        </w:tc>
      </w:tr>
    </w:tbl>
    <w:p>
      <w:pPr>
        <w:spacing w:after="0" w:before="180"/>
      </w:pPr>
      <w:r>
        <w:t xml:space="preserve"/>
      </w:r>
    </w:p>
    <w:p>
      <w:pPr>
        <w:pStyle w:val="Heading2"/>
        <w:pBdr>
          <w:bottom w:val="single" w:color="2E63E8" w:sz="4" w:space="4"/>
        </w:pBdr>
        <w:spacing w:after="120" w:before="300"/>
      </w:pPr>
      <w:r>
        <w:rPr>
          <w:rFonts w:ascii="Arial" w:cs="Arial" w:eastAsia="Arial" w:hAnsi="Arial"/>
          <w:b/>
          <w:bCs/>
          <w:color w:val="1A4FCC"/>
          <w:sz w:val="28"/>
          <w:szCs w:val="28"/>
        </w:rPr>
        <w:t xml:space="preserve">12.2 Qualitative Success Criteria</w:t>
      </w:r>
    </w:p>
    <w:p>
      <w:pPr>
        <w:pStyle w:val="ListParagraph"/>
        <w:numPr>
          <w:ilvl w:val="0"/>
          <w:numId w:val="2"/>
        </w:numPr>
        <w:spacing w:after="60" w:before="60"/>
      </w:pPr>
      <w:r>
        <w:rPr>
          <w:rFonts w:ascii="Arial" w:cs="Arial" w:eastAsia="Arial" w:hAnsi="Arial"/>
          <w:b w:val="false"/>
          <w:bCs w:val="false"/>
          <w:color w:val="64748B"/>
          <w:sz w:val="22"/>
          <w:szCs w:val="22"/>
        </w:rPr>
        <w:t xml:space="preserve">Testers report understanding more about why an instrument is or is not an opportunity compared to other tools they have used</w:t>
      </w:r>
    </w:p>
    <w:p>
      <w:pPr>
        <w:pStyle w:val="ListParagraph"/>
        <w:numPr>
          <w:ilvl w:val="0"/>
          <w:numId w:val="2"/>
        </w:numPr>
        <w:spacing w:after="60" w:before="60"/>
      </w:pPr>
      <w:r>
        <w:rPr>
          <w:rFonts w:ascii="Arial" w:cs="Arial" w:eastAsia="Arial" w:hAnsi="Arial"/>
          <w:b w:val="false"/>
          <w:bCs w:val="false"/>
          <w:color w:val="64748B"/>
          <w:sz w:val="22"/>
          <w:szCs w:val="22"/>
        </w:rPr>
        <w:t xml:space="preserve">The dissenting view generates at least one 'I had not considered that' moment per tester</w:t>
      </w:r>
    </w:p>
    <w:p>
      <w:pPr>
        <w:pStyle w:val="ListParagraph"/>
        <w:numPr>
          <w:ilvl w:val="0"/>
          <w:numId w:val="2"/>
        </w:numPr>
        <w:spacing w:after="60" w:before="60"/>
      </w:pPr>
      <w:r>
        <w:rPr>
          <w:rFonts w:ascii="Arial" w:cs="Arial" w:eastAsia="Arial" w:hAnsi="Arial"/>
          <w:b w:val="false"/>
          <w:bCs w:val="false"/>
          <w:color w:val="64748B"/>
          <w:sz w:val="22"/>
          <w:szCs w:val="22"/>
        </w:rPr>
        <w:t xml:space="preserve">No tester reports feeling misled or that the app made a definitive investment recommendation</w:t>
      </w:r>
    </w:p>
    <w:p>
      <w:pPr>
        <w:pStyle w:val="ListParagraph"/>
        <w:numPr>
          <w:ilvl w:val="0"/>
          <w:numId w:val="2"/>
        </w:numPr>
        <w:spacing w:after="60" w:before="60"/>
      </w:pPr>
      <w:r>
        <w:rPr>
          <w:rFonts w:ascii="Arial" w:cs="Arial" w:eastAsia="Arial" w:hAnsi="Arial"/>
          <w:b w:val="false"/>
          <w:bCs w:val="false"/>
          <w:color w:val="64748B"/>
          <w:sz w:val="22"/>
          <w:szCs w:val="22"/>
        </w:rPr>
        <w:t xml:space="preserve">The Framework Behind This section is recalled and referenced by at least one tester when discussing a subsequent event the app did not cover</w:t>
      </w:r>
    </w:p>
    <w:p>
      <w:pPr>
        <w:pStyle w:val="ListParagraph"/>
        <w:numPr>
          <w:ilvl w:val="0"/>
          <w:numId w:val="2"/>
        </w:numPr>
        <w:spacing w:after="60" w:before="60"/>
      </w:pPr>
      <w:r>
        <w:rPr>
          <w:rFonts w:ascii="Arial" w:cs="Arial" w:eastAsia="Arial" w:hAnsi="Arial"/>
          <w:b w:val="false"/>
          <w:bCs w:val="false"/>
          <w:color w:val="64748B"/>
          <w:sz w:val="22"/>
          <w:szCs w:val="22"/>
        </w:rPr>
        <w:t xml:space="preserve">The track record log shows the app's direction predictions correct in over 60% of resolved cards in the first 3 months</w:t>
      </w:r>
    </w:p>
    <w:p>
      <w:r>
        <w:br w:type="page"/>
      </w:r>
    </w:p>
    <w:p>
      <w:pPr>
        <w:pStyle w:val="Heading1"/>
        <w:spacing w:after="160" w:before="400"/>
      </w:pPr>
      <w:r>
        <w:rPr>
          <w:rFonts w:ascii="Arial" w:cs="Arial" w:eastAsia="Arial" w:hAnsi="Arial"/>
          <w:b/>
          <w:bCs/>
          <w:color w:val="0F172A"/>
          <w:sz w:val="36"/>
          <w:szCs w:val="36"/>
        </w:rPr>
        <w:t xml:space="preserve">13. Permanently Out of Scope — All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2E8F0" w:sz="1"/>
              <w:left w:val="single" w:color="E2E8F0" w:sz="1"/>
              <w:bottom w:val="single" w:color="E2E8F0" w:sz="1"/>
              <w:right w:val="single" w:color="E2E8F0" w:sz="1"/>
            </w:tcBorders>
            <w:shd w:fill="9B2416"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HARD BOUNDARY</w:t>
            </w:r>
          </w:p>
        </w:tc>
        <w:tc>
          <w:tcPr>
            <w:tcW w:type="dxa" w:w="7760"/>
            <w:tcBorders>
              <w:top w:val="single" w:color="E2E8F0" w:sz="1"/>
              <w:left w:val="single" w:color="E2E8F0" w:sz="1"/>
              <w:bottom w:val="single" w:color="E2E8F0" w:sz="1"/>
              <w:right w:val="single" w:color="E2E8F0" w:sz="1"/>
            </w:tcBorders>
            <w:shd w:fill="FCECEA" w:val="clear"/>
            <w:tcMar>
              <w:top w:type="dxa" w:w="100"/>
              <w:left w:type="dxa" w:w="140"/>
              <w:bottom w:type="dxa" w:w="100"/>
              <w:right w:type="dxa" w:w="120"/>
            </w:tcMar>
          </w:tcPr>
          <w:p>
            <w:r>
              <w:rPr>
                <w:rFonts w:ascii="Arial" w:cs="Arial" w:eastAsia="Arial" w:hAnsi="Arial"/>
                <w:color w:val="334155"/>
                <w:sz w:val="20"/>
                <w:szCs w:val="20"/>
              </w:rPr>
              <w:t xml:space="preserve">The following are out of scope for all phases unless SEBI registration is obtained, significant budget is secured, or the project formally transitions from research to a regulated product.</w:t>
            </w:r>
          </w:p>
        </w:tc>
      </w:tr>
    </w:tbl>
    <w:p>
      <w:pPr>
        <w:spacing w:after="0" w:before="120"/>
      </w:pPr>
      <w:r>
        <w:t xml:space="preserve"/>
      </w:r>
    </w:p>
    <w:p>
      <w:pPr>
        <w:pStyle w:val="ListParagraph"/>
        <w:numPr>
          <w:ilvl w:val="0"/>
          <w:numId w:val="2"/>
        </w:numPr>
        <w:spacing w:after="60" w:before="60"/>
      </w:pPr>
      <w:r>
        <w:rPr>
          <w:rFonts w:ascii="Arial" w:cs="Arial" w:eastAsia="Arial" w:hAnsi="Arial"/>
          <w:b w:val="false"/>
          <w:bCs w:val="false"/>
          <w:color w:val="64748B"/>
          <w:sz w:val="22"/>
          <w:szCs w:val="22"/>
        </w:rPr>
        <w:t xml:space="preserve">Broker API integration — Zerodha Kite, Groww, Upstox — executing real trades</w:t>
      </w:r>
    </w:p>
    <w:p>
      <w:pPr>
        <w:pStyle w:val="ListParagraph"/>
        <w:numPr>
          <w:ilvl w:val="0"/>
          <w:numId w:val="2"/>
        </w:numPr>
        <w:spacing w:after="60" w:before="60"/>
      </w:pPr>
      <w:r>
        <w:rPr>
          <w:rFonts w:ascii="Arial" w:cs="Arial" w:eastAsia="Arial" w:hAnsi="Arial"/>
          <w:b w:val="false"/>
          <w:bCs w:val="false"/>
          <w:color w:val="64748B"/>
          <w:sz w:val="22"/>
          <w:szCs w:val="22"/>
        </w:rPr>
        <w:t xml:space="preserve">Real-time or intraday tick data without a licensed data vendor agreement</w:t>
      </w:r>
    </w:p>
    <w:p>
      <w:pPr>
        <w:pStyle w:val="ListParagraph"/>
        <w:numPr>
          <w:ilvl w:val="0"/>
          <w:numId w:val="2"/>
        </w:numPr>
        <w:spacing w:after="60" w:before="60"/>
      </w:pPr>
      <w:r>
        <w:rPr>
          <w:rFonts w:ascii="Arial" w:cs="Arial" w:eastAsia="Arial" w:hAnsi="Arial"/>
          <w:b w:val="false"/>
          <w:bCs w:val="false"/>
          <w:color w:val="64748B"/>
          <w:sz w:val="22"/>
          <w:szCs w:val="22"/>
        </w:rPr>
        <w:t xml:space="preserve">Personalised investment advice as defined under SEBI IA Regulations 2013</w:t>
      </w:r>
    </w:p>
    <w:p>
      <w:pPr>
        <w:pStyle w:val="ListParagraph"/>
        <w:numPr>
          <w:ilvl w:val="0"/>
          <w:numId w:val="2"/>
        </w:numPr>
        <w:spacing w:after="60" w:before="60"/>
      </w:pPr>
      <w:r>
        <w:rPr>
          <w:rFonts w:ascii="Arial" w:cs="Arial" w:eastAsia="Arial" w:hAnsi="Arial"/>
          <w:b w:val="false"/>
          <w:bCs w:val="false"/>
          <w:color w:val="64748B"/>
          <w:sz w:val="22"/>
          <w:szCs w:val="22"/>
        </w:rPr>
        <w:t xml:space="preserve">Portfolio management or discretionary fund management</w:t>
      </w:r>
    </w:p>
    <w:p>
      <w:pPr>
        <w:pStyle w:val="ListParagraph"/>
        <w:numPr>
          <w:ilvl w:val="0"/>
          <w:numId w:val="2"/>
        </w:numPr>
        <w:spacing w:after="60" w:before="60"/>
      </w:pPr>
      <w:r>
        <w:rPr>
          <w:rFonts w:ascii="Arial" w:cs="Arial" w:eastAsia="Arial" w:hAnsi="Arial"/>
          <w:b w:val="false"/>
          <w:bCs w:val="false"/>
          <w:color w:val="64748B"/>
          <w:sz w:val="22"/>
          <w:szCs w:val="22"/>
        </w:rPr>
        <w:t xml:space="preserve">Derivatives, F&amp;O, commodities, or cryptocurrency instruments</w:t>
      </w:r>
    </w:p>
    <w:p>
      <w:pPr>
        <w:pStyle w:val="ListParagraph"/>
        <w:numPr>
          <w:ilvl w:val="0"/>
          <w:numId w:val="2"/>
        </w:numPr>
        <w:spacing w:after="60" w:before="60"/>
      </w:pPr>
      <w:r>
        <w:rPr>
          <w:rFonts w:ascii="Arial" w:cs="Arial" w:eastAsia="Arial" w:hAnsi="Arial"/>
          <w:b w:val="false"/>
          <w:bCs w:val="false"/>
          <w:color w:val="64748B"/>
          <w:sz w:val="22"/>
          <w:szCs w:val="22"/>
        </w:rPr>
        <w:t xml:space="preserve">Paid subscription model without SEBI Research Analyst registration</w:t>
      </w:r>
    </w:p>
    <w:p>
      <w:pPr>
        <w:pStyle w:val="ListParagraph"/>
        <w:numPr>
          <w:ilvl w:val="0"/>
          <w:numId w:val="2"/>
        </w:numPr>
        <w:spacing w:after="60" w:before="60"/>
      </w:pPr>
      <w:r>
        <w:rPr>
          <w:rFonts w:ascii="Arial" w:cs="Arial" w:eastAsia="Arial" w:hAnsi="Arial"/>
          <w:b w:val="false"/>
          <w:bCs w:val="false"/>
          <w:color w:val="64748B"/>
          <w:sz w:val="22"/>
          <w:szCs w:val="22"/>
        </w:rPr>
        <w:t xml:space="preserve">User financial data storage — bank accounts, demat account numbers, PAN</w:t>
      </w:r>
    </w:p>
    <w:p>
      <w:pPr>
        <w:pStyle w:val="ListParagraph"/>
        <w:numPr>
          <w:ilvl w:val="0"/>
          <w:numId w:val="2"/>
        </w:numPr>
        <w:spacing w:after="60" w:before="60"/>
      </w:pPr>
      <w:r>
        <w:rPr>
          <w:rFonts w:ascii="Arial" w:cs="Arial" w:eastAsia="Arial" w:hAnsi="Arial"/>
          <w:b w:val="false"/>
          <w:bCs w:val="false"/>
          <w:color w:val="64748B"/>
          <w:sz w:val="22"/>
          <w:szCs w:val="22"/>
        </w:rPr>
        <w:t xml:space="preserve">Social or community features — public portfolios, copy trading, leaderboards</w:t>
      </w:r>
    </w:p>
    <w:p>
      <w:pPr>
        <w:pStyle w:val="ListParagraph"/>
        <w:numPr>
          <w:ilvl w:val="0"/>
          <w:numId w:val="2"/>
        </w:numPr>
        <w:spacing w:after="60" w:before="60"/>
      </w:pPr>
      <w:r>
        <w:rPr>
          <w:rFonts w:ascii="Arial" w:cs="Arial" w:eastAsia="Arial" w:hAnsi="Arial"/>
          <w:b w:val="false"/>
          <w:bCs w:val="false"/>
          <w:color w:val="64748B"/>
          <w:sz w:val="22"/>
          <w:szCs w:val="22"/>
        </w:rPr>
        <w:t xml:space="preserve">Price targets, return expectations, or holding period recommendations stated as advice</w:t>
      </w:r>
    </w:p>
    <w:p>
      <w:r>
        <w:br w:type="page"/>
      </w:r>
    </w:p>
    <w:p>
      <w:pPr>
        <w:pStyle w:val="Heading1"/>
        <w:spacing w:after="160" w:before="400"/>
      </w:pPr>
      <w:r>
        <w:rPr>
          <w:rFonts w:ascii="Arial" w:cs="Arial" w:eastAsia="Arial" w:hAnsi="Arial"/>
          <w:b/>
          <w:bCs/>
          <w:color w:val="0F172A"/>
          <w:sz w:val="36"/>
          <w:szCs w:val="36"/>
        </w:rPr>
        <w:t xml:space="preserve">14. Open Questions Before Development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4760"/>
      </w:tblGrid>
      <w:tr>
        <w:trPr>
          <w:tblHeader/>
        </w:trPr>
        <w:tc>
          <w:tcPr>
            <w:tcW w:type="dxa" w:w="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7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1</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Level 3 recommendation language — soft signal with time horizon. Confirmed SEBI-safe?</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Requires legal review before implementation. Level 1 (conditions only) confirmed for V1. Level 3 is Phase 2 pending legal clearance.</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2</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Compound event interaction effects — how does the system detect and quantify when two active events interact?</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Fog of War mode is manually triggered in V1. Automated interaction detection is Phase 3. The methodology for quantifying interaction effects needs to be documented.</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3</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Sector knowledge base first-draft review — who is the domain reviewer for accuracy?</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LLM generates first draft. Product Owner reviews accessibility. But financial accuracy of sector descriptions needs at least one review by someone with domain expertise before tester launch.</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4</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Track record methodology — what constitutes a correct prediction at each of the three levels?</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Mechanism, business impact, and market reaction levels need explicit pass/fail criteria before the first card is resolved.</w:t>
            </w:r>
          </w:p>
        </w:tc>
      </w:tr>
    </w:tbl>
    <w:p>
      <w:r>
        <w:br w:type="page"/>
      </w:r>
    </w:p>
    <w:p>
      <w:pPr>
        <w:pStyle w:val="Heading1"/>
        <w:spacing w:after="160" w:before="400"/>
      </w:pPr>
      <w:r>
        <w:rPr>
          <w:rFonts w:ascii="Arial" w:cs="Arial" w:eastAsia="Arial" w:hAnsi="Arial"/>
          <w:b/>
          <w:bCs/>
          <w:color w:val="0F172A"/>
          <w:sz w:val="36"/>
          <w:szCs w:val="36"/>
        </w:rP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ICE Stack</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Insight, Context, Evidence — the three-layer architecture of every Event Intelligence Card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MMJ Tags</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Measured, Modelled, Judged — the three-level quantification standard applied to every claim</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Living Card</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An Event Intelligence Card that evolves through a defined lifecycle as the event develops, as opposed to a static published article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Signal Consequence Map</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The interactive display showing how each Signal to Watch changes the assessment of each affected instrument if it fires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Entry Conditions</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The specific observable conditions that, when simultaneously true, confirm an opportunity thesis — not a price target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Exit Conditions</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The specific observable conditions that, when true, indicate the opportunity thesis has weakened or been invalidated</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Framework Behind This</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The plain-English description of the reasoning pattern used in a card, designed for transfer to future events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Fog of War Mode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The UI state triggered when multiple major events are active simultaneously and their interaction effects exceed the model's reliable range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Confidence-Gated Detection</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The signal trigger system that routes auto-updates (high confidence), editorial review (medium), or logging only (low) based on source quality and corroboration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Track Record Log</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An append-only database table logging every prediction made by the app and by users, reviewed against outcomes when events resolve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Factor Exposure Database</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The structured database of 150 NSE stocks tagged with their sensitivity to 8 macro factors, built and maintained as a parallel workstream</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EOD</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End of Day — closing price and data snapshot after market close at 3:30PM IST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FII</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Foreign Institutional Investors — foreign entities investing in Indian markets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DII</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Domestic Institutional Investors — Indian mutual funds, insurance companies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NSE</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National Stock Exchange — India's largest stock exchange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BSE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Bombay Stock Exchange — India's oldest stock exchange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SEBI</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Securities and Exchange Board of India — market regulator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LLM</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Large Language Model — the AI model (Claude Sonnet) used for card synthesis, dissent generation, and framework articulation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NIM</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Net Interest Margin — the difference between interest income and interest expense for banks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ATF</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Aviation Turbine Fuel — jet fuel, a significant operating cost for Indian airlines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APM</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Administered Price Mechanism — government pricing control on domestic crude oil realisation for PSU producers</w:t>
            </w:r>
          </w:p>
        </w:tc>
      </w:tr>
    </w:tbl>
    <w:p>
      <w:pPr>
        <w:spacing w:after="0" w:before="400"/>
      </w:pPr>
      <w:r>
        <w:t xml:space="preserve"/>
      </w:r>
    </w:p>
    <w:p>
      <w:pPr>
        <w:pBdr>
          <w:top w:val="single" w:color="2E63E8" w:sz="4" w:space="8"/>
        </w:pBdr>
        <w:spacing w:after="100" w:before="200"/>
        <w:jc w:val="center"/>
      </w:pPr>
      <w:r>
        <w:rPr>
          <w:rFonts w:ascii="Arial" w:cs="Arial" w:eastAsia="Arial" w:hAnsi="Arial"/>
          <w:i/>
          <w:iCs/>
          <w:color w:val="64748B"/>
          <w:sz w:val="18"/>
          <w:szCs w:val="18"/>
        </w:rPr>
        <w:t xml:space="preserve">FinnWise PRD v2.0 — Research Project — Indian Stock Market Focus</w:t>
      </w:r>
    </w:p>
    <w:p>
      <w:pPr>
        <w:jc w:val="center"/>
      </w:pPr>
      <w:r>
        <w:rPr>
          <w:rFonts w:ascii="Arial" w:cs="Arial" w:eastAsia="Arial" w:hAnsi="Arial"/>
          <w:i/>
          <w:iCs/>
          <w:color w:val="9B2416"/>
          <w:sz w:val="16"/>
          <w:szCs w:val="16"/>
        </w:rPr>
        <w:t xml:space="preserve">Not for distribution. SEBI Disclaimer applies to all content in this document.</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64748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172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4FCC"/>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2026-05-06T06:48:30.022Z</dcterms:created>
  <dcterms:modified xsi:type="dcterms:W3CDTF">2026-05-06T06:48:30.037Z</dcterms:modified>
</cp:coreProperties>
</file>

<file path=docProps/custom.xml><?xml version="1.0" encoding="utf-8"?>
<Properties xmlns="http://schemas.openxmlformats.org/officeDocument/2006/custom-properties" xmlns:vt="http://schemas.openxmlformats.org/officeDocument/2006/docPropsVTypes"/>
</file>