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Palatino Linotype" w:hAnsi="Palatino Linotype"/>
          <w:b/>
          <w:sz w:val="32"/>
        </w:rPr>
      </w:pPr>
      <w:r>
        <w:rPr>
          <w:rFonts w:ascii="Palatino Linotype" w:hAnsi="Palatino Linotype"/>
          <w:b/>
          <w:sz w:val="32"/>
        </w:rPr>
        <w:t>Supplementary Materials</w:t>
      </w:r>
    </w:p>
    <w:p>
      <w:pPr>
        <w:jc w:val="center"/>
        <w:rPr>
          <w:rFonts w:ascii="Palatino Linotype" w:hAnsi="Palatino Linotype"/>
          <w:sz w:val="24"/>
        </w:rPr>
      </w:pPr>
      <w:r>
        <w:rPr>
          <w:rFonts w:ascii="Palatino Linotype" w:hAnsi="Palatino Linotype"/>
          <w:sz w:val="24"/>
        </w:rPr>
        <w:t>BQEB: A Reproducibility-First Architecture for Modular Energy AI Benchmarking</w:t>
      </w:r>
    </w:p>
    <w:p>
      <w:pPr>
        <w:jc w:val="center"/>
        <w:rPr>
          <w:rFonts w:ascii="Palatino Linotype" w:hAnsi="Palatino Linotype"/>
          <w:i/>
          <w:sz w:val="20"/>
        </w:rPr>
      </w:pPr>
      <w:r>
        <w:rPr>
          <w:rFonts w:ascii="Palatino Linotype" w:hAnsi="Palatino Linotype"/>
          <w:i/>
          <w:sz w:val="20"/>
        </w:rPr>
        <w:t>Rakesh Kumar Agrawal</w:t>
      </w:r>
    </w:p>
    <w:p>
      <w:pPr>
        <w:jc w:val="center"/>
        <w:rPr>
          <w:rFonts w:ascii="Palatino Linotype" w:hAnsi="Palatino Linotype"/>
          <w:sz w:val="18"/>
        </w:rPr>
      </w:pPr>
      <w:r>
        <w:rPr>
          <w:rFonts w:ascii="Palatino Linotype" w:hAnsi="Palatino Linotype"/>
          <w:sz w:val="18"/>
        </w:rPr>
        <w:t>This document contains the Dataset Card, Software Card, Benchmark Card, Artifact Identifier Concordance, Reproducibility Checklist, Governance Checklist, Reviewer Checklist, Publication Checklist, Replication Protocol, and Version History accompanying the main manuscript. No content differs from the version originally reviewed; this material has been relocated, not altered, for IEEE conference length conformance.</w:t>
      </w:r>
    </w:p>
    <w:p>
      <w:pPr>
        <w:rPr>
          <w:sz w:val="2"/>
        </w:rPr>
      </w:pPr>
    </w:p>
    <w:p w14:paraId="1D676122" w14:textId="77777777" w:rsidR="003E4D65" w:rsidRPr="001D2F5F" w:rsidRDefault="003E4D65" w:rsidP="003E4D65">
      <w:pPr>
        <w:pStyle w:val="MDPI81references"/>
        <w:numPr>
          <w:ilvl w:val="0"/>
          <w:numId w:val="0"/>
        </w:numPr>
        <w:spacing w:before="240" w:after="120"/>
        <w:jc w:val="left"/>
        <w:outlineLvl w:val="0"/>
        <w:rPr>
          <w:b/>
          <w:snapToGrid w:val="0"/>
          <w:sz w:val="24"/>
          <w:szCs w:val="24"/>
        </w:rPr>
      </w:pPr>
      <w:bookmarkStart w:id="30" w:name="_Toc238940055"/>
      <w:r>
        <w:rPr>
          <w:b/>
          <w:snapToGrid w:val="0"/>
          <w:sz w:val="24"/>
          <w:szCs w:val="24"/>
        </w:rPr>
        <w:t>Appendices</w:t>
      </w:r>
      <w:bookmarkEnd w:id="30"/>
    </w:p>
    <w:p w14:paraId="22062634" w14:textId="77777777" w:rsidR="003E4D65" w:rsidRPr="001D2F5F" w:rsidRDefault="003E4D65" w:rsidP="003E4D65">
      <w:pPr>
        <w:pStyle w:val="MDPI81references"/>
        <w:numPr>
          <w:ilvl w:val="0"/>
          <w:numId w:val="0"/>
        </w:numPr>
        <w:spacing w:before="240" w:after="120"/>
        <w:jc w:val="left"/>
        <w:outlineLvl w:val="1"/>
        <w:rPr>
          <w:i/>
          <w:snapToGrid w:val="0"/>
          <w:sz w:val="20"/>
        </w:rPr>
      </w:pPr>
      <w:bookmarkStart w:id="31" w:name="_Toc238940056"/>
      <w:r>
        <w:rPr>
          <w:i/>
          <w:snapToGrid w:val="0"/>
          <w:sz w:val="20"/>
        </w:rPr>
        <w:t>Appendix A. Dataset Card — BQEB-Data v1</w:t>
      </w:r>
      <w:bookmarkEnd w:id="31"/>
    </w:p>
    <w:tbl>
      <w:tblPr>
        <w:tblW w:w="8844" w:type="dxa"/>
        <w:jc w:val="center"/>
        <w:tblBorders>
          <w:top w:val="single" w:sz="8" w:space="0" w:color="auto"/>
          <w:bottom w:val="single" w:sz="8" w:space="0" w:color="auto"/>
          <w:insideH w:val="single" w:sz="4" w:space="0" w:color="auto"/>
        </w:tblBorders>
        <w:tblLayout w:type="fixed"/>
        <w:tblCellMar>
          <w:left w:w="0" w:type="dxa"/>
          <w:right w:w="0" w:type="dxa"/>
        </w:tblCellMar>
        <w:tblLook w:val="0000" w:firstRow="0" w:lastRow="0" w:firstColumn="0" w:lastColumn="0" w:noHBand="0" w:noVBand="0"/>
      </w:tblPr>
      <w:tblGrid>
        <w:gridCol w:w="2557"/>
        <w:gridCol w:w="6287"/>
      </w:tblGrid>
      <w:tr w:rsidR="003E4D65" w:rsidRPr="0099611B" w14:paraId="7AC7D739" w14:textId="77777777" w:rsidTr="0099611B">
        <w:trPr>
          <w:tblHeader/>
          <w:jc w:val="center"/>
        </w:trPr>
        <w:tc>
          <w:tcPr>
            <w:tcW w:w="2600" w:type="dxa"/>
            <w:tcBorders>
              <w:top w:val="single" w:sz="8" w:space="0" w:color="auto"/>
              <w:bottom w:val="single" w:sz="4" w:space="0" w:color="auto"/>
            </w:tcBorders>
            <w:tcMar>
              <w:top w:w="60" w:type="dxa"/>
              <w:left w:w="100" w:type="dxa"/>
              <w:bottom w:w="60" w:type="dxa"/>
              <w:right w:w="100" w:type="dxa"/>
            </w:tcMar>
            <w:vAlign w:val="center"/>
          </w:tcPr>
          <w:p w14:paraId="60F44BFD" w14:textId="77777777" w:rsidR="003E4D65" w:rsidRPr="0099611B" w:rsidRDefault="003E4D65" w:rsidP="00CC519C">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Field</w:t>
            </w:r>
          </w:p>
        </w:tc>
        <w:tc>
          <w:tcPr>
            <w:tcW w:w="6400" w:type="dxa"/>
            <w:tcBorders>
              <w:top w:val="single" w:sz="8" w:space="0" w:color="auto"/>
              <w:bottom w:val="single" w:sz="4" w:space="0" w:color="auto"/>
            </w:tcBorders>
            <w:tcMar>
              <w:top w:w="60" w:type="dxa"/>
              <w:left w:w="100" w:type="dxa"/>
              <w:bottom w:w="60" w:type="dxa"/>
              <w:right w:w="100" w:type="dxa"/>
            </w:tcMar>
            <w:vAlign w:val="center"/>
          </w:tcPr>
          <w:p w14:paraId="17142478" w14:textId="77777777" w:rsidR="003E4D65" w:rsidRPr="0099611B" w:rsidRDefault="003E4D65" w:rsidP="00CC519C">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Value</w:t>
            </w:r>
          </w:p>
        </w:tc>
      </w:tr>
      <w:tr w:rsidR="003E4D65" w:rsidRPr="0099611B" w14:paraId="6383415D" w14:textId="77777777" w:rsidTr="0099611B">
        <w:trPr>
          <w:jc w:val="center"/>
        </w:trPr>
        <w:tc>
          <w:tcPr>
            <w:tcW w:w="2600" w:type="dxa"/>
            <w:tcBorders>
              <w:top w:val="single" w:sz="4" w:space="0" w:color="auto"/>
            </w:tcBorders>
            <w:tcMar>
              <w:top w:w="60" w:type="dxa"/>
              <w:left w:w="100" w:type="dxa"/>
              <w:bottom w:w="60" w:type="dxa"/>
              <w:right w:w="100" w:type="dxa"/>
            </w:tcMar>
            <w:vAlign w:val="center"/>
          </w:tcPr>
          <w:p w14:paraId="5F98986C"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Name / version</w:t>
            </w:r>
          </w:p>
        </w:tc>
        <w:tc>
          <w:tcPr>
            <w:tcW w:w="6400" w:type="dxa"/>
            <w:tcBorders>
              <w:top w:val="single" w:sz="4" w:space="0" w:color="auto"/>
            </w:tcBorders>
            <w:tcMar>
              <w:top w:w="60" w:type="dxa"/>
              <w:left w:w="100" w:type="dxa"/>
              <w:bottom w:w="60" w:type="dxa"/>
              <w:right w:w="100" w:type="dxa"/>
            </w:tcMar>
            <w:vAlign w:val="center"/>
          </w:tcPr>
          <w:p w14:paraId="7C1C44AB"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BQEB-Data v1</w:t>
            </w:r>
          </w:p>
        </w:tc>
      </w:tr>
      <w:tr w:rsidR="003E4D65" w:rsidRPr="0099611B" w14:paraId="602949B3" w14:textId="77777777" w:rsidTr="0099611B">
        <w:trPr>
          <w:jc w:val="center"/>
        </w:trPr>
        <w:tc>
          <w:tcPr>
            <w:tcW w:w="2600" w:type="dxa"/>
            <w:tcMar>
              <w:top w:w="60" w:type="dxa"/>
              <w:left w:w="100" w:type="dxa"/>
              <w:bottom w:w="60" w:type="dxa"/>
              <w:right w:w="100" w:type="dxa"/>
            </w:tcMar>
            <w:vAlign w:val="center"/>
          </w:tcPr>
          <w:p w14:paraId="3D6F86B2"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Size</w:t>
            </w:r>
          </w:p>
        </w:tc>
        <w:tc>
          <w:tcPr>
            <w:tcW w:w="6400" w:type="dxa"/>
            <w:tcMar>
              <w:top w:w="60" w:type="dxa"/>
              <w:left w:w="100" w:type="dxa"/>
              <w:bottom w:w="60" w:type="dxa"/>
              <w:right w:w="100" w:type="dxa"/>
            </w:tcMar>
            <w:vAlign w:val="center"/>
          </w:tcPr>
          <w:p w14:paraId="7A8F2271"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10,512 records × 37 variables</w:t>
            </w:r>
          </w:p>
        </w:tc>
      </w:tr>
      <w:tr w:rsidR="003E4D65" w:rsidRPr="0099611B" w14:paraId="66D9BCFA" w14:textId="77777777" w:rsidTr="0099611B">
        <w:trPr>
          <w:jc w:val="center"/>
        </w:trPr>
        <w:tc>
          <w:tcPr>
            <w:tcW w:w="2600" w:type="dxa"/>
            <w:tcMar>
              <w:top w:w="60" w:type="dxa"/>
              <w:left w:w="100" w:type="dxa"/>
              <w:bottom w:w="60" w:type="dxa"/>
              <w:right w:w="100" w:type="dxa"/>
            </w:tcMar>
            <w:vAlign w:val="center"/>
          </w:tcPr>
          <w:p w14:paraId="2AFD5396"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Sampling interval</w:t>
            </w:r>
          </w:p>
        </w:tc>
        <w:tc>
          <w:tcPr>
            <w:tcW w:w="6400" w:type="dxa"/>
            <w:tcMar>
              <w:top w:w="60" w:type="dxa"/>
              <w:left w:w="100" w:type="dxa"/>
              <w:bottom w:w="60" w:type="dxa"/>
              <w:right w:w="100" w:type="dxa"/>
            </w:tcMar>
            <w:vAlign w:val="center"/>
          </w:tcPr>
          <w:p w14:paraId="537C691F"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15 minutes</w:t>
            </w:r>
          </w:p>
        </w:tc>
      </w:tr>
      <w:tr w:rsidR="003E4D65" w:rsidRPr="0099611B" w14:paraId="2107C36E" w14:textId="77777777" w:rsidTr="0099611B">
        <w:trPr>
          <w:jc w:val="center"/>
        </w:trPr>
        <w:tc>
          <w:tcPr>
            <w:tcW w:w="2600" w:type="dxa"/>
            <w:tcMar>
              <w:top w:w="60" w:type="dxa"/>
              <w:left w:w="100" w:type="dxa"/>
              <w:bottom w:w="60" w:type="dxa"/>
              <w:right w:w="100" w:type="dxa"/>
            </w:tcMar>
            <w:vAlign w:val="center"/>
          </w:tcPr>
          <w:p w14:paraId="4A33A02E"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Coverage</w:t>
            </w:r>
          </w:p>
        </w:tc>
        <w:tc>
          <w:tcPr>
            <w:tcW w:w="6400" w:type="dxa"/>
            <w:tcMar>
              <w:top w:w="60" w:type="dxa"/>
              <w:left w:w="100" w:type="dxa"/>
              <w:bottom w:w="60" w:type="dxa"/>
              <w:right w:w="100" w:type="dxa"/>
            </w:tcMar>
            <w:vAlign w:val="center"/>
          </w:tcPr>
          <w:p w14:paraId="3994EAFD"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2026-01-01 to 2026-04-20 (~109 days)</w:t>
            </w:r>
          </w:p>
        </w:tc>
      </w:tr>
      <w:tr w:rsidR="003E4D65" w:rsidRPr="0099611B" w14:paraId="24D46211" w14:textId="77777777" w:rsidTr="0099611B">
        <w:trPr>
          <w:jc w:val="center"/>
        </w:trPr>
        <w:tc>
          <w:tcPr>
            <w:tcW w:w="2600" w:type="dxa"/>
            <w:tcMar>
              <w:top w:w="60" w:type="dxa"/>
              <w:left w:w="100" w:type="dxa"/>
              <w:bottom w:w="60" w:type="dxa"/>
              <w:right w:w="100" w:type="dxa"/>
            </w:tcMar>
            <w:vAlign w:val="center"/>
          </w:tcPr>
          <w:p w14:paraId="41E10C6E"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Nature</w:t>
            </w:r>
          </w:p>
        </w:tc>
        <w:tc>
          <w:tcPr>
            <w:tcW w:w="6400" w:type="dxa"/>
            <w:tcMar>
              <w:top w:w="60" w:type="dxa"/>
              <w:left w:w="100" w:type="dxa"/>
              <w:bottom w:w="60" w:type="dxa"/>
              <w:right w:w="100" w:type="dxa"/>
            </w:tcMar>
            <w:vAlign w:val="center"/>
          </w:tcPr>
          <w:p w14:paraId="71A6BE03"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Synthetic (stochastic simulation); not field-measured</w:t>
            </w:r>
          </w:p>
        </w:tc>
      </w:tr>
      <w:tr w:rsidR="003E4D65" w:rsidRPr="0099611B" w14:paraId="79C47D19" w14:textId="77777777" w:rsidTr="0099611B">
        <w:trPr>
          <w:jc w:val="center"/>
        </w:trPr>
        <w:tc>
          <w:tcPr>
            <w:tcW w:w="2600" w:type="dxa"/>
            <w:tcMar>
              <w:top w:w="60" w:type="dxa"/>
              <w:left w:w="100" w:type="dxa"/>
              <w:bottom w:w="60" w:type="dxa"/>
              <w:right w:w="100" w:type="dxa"/>
            </w:tcMar>
            <w:vAlign w:val="center"/>
          </w:tcPr>
          <w:p w14:paraId="02C2EC17"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lastRenderedPageBreak/>
              <w:t>Splits provided</w:t>
            </w:r>
          </w:p>
        </w:tc>
        <w:tc>
          <w:tcPr>
            <w:tcW w:w="6400" w:type="dxa"/>
            <w:tcMar>
              <w:top w:w="60" w:type="dxa"/>
              <w:left w:w="100" w:type="dxa"/>
              <w:bottom w:w="60" w:type="dxa"/>
              <w:right w:w="100" w:type="dxa"/>
            </w:tcMar>
            <w:vAlign w:val="center"/>
          </w:tcPr>
          <w:p w14:paraId="0AE7CD87"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train.csv / validation.csv / test.csv (70/15/15, chronological), per IEEE DataPort package</w:t>
            </w:r>
          </w:p>
        </w:tc>
      </w:tr>
      <w:tr w:rsidR="003E4D65" w:rsidRPr="0099611B" w14:paraId="1D065EB7" w14:textId="77777777" w:rsidTr="0099611B">
        <w:trPr>
          <w:jc w:val="center"/>
        </w:trPr>
        <w:tc>
          <w:tcPr>
            <w:tcW w:w="2600" w:type="dxa"/>
            <w:tcMar>
              <w:top w:w="60" w:type="dxa"/>
              <w:left w:w="100" w:type="dxa"/>
              <w:bottom w:w="60" w:type="dxa"/>
              <w:right w:w="100" w:type="dxa"/>
            </w:tcMar>
            <w:vAlign w:val="center"/>
          </w:tcPr>
          <w:p w14:paraId="02001CBD"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Repositories</w:t>
            </w:r>
          </w:p>
        </w:tc>
        <w:tc>
          <w:tcPr>
            <w:tcW w:w="6400" w:type="dxa"/>
            <w:tcMar>
              <w:top w:w="60" w:type="dxa"/>
              <w:left w:w="100" w:type="dxa"/>
              <w:bottom w:w="60" w:type="dxa"/>
              <w:right w:w="100" w:type="dxa"/>
            </w:tcMar>
            <w:vAlign w:val="center"/>
          </w:tcPr>
          <w:p w14:paraId="595B422B"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Harvard Dataverse (DOI 10.7910/DVN/VUVTED); IEEE DataPort (DOI 10.21227/xj9b-2885); Zenodo mirrors</w:t>
            </w:r>
          </w:p>
        </w:tc>
      </w:tr>
      <w:tr w:rsidR="003E4D65" w:rsidRPr="0099611B" w14:paraId="2BB957AC" w14:textId="77777777" w:rsidTr="0099611B">
        <w:trPr>
          <w:jc w:val="center"/>
        </w:trPr>
        <w:tc>
          <w:tcPr>
            <w:tcW w:w="2600" w:type="dxa"/>
            <w:tcMar>
              <w:top w:w="60" w:type="dxa"/>
              <w:left w:w="100" w:type="dxa"/>
              <w:bottom w:w="60" w:type="dxa"/>
              <w:right w:w="100" w:type="dxa"/>
            </w:tcMar>
            <w:vAlign w:val="center"/>
          </w:tcPr>
          <w:p w14:paraId="186C5CF6"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Documented limitations</w:t>
            </w:r>
          </w:p>
        </w:tc>
        <w:tc>
          <w:tcPr>
            <w:tcW w:w="6400" w:type="dxa"/>
            <w:tcMar>
              <w:top w:w="60" w:type="dxa"/>
              <w:left w:w="100" w:type="dxa"/>
              <w:bottom w:w="60" w:type="dxa"/>
              <w:right w:w="100" w:type="dxa"/>
            </w:tcMar>
            <w:vAlign w:val="center"/>
          </w:tcPr>
          <w:p w14:paraId="103711FA"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Synthetic rather than field-measured; single simulated region; simplified market assumptions</w:t>
            </w:r>
          </w:p>
        </w:tc>
      </w:tr>
      <w:tr w:rsidR="003E4D65" w:rsidRPr="0099611B" w14:paraId="1120E11A" w14:textId="77777777" w:rsidTr="0099611B">
        <w:trPr>
          <w:jc w:val="center"/>
        </w:trPr>
        <w:tc>
          <w:tcPr>
            <w:tcW w:w="2600" w:type="dxa"/>
            <w:tcMar>
              <w:top w:w="60" w:type="dxa"/>
              <w:left w:w="100" w:type="dxa"/>
              <w:bottom w:w="60" w:type="dxa"/>
              <w:right w:w="100" w:type="dxa"/>
            </w:tcMar>
            <w:vAlign w:val="center"/>
          </w:tcPr>
          <w:p w14:paraId="00652FA4"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Known open item</w:t>
            </w:r>
          </w:p>
        </w:tc>
        <w:tc>
          <w:tcPr>
            <w:tcW w:w="6400" w:type="dxa"/>
            <w:tcMar>
              <w:top w:w="60" w:type="dxa"/>
              <w:left w:w="100" w:type="dxa"/>
              <w:bottom w:w="60" w:type="dxa"/>
              <w:right w:w="100" w:type="dxa"/>
            </w:tcMar>
            <w:vAlign w:val="center"/>
          </w:tcPr>
          <w:p w14:paraId="44E14500"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attack_class label-generation methodology not documented in any source inspected for this paper</w:t>
            </w:r>
          </w:p>
        </w:tc>
      </w:tr>
    </w:tbl>
    <w:p w14:paraId="35686AFA" w14:textId="77777777" w:rsidR="003E4D65" w:rsidRPr="001D2F5F" w:rsidRDefault="003E4D65" w:rsidP="003E4D65">
      <w:pPr>
        <w:pStyle w:val="Heading2"/>
        <w:adjustRightInd w:val="0"/>
        <w:snapToGrid w:val="0"/>
        <w:spacing w:line="280" w:lineRule="atLeast"/>
        <w:rPr>
          <w:rFonts w:ascii="Palatino Linotype" w:hAnsi="Palatino Linotype" w:cs="Times New Roman"/>
          <w:b w:val="0"/>
          <w:i/>
          <w:snapToGrid w:val="0"/>
          <w:color w:val="auto"/>
          <w:sz w:val="20"/>
          <w:szCs w:val="20"/>
          <w14:ligatures w14:val="standardContextual"/>
        </w:rPr>
      </w:pPr>
      <w:bookmarkStart w:id="32" w:name="_Toc238940057"/>
      <w:r>
        <w:rPr>
          <w:rFonts w:ascii="Palatino Linotype" w:hAnsi="Palatino Linotype" w:cs="Times New Roman"/>
          <w:b w:val="0"/>
          <w:i/>
          <w:snapToGrid w:val="0"/>
          <w:color w:val="auto"/>
          <w:sz w:val="20"/>
          <w:szCs w:val="20"/>
          <w14:ligatures w14:val="standardContextual"/>
        </w:rPr>
        <w:t>Appendix B. Software Card — ForecastBench Package v1.0.0</w:t>
      </w:r>
      <w:bookmarkEnd w:id="32"/>
    </w:p>
    <w:tbl>
      <w:tblPr>
        <w:tblW w:w="8844" w:type="dxa"/>
        <w:jc w:val="center"/>
        <w:tblBorders>
          <w:top w:val="single" w:sz="8" w:space="0" w:color="auto"/>
          <w:bottom w:val="single" w:sz="8" w:space="0" w:color="auto"/>
          <w:insideH w:val="single" w:sz="4" w:space="0" w:color="auto"/>
        </w:tblBorders>
        <w:tblLayout w:type="fixed"/>
        <w:tblCellMar>
          <w:left w:w="0" w:type="dxa"/>
          <w:right w:w="0" w:type="dxa"/>
        </w:tblCellMar>
        <w:tblLook w:val="0000" w:firstRow="0" w:lastRow="0" w:firstColumn="0" w:lastColumn="0" w:noHBand="0" w:noVBand="0"/>
      </w:tblPr>
      <w:tblGrid>
        <w:gridCol w:w="2557"/>
        <w:gridCol w:w="6287"/>
      </w:tblGrid>
      <w:tr w:rsidR="003E4D65" w:rsidRPr="0099611B" w14:paraId="649F5230" w14:textId="77777777" w:rsidTr="0099611B">
        <w:trPr>
          <w:tblHeader/>
          <w:jc w:val="center"/>
        </w:trPr>
        <w:tc>
          <w:tcPr>
            <w:tcW w:w="2600" w:type="dxa"/>
            <w:tcBorders>
              <w:top w:val="single" w:sz="8" w:space="0" w:color="auto"/>
              <w:bottom w:val="single" w:sz="4" w:space="0" w:color="auto"/>
            </w:tcBorders>
            <w:tcMar>
              <w:top w:w="60" w:type="dxa"/>
              <w:left w:w="100" w:type="dxa"/>
              <w:bottom w:w="60" w:type="dxa"/>
              <w:right w:w="100" w:type="dxa"/>
            </w:tcMar>
            <w:vAlign w:val="center"/>
          </w:tcPr>
          <w:p w14:paraId="01DCCC12" w14:textId="77777777" w:rsidR="003E4D65" w:rsidRPr="0099611B" w:rsidRDefault="003E4D65" w:rsidP="00CC519C">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Field</w:t>
            </w:r>
          </w:p>
        </w:tc>
        <w:tc>
          <w:tcPr>
            <w:tcW w:w="6400" w:type="dxa"/>
            <w:tcBorders>
              <w:top w:val="single" w:sz="8" w:space="0" w:color="auto"/>
              <w:bottom w:val="single" w:sz="4" w:space="0" w:color="auto"/>
            </w:tcBorders>
            <w:tcMar>
              <w:top w:w="60" w:type="dxa"/>
              <w:left w:w="100" w:type="dxa"/>
              <w:bottom w:w="60" w:type="dxa"/>
              <w:right w:w="100" w:type="dxa"/>
            </w:tcMar>
            <w:vAlign w:val="center"/>
          </w:tcPr>
          <w:p w14:paraId="0E8D7A73" w14:textId="77777777" w:rsidR="003E4D65" w:rsidRPr="0099611B" w:rsidRDefault="003E4D65" w:rsidP="00CC519C">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Value</w:t>
            </w:r>
          </w:p>
        </w:tc>
      </w:tr>
      <w:tr w:rsidR="003E4D65" w:rsidRPr="0099611B" w14:paraId="34A71421" w14:textId="77777777" w:rsidTr="0099611B">
        <w:trPr>
          <w:jc w:val="center"/>
        </w:trPr>
        <w:tc>
          <w:tcPr>
            <w:tcW w:w="2600" w:type="dxa"/>
            <w:tcBorders>
              <w:top w:val="single" w:sz="4" w:space="0" w:color="auto"/>
            </w:tcBorders>
            <w:tcMar>
              <w:top w:w="60" w:type="dxa"/>
              <w:left w:w="100" w:type="dxa"/>
              <w:bottom w:w="60" w:type="dxa"/>
              <w:right w:w="100" w:type="dxa"/>
            </w:tcMar>
            <w:vAlign w:val="center"/>
          </w:tcPr>
          <w:p w14:paraId="4F20E60F"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Repository</w:t>
            </w:r>
          </w:p>
        </w:tc>
        <w:tc>
          <w:tcPr>
            <w:tcW w:w="6400" w:type="dxa"/>
            <w:tcBorders>
              <w:top w:val="single" w:sz="4" w:space="0" w:color="auto"/>
            </w:tcBorders>
            <w:tcMar>
              <w:top w:w="60" w:type="dxa"/>
              <w:left w:w="100" w:type="dxa"/>
              <w:bottom w:w="60" w:type="dxa"/>
              <w:right w:w="100" w:type="dxa"/>
            </w:tcMar>
            <w:vAlign w:val="center"/>
          </w:tcPr>
          <w:p w14:paraId="3C26B97F"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github.com/RakeshKumarAgrawal/BQEB-ForecastBench</w:t>
            </w:r>
          </w:p>
        </w:tc>
      </w:tr>
      <w:tr w:rsidR="003E4D65" w:rsidRPr="0099611B" w14:paraId="121E16C8" w14:textId="77777777" w:rsidTr="0099611B">
        <w:trPr>
          <w:jc w:val="center"/>
        </w:trPr>
        <w:tc>
          <w:tcPr>
            <w:tcW w:w="2600" w:type="dxa"/>
            <w:tcMar>
              <w:top w:w="60" w:type="dxa"/>
              <w:left w:w="100" w:type="dxa"/>
              <w:bottom w:w="60" w:type="dxa"/>
              <w:right w:w="100" w:type="dxa"/>
            </w:tcMar>
            <w:vAlign w:val="center"/>
          </w:tcPr>
          <w:p w14:paraId="08BC0B69"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Archival DOI</w:t>
            </w:r>
          </w:p>
        </w:tc>
        <w:tc>
          <w:tcPr>
            <w:tcW w:w="6400" w:type="dxa"/>
            <w:tcMar>
              <w:top w:w="60" w:type="dxa"/>
              <w:left w:w="100" w:type="dxa"/>
              <w:bottom w:w="60" w:type="dxa"/>
              <w:right w:w="100" w:type="dxa"/>
            </w:tcMar>
            <w:vAlign w:val="center"/>
          </w:tcPr>
          <w:p w14:paraId="310E7152"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10.5281/zenodo.21735978</w:t>
            </w:r>
          </w:p>
        </w:tc>
      </w:tr>
      <w:tr w:rsidR="003E4D65" w:rsidRPr="0099611B" w14:paraId="759CE0CA" w14:textId="77777777" w:rsidTr="0099611B">
        <w:trPr>
          <w:jc w:val="center"/>
        </w:trPr>
        <w:tc>
          <w:tcPr>
            <w:tcW w:w="2600" w:type="dxa"/>
            <w:tcMar>
              <w:top w:w="60" w:type="dxa"/>
              <w:left w:w="100" w:type="dxa"/>
              <w:bottom w:w="60" w:type="dxa"/>
              <w:right w:w="100" w:type="dxa"/>
            </w:tcMar>
            <w:vAlign w:val="center"/>
          </w:tcPr>
          <w:p w14:paraId="275CAEC8"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License</w:t>
            </w:r>
          </w:p>
        </w:tc>
        <w:tc>
          <w:tcPr>
            <w:tcW w:w="6400" w:type="dxa"/>
            <w:tcMar>
              <w:top w:w="60" w:type="dxa"/>
              <w:left w:w="100" w:type="dxa"/>
              <w:bottom w:w="60" w:type="dxa"/>
              <w:right w:w="100" w:type="dxa"/>
            </w:tcMar>
            <w:vAlign w:val="center"/>
          </w:tcPr>
          <w:p w14:paraId="29A9E402"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MIT</w:t>
            </w:r>
          </w:p>
        </w:tc>
      </w:tr>
      <w:tr w:rsidR="003E4D65" w:rsidRPr="0099611B" w14:paraId="28FC626C" w14:textId="77777777" w:rsidTr="0099611B">
        <w:trPr>
          <w:jc w:val="center"/>
        </w:trPr>
        <w:tc>
          <w:tcPr>
            <w:tcW w:w="2600" w:type="dxa"/>
            <w:tcMar>
              <w:top w:w="60" w:type="dxa"/>
              <w:left w:w="100" w:type="dxa"/>
              <w:bottom w:w="60" w:type="dxa"/>
              <w:right w:w="100" w:type="dxa"/>
            </w:tcMar>
            <w:vAlign w:val="center"/>
          </w:tcPr>
          <w:p w14:paraId="1E688AD7"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Language / runtime</w:t>
            </w:r>
          </w:p>
        </w:tc>
        <w:tc>
          <w:tcPr>
            <w:tcW w:w="6400" w:type="dxa"/>
            <w:tcMar>
              <w:top w:w="60" w:type="dxa"/>
              <w:left w:w="100" w:type="dxa"/>
              <w:bottom w:w="60" w:type="dxa"/>
              <w:right w:w="100" w:type="dxa"/>
            </w:tcMar>
            <w:vAlign w:val="center"/>
          </w:tcPr>
          <w:p w14:paraId="2BA30B7C"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Python 3.12</w:t>
            </w:r>
          </w:p>
        </w:tc>
      </w:tr>
      <w:tr w:rsidR="003E4D65" w:rsidRPr="0099611B" w14:paraId="1671CA03" w14:textId="77777777" w:rsidTr="0099611B">
        <w:trPr>
          <w:jc w:val="center"/>
        </w:trPr>
        <w:tc>
          <w:tcPr>
            <w:tcW w:w="2600" w:type="dxa"/>
            <w:tcMar>
              <w:top w:w="60" w:type="dxa"/>
              <w:left w:w="100" w:type="dxa"/>
              <w:bottom w:w="60" w:type="dxa"/>
              <w:right w:w="100" w:type="dxa"/>
            </w:tcMar>
            <w:vAlign w:val="center"/>
          </w:tcPr>
          <w:p w14:paraId="7558A2EC"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Test suite</w:t>
            </w:r>
          </w:p>
        </w:tc>
        <w:tc>
          <w:tcPr>
            <w:tcW w:w="6400" w:type="dxa"/>
            <w:tcMar>
              <w:top w:w="60" w:type="dxa"/>
              <w:left w:w="100" w:type="dxa"/>
              <w:bottom w:w="60" w:type="dxa"/>
              <w:right w:w="100" w:type="dxa"/>
            </w:tcMar>
            <w:vAlign w:val="center"/>
          </w:tcPr>
          <w:p w14:paraId="646F21D5"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132 automated tests, 91.25% coverage at release preparation</w:t>
            </w:r>
          </w:p>
        </w:tc>
      </w:tr>
      <w:tr w:rsidR="003E4D65" w:rsidRPr="0099611B" w14:paraId="314A5BC8" w14:textId="77777777" w:rsidTr="0099611B">
        <w:trPr>
          <w:jc w:val="center"/>
        </w:trPr>
        <w:tc>
          <w:tcPr>
            <w:tcW w:w="2600" w:type="dxa"/>
            <w:tcMar>
              <w:top w:w="60" w:type="dxa"/>
              <w:left w:w="100" w:type="dxa"/>
              <w:bottom w:w="60" w:type="dxa"/>
              <w:right w:w="100" w:type="dxa"/>
            </w:tcMar>
            <w:vAlign w:val="center"/>
          </w:tcPr>
          <w:p w14:paraId="265FA291"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Determinism</w:t>
            </w:r>
          </w:p>
        </w:tc>
        <w:tc>
          <w:tcPr>
            <w:tcW w:w="6400" w:type="dxa"/>
            <w:tcMar>
              <w:top w:w="60" w:type="dxa"/>
              <w:left w:w="100" w:type="dxa"/>
              <w:bottom w:w="60" w:type="dxa"/>
              <w:right w:w="100" w:type="dxa"/>
            </w:tcMar>
            <w:vAlign w:val="center"/>
          </w:tcPr>
          <w:p w14:paraId="3DEC6779"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Fixed random seed; deterministic preprocessing and partitioning</w:t>
            </w:r>
          </w:p>
        </w:tc>
      </w:tr>
      <w:tr w:rsidR="003E4D65" w:rsidRPr="0099611B" w14:paraId="52428FC7" w14:textId="77777777" w:rsidTr="0099611B">
        <w:trPr>
          <w:jc w:val="center"/>
        </w:trPr>
        <w:tc>
          <w:tcPr>
            <w:tcW w:w="2600" w:type="dxa"/>
            <w:tcMar>
              <w:top w:w="60" w:type="dxa"/>
              <w:left w:w="100" w:type="dxa"/>
              <w:bottom w:w="60" w:type="dxa"/>
              <w:right w:w="100" w:type="dxa"/>
            </w:tcMar>
            <w:vAlign w:val="center"/>
          </w:tcPr>
          <w:p w14:paraId="0CAFE4CC"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Output artifacts</w:t>
            </w:r>
          </w:p>
        </w:tc>
        <w:tc>
          <w:tcPr>
            <w:tcW w:w="6400" w:type="dxa"/>
            <w:tcMar>
              <w:top w:w="60" w:type="dxa"/>
              <w:left w:w="100" w:type="dxa"/>
              <w:bottom w:w="60" w:type="dxa"/>
              <w:right w:w="100" w:type="dxa"/>
            </w:tcMar>
            <w:vAlign w:val="center"/>
          </w:tcPr>
          <w:p w14:paraId="52E9111E"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predictions.csv, metrics.csv, model_comparison.csv, dataset profiles, split files, experiment manifest — SHA-256 checksummed</w:t>
            </w:r>
          </w:p>
        </w:tc>
      </w:tr>
      <w:tr w:rsidR="003E4D65" w:rsidRPr="0099611B" w14:paraId="3AAE7B77" w14:textId="77777777" w:rsidTr="0099611B">
        <w:trPr>
          <w:jc w:val="center"/>
        </w:trPr>
        <w:tc>
          <w:tcPr>
            <w:tcW w:w="2600" w:type="dxa"/>
            <w:tcMar>
              <w:top w:w="60" w:type="dxa"/>
              <w:left w:w="100" w:type="dxa"/>
              <w:bottom w:w="60" w:type="dxa"/>
              <w:right w:w="100" w:type="dxa"/>
            </w:tcMar>
            <w:vAlign w:val="center"/>
          </w:tcPr>
          <w:p w14:paraId="5E92A400"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Independent archival</w:t>
            </w:r>
          </w:p>
        </w:tc>
        <w:tc>
          <w:tcPr>
            <w:tcW w:w="6400" w:type="dxa"/>
            <w:tcMar>
              <w:top w:w="60" w:type="dxa"/>
              <w:left w:w="100" w:type="dxa"/>
              <w:bottom w:w="60" w:type="dxa"/>
              <w:right w:w="100" w:type="dxa"/>
            </w:tcMar>
            <w:vAlign w:val="center"/>
          </w:tcPr>
          <w:p w14:paraId="3AAA849E"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Software Heritage</w:t>
            </w:r>
          </w:p>
        </w:tc>
      </w:tr>
    </w:tbl>
    <w:p w14:paraId="52C34471" w14:textId="77777777" w:rsidR="003E4D65" w:rsidRPr="001D2F5F" w:rsidRDefault="003E4D65" w:rsidP="003E4D65">
      <w:pPr>
        <w:pStyle w:val="Heading2"/>
        <w:adjustRightInd w:val="0"/>
        <w:snapToGrid w:val="0"/>
        <w:spacing w:line="280" w:lineRule="atLeast"/>
        <w:rPr>
          <w:rFonts w:ascii="Palatino Linotype" w:hAnsi="Palatino Linotype" w:cs="Times New Roman"/>
          <w:b w:val="0"/>
          <w:i/>
          <w:snapToGrid w:val="0"/>
          <w:color w:val="auto"/>
          <w:sz w:val="20"/>
          <w:szCs w:val="20"/>
          <w14:ligatures w14:val="standardContextual"/>
        </w:rPr>
      </w:pPr>
      <w:bookmarkStart w:id="33" w:name="_Toc238940058"/>
      <w:r>
        <w:rPr>
          <w:rFonts w:ascii="Palatino Linotype" w:hAnsi="Palatino Linotype" w:cs="Times New Roman"/>
          <w:b w:val="0"/>
          <w:i/>
          <w:snapToGrid w:val="0"/>
          <w:color w:val="auto"/>
          <w:sz w:val="20"/>
          <w:szCs w:val="20"/>
          <w14:ligatures w14:val="standardContextual"/>
        </w:rPr>
        <w:t>Appendix C. Benchmark Card — ForecastBench (Module 1)</w:t>
      </w:r>
      <w:bookmarkEnd w:id="33"/>
    </w:p>
    <w:tbl>
      <w:tblPr>
        <w:tblW w:w="8844" w:type="dxa"/>
        <w:jc w:val="center"/>
        <w:tblBorders>
          <w:top w:val="single" w:sz="8" w:space="0" w:color="auto"/>
          <w:bottom w:val="single" w:sz="8" w:space="0" w:color="auto"/>
          <w:insideH w:val="single" w:sz="4" w:space="0" w:color="auto"/>
        </w:tblBorders>
        <w:tblLayout w:type="fixed"/>
        <w:tblCellMar>
          <w:left w:w="0" w:type="dxa"/>
          <w:right w:w="0" w:type="dxa"/>
        </w:tblCellMar>
        <w:tblLook w:val="0000" w:firstRow="0" w:lastRow="0" w:firstColumn="0" w:lastColumn="0" w:noHBand="0" w:noVBand="0"/>
      </w:tblPr>
      <w:tblGrid>
        <w:gridCol w:w="2557"/>
        <w:gridCol w:w="6287"/>
      </w:tblGrid>
      <w:tr w:rsidR="003E4D65" w:rsidRPr="0099611B" w14:paraId="0E5EFC9C" w14:textId="77777777" w:rsidTr="0099611B">
        <w:trPr>
          <w:tblHeader/>
          <w:jc w:val="center"/>
        </w:trPr>
        <w:tc>
          <w:tcPr>
            <w:tcW w:w="2600" w:type="dxa"/>
            <w:tcBorders>
              <w:top w:val="single" w:sz="8" w:space="0" w:color="auto"/>
              <w:bottom w:val="single" w:sz="4" w:space="0" w:color="auto"/>
            </w:tcBorders>
            <w:tcMar>
              <w:top w:w="60" w:type="dxa"/>
              <w:left w:w="100" w:type="dxa"/>
              <w:bottom w:w="60" w:type="dxa"/>
              <w:right w:w="100" w:type="dxa"/>
            </w:tcMar>
            <w:vAlign w:val="center"/>
          </w:tcPr>
          <w:p w14:paraId="28259671" w14:textId="77777777" w:rsidR="003E4D65" w:rsidRPr="0099611B" w:rsidRDefault="003E4D65" w:rsidP="00CC519C">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Field</w:t>
            </w:r>
          </w:p>
        </w:tc>
        <w:tc>
          <w:tcPr>
            <w:tcW w:w="6400" w:type="dxa"/>
            <w:tcBorders>
              <w:top w:val="single" w:sz="8" w:space="0" w:color="auto"/>
              <w:bottom w:val="single" w:sz="4" w:space="0" w:color="auto"/>
            </w:tcBorders>
            <w:tcMar>
              <w:top w:w="60" w:type="dxa"/>
              <w:left w:w="100" w:type="dxa"/>
              <w:bottom w:w="60" w:type="dxa"/>
              <w:right w:w="100" w:type="dxa"/>
            </w:tcMar>
            <w:vAlign w:val="center"/>
          </w:tcPr>
          <w:p w14:paraId="45093C66" w14:textId="77777777" w:rsidR="003E4D65" w:rsidRPr="0099611B" w:rsidRDefault="003E4D65" w:rsidP="00CC519C">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Value</w:t>
            </w:r>
          </w:p>
        </w:tc>
      </w:tr>
      <w:tr w:rsidR="003E4D65" w:rsidRPr="0099611B" w14:paraId="46F7232E" w14:textId="77777777" w:rsidTr="0099611B">
        <w:trPr>
          <w:jc w:val="center"/>
        </w:trPr>
        <w:tc>
          <w:tcPr>
            <w:tcW w:w="2600" w:type="dxa"/>
            <w:tcBorders>
              <w:top w:val="single" w:sz="4" w:space="0" w:color="auto"/>
            </w:tcBorders>
            <w:tcMar>
              <w:top w:w="60" w:type="dxa"/>
              <w:left w:w="100" w:type="dxa"/>
              <w:bottom w:w="60" w:type="dxa"/>
              <w:right w:w="100" w:type="dxa"/>
            </w:tcMar>
            <w:vAlign w:val="center"/>
          </w:tcPr>
          <w:p w14:paraId="6D0DA132"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Tasks</w:t>
            </w:r>
          </w:p>
        </w:tc>
        <w:tc>
          <w:tcPr>
            <w:tcW w:w="6400" w:type="dxa"/>
            <w:tcBorders>
              <w:top w:val="single" w:sz="4" w:space="0" w:color="auto"/>
            </w:tcBorders>
            <w:tcMar>
              <w:top w:w="60" w:type="dxa"/>
              <w:left w:w="100" w:type="dxa"/>
              <w:bottom w:w="60" w:type="dxa"/>
              <w:right w:w="100" w:type="dxa"/>
            </w:tcMar>
            <w:vAlign w:val="center"/>
          </w:tcPr>
          <w:p w14:paraId="3EEDE1AB"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Next-hour electricity load forecasting; day-ahead electricity price forecasting</w:t>
            </w:r>
          </w:p>
        </w:tc>
      </w:tr>
      <w:tr w:rsidR="003E4D65" w:rsidRPr="0099611B" w14:paraId="4A00C8E0" w14:textId="77777777" w:rsidTr="0099611B">
        <w:trPr>
          <w:jc w:val="center"/>
        </w:trPr>
        <w:tc>
          <w:tcPr>
            <w:tcW w:w="2600" w:type="dxa"/>
            <w:tcMar>
              <w:top w:w="60" w:type="dxa"/>
              <w:left w:w="100" w:type="dxa"/>
              <w:bottom w:w="60" w:type="dxa"/>
              <w:right w:w="100" w:type="dxa"/>
            </w:tcMar>
            <w:vAlign w:val="center"/>
          </w:tcPr>
          <w:p w14:paraId="120D6F2F"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Models evaluated</w:t>
            </w:r>
          </w:p>
        </w:tc>
        <w:tc>
          <w:tcPr>
            <w:tcW w:w="6400" w:type="dxa"/>
            <w:tcMar>
              <w:top w:w="60" w:type="dxa"/>
              <w:left w:w="100" w:type="dxa"/>
              <w:bottom w:w="60" w:type="dxa"/>
              <w:right w:w="100" w:type="dxa"/>
            </w:tcMar>
            <w:vAlign w:val="center"/>
          </w:tcPr>
          <w:p w14:paraId="286F1EE4"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Linear Regression, Random Forest, Gradient Boosting (classical baselines only in the current release)</w:t>
            </w:r>
          </w:p>
        </w:tc>
      </w:tr>
      <w:tr w:rsidR="003E4D65" w:rsidRPr="0099611B" w14:paraId="1F071D7F" w14:textId="77777777" w:rsidTr="0099611B">
        <w:trPr>
          <w:jc w:val="center"/>
        </w:trPr>
        <w:tc>
          <w:tcPr>
            <w:tcW w:w="2600" w:type="dxa"/>
            <w:tcMar>
              <w:top w:w="60" w:type="dxa"/>
              <w:left w:w="100" w:type="dxa"/>
              <w:bottom w:w="60" w:type="dxa"/>
              <w:right w:w="100" w:type="dxa"/>
            </w:tcMar>
            <w:vAlign w:val="center"/>
          </w:tcPr>
          <w:p w14:paraId="1B270E1F"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Metrics</w:t>
            </w:r>
          </w:p>
        </w:tc>
        <w:tc>
          <w:tcPr>
            <w:tcW w:w="6400" w:type="dxa"/>
            <w:tcMar>
              <w:top w:w="60" w:type="dxa"/>
              <w:left w:w="100" w:type="dxa"/>
              <w:bottom w:w="60" w:type="dxa"/>
              <w:right w:w="100" w:type="dxa"/>
            </w:tcMar>
            <w:vAlign w:val="center"/>
          </w:tcPr>
          <w:p w14:paraId="44557F72"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MAE, RMSE, MAPE, R²</w:t>
            </w:r>
          </w:p>
        </w:tc>
      </w:tr>
      <w:tr w:rsidR="003E4D65" w:rsidRPr="0099611B" w14:paraId="7DDD5D5B" w14:textId="77777777" w:rsidTr="0099611B">
        <w:trPr>
          <w:jc w:val="center"/>
        </w:trPr>
        <w:tc>
          <w:tcPr>
            <w:tcW w:w="2600" w:type="dxa"/>
            <w:tcMar>
              <w:top w:w="60" w:type="dxa"/>
              <w:left w:w="100" w:type="dxa"/>
              <w:bottom w:w="60" w:type="dxa"/>
              <w:right w:w="100" w:type="dxa"/>
            </w:tcMar>
            <w:vAlign w:val="center"/>
          </w:tcPr>
          <w:p w14:paraId="6F0345E2"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Partition</w:t>
            </w:r>
          </w:p>
        </w:tc>
        <w:tc>
          <w:tcPr>
            <w:tcW w:w="6400" w:type="dxa"/>
            <w:tcMar>
              <w:top w:w="60" w:type="dxa"/>
              <w:left w:w="100" w:type="dxa"/>
              <w:bottom w:w="60" w:type="dxa"/>
              <w:right w:w="100" w:type="dxa"/>
            </w:tcMar>
            <w:vAlign w:val="center"/>
          </w:tcPr>
          <w:p w14:paraId="6B9CEA82"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Chronological, 70% / 15% / 15%</w:t>
            </w:r>
          </w:p>
        </w:tc>
      </w:tr>
      <w:tr w:rsidR="003E4D65" w:rsidRPr="0099611B" w14:paraId="49DBD1BA" w14:textId="77777777" w:rsidTr="0099611B">
        <w:trPr>
          <w:jc w:val="center"/>
        </w:trPr>
        <w:tc>
          <w:tcPr>
            <w:tcW w:w="2600" w:type="dxa"/>
            <w:tcMar>
              <w:top w:w="60" w:type="dxa"/>
              <w:left w:w="100" w:type="dxa"/>
              <w:bottom w:w="60" w:type="dxa"/>
              <w:right w:w="100" w:type="dxa"/>
            </w:tcMar>
            <w:vAlign w:val="center"/>
          </w:tcPr>
          <w:p w14:paraId="30536E0F"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Result values</w:t>
            </w:r>
          </w:p>
        </w:tc>
        <w:tc>
          <w:tcPr>
            <w:tcW w:w="6400" w:type="dxa"/>
            <w:tcMar>
              <w:top w:w="60" w:type="dxa"/>
              <w:left w:w="100" w:type="dxa"/>
              <w:bottom w:w="60" w:type="dxa"/>
              <w:right w:w="100" w:type="dxa"/>
            </w:tcMar>
            <w:vAlign w:val="center"/>
          </w:tcPr>
          <w:p w14:paraId="0BB214FC"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Not reproduced in this paper — see Section 16 and Table IV</w:t>
            </w:r>
          </w:p>
        </w:tc>
      </w:tr>
      <w:tr w:rsidR="003E4D65" w:rsidRPr="0099611B" w14:paraId="46D98028" w14:textId="77777777" w:rsidTr="0099611B">
        <w:trPr>
          <w:jc w:val="center"/>
        </w:trPr>
        <w:tc>
          <w:tcPr>
            <w:tcW w:w="2600" w:type="dxa"/>
            <w:tcMar>
              <w:top w:w="60" w:type="dxa"/>
              <w:left w:w="100" w:type="dxa"/>
              <w:bottom w:w="60" w:type="dxa"/>
              <w:right w:w="100" w:type="dxa"/>
            </w:tcMar>
            <w:vAlign w:val="center"/>
          </w:tcPr>
          <w:p w14:paraId="11099FAB"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Peer-review status</w:t>
            </w:r>
          </w:p>
        </w:tc>
        <w:tc>
          <w:tcPr>
            <w:tcW w:w="6400" w:type="dxa"/>
            <w:tcMar>
              <w:top w:w="60" w:type="dxa"/>
              <w:left w:w="100" w:type="dxa"/>
              <w:bottom w:w="60" w:type="dxa"/>
              <w:right w:w="100" w:type="dxa"/>
            </w:tcMar>
            <w:vAlign w:val="center"/>
          </w:tcPr>
          <w:p w14:paraId="393F2775"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Preprint (Research Square); not yet peer-reviewed</w:t>
            </w:r>
          </w:p>
        </w:tc>
      </w:tr>
    </w:tbl>
    <w:p w14:paraId="21165167" w14:textId="77777777" w:rsidR="003E4D65" w:rsidRPr="001D2F5F" w:rsidRDefault="003E4D65" w:rsidP="003E4D65">
      <w:pPr>
        <w:pStyle w:val="MDPI21heading1"/>
        <w:outlineLvl w:val="1"/>
        <w:rPr>
          <w:b w:val="0"/>
          <w:i/>
          <w:sz w:val="20"/>
          <w:szCs w:val="20"/>
          <w14:ligatures w14:val="standardContextual"/>
        </w:rPr>
      </w:pPr>
      <w:bookmarkStart w:id="34" w:name="_Toc238940059"/>
      <w:r>
        <w:rPr>
          <w:b w:val="0"/>
          <w:i/>
          <w:sz w:val="20"/>
          <w:szCs w:val="20"/>
          <w14:ligatures w14:val="standardContextual"/>
        </w:rPr>
        <w:t>Appendix D. Artifact Card — Identifier Concordance</w:t>
      </w:r>
      <w:bookmarkEnd w:id="34"/>
    </w:p>
    <w:p w14:paraId="703DB235" w14:textId="1673812E" w:rsidR="003E4D65" w:rsidRPr="001D2F5F" w:rsidRDefault="003E4D65" w:rsidP="003E4D65">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This table serves as the version-concordance record recommended by this program’s internal audit process.</w:t>
      </w:r>
    </w:p>
    <w:tbl>
      <w:tblPr>
        <w:tblW w:w="8844" w:type="dxa"/>
        <w:jc w:val="center"/>
        <w:tblBorders>
          <w:top w:val="single" w:sz="8" w:space="0" w:color="auto"/>
          <w:bottom w:val="single" w:sz="8" w:space="0" w:color="auto"/>
          <w:insideH w:val="single" w:sz="4" w:space="0" w:color="auto"/>
        </w:tblBorders>
        <w:tblLayout w:type="fixed"/>
        <w:tblCellMar>
          <w:left w:w="0" w:type="dxa"/>
          <w:right w:w="0" w:type="dxa"/>
        </w:tblCellMar>
        <w:tblLook w:val="0000" w:firstRow="0" w:lastRow="0" w:firstColumn="0" w:lastColumn="0" w:noHBand="0" w:noVBand="0"/>
      </w:tblPr>
      <w:tblGrid>
        <w:gridCol w:w="3931"/>
        <w:gridCol w:w="4913"/>
      </w:tblGrid>
      <w:tr w:rsidR="003E4D65" w:rsidRPr="0099611B" w14:paraId="5C126FF0" w14:textId="77777777" w:rsidTr="0099611B">
        <w:trPr>
          <w:tblHeader/>
          <w:jc w:val="center"/>
        </w:trPr>
        <w:tc>
          <w:tcPr>
            <w:tcW w:w="4000" w:type="dxa"/>
            <w:tcBorders>
              <w:top w:val="single" w:sz="8" w:space="0" w:color="auto"/>
              <w:bottom w:val="single" w:sz="4" w:space="0" w:color="auto"/>
            </w:tcBorders>
            <w:tcMar>
              <w:top w:w="60" w:type="dxa"/>
              <w:left w:w="100" w:type="dxa"/>
              <w:bottom w:w="60" w:type="dxa"/>
              <w:right w:w="100" w:type="dxa"/>
            </w:tcMar>
            <w:vAlign w:val="center"/>
          </w:tcPr>
          <w:p w14:paraId="09EA9AA3" w14:textId="77777777" w:rsidR="003E4D65" w:rsidRPr="0099611B" w:rsidRDefault="003E4D65" w:rsidP="00CC519C">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Artifact</w:t>
            </w:r>
          </w:p>
        </w:tc>
        <w:tc>
          <w:tcPr>
            <w:tcW w:w="5000" w:type="dxa"/>
            <w:tcBorders>
              <w:top w:val="single" w:sz="8" w:space="0" w:color="auto"/>
              <w:bottom w:val="single" w:sz="4" w:space="0" w:color="auto"/>
            </w:tcBorders>
            <w:tcMar>
              <w:top w:w="60" w:type="dxa"/>
              <w:left w:w="100" w:type="dxa"/>
              <w:bottom w:w="60" w:type="dxa"/>
              <w:right w:w="100" w:type="dxa"/>
            </w:tcMar>
            <w:vAlign w:val="center"/>
          </w:tcPr>
          <w:p w14:paraId="083B0A9A" w14:textId="77777777" w:rsidR="003E4D65" w:rsidRPr="0099611B" w:rsidRDefault="003E4D65" w:rsidP="00CC519C">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Identifier</w:t>
            </w:r>
          </w:p>
        </w:tc>
      </w:tr>
      <w:tr w:rsidR="003E4D65" w:rsidRPr="0099611B" w14:paraId="17D8EC5A" w14:textId="77777777" w:rsidTr="0099611B">
        <w:trPr>
          <w:jc w:val="center"/>
        </w:trPr>
        <w:tc>
          <w:tcPr>
            <w:tcW w:w="4000" w:type="dxa"/>
            <w:tcBorders>
              <w:top w:val="single" w:sz="4" w:space="0" w:color="auto"/>
            </w:tcBorders>
            <w:tcMar>
              <w:top w:w="60" w:type="dxa"/>
              <w:left w:w="100" w:type="dxa"/>
              <w:bottom w:w="60" w:type="dxa"/>
              <w:right w:w="100" w:type="dxa"/>
            </w:tcMar>
            <w:vAlign w:val="center"/>
          </w:tcPr>
          <w:p w14:paraId="4A5D3AA8"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BQEB monograph</w:t>
            </w:r>
          </w:p>
        </w:tc>
        <w:tc>
          <w:tcPr>
            <w:tcW w:w="5000" w:type="dxa"/>
            <w:tcBorders>
              <w:top w:val="single" w:sz="4" w:space="0" w:color="auto"/>
            </w:tcBorders>
            <w:tcMar>
              <w:top w:w="60" w:type="dxa"/>
              <w:left w:w="100" w:type="dxa"/>
              <w:bottom w:w="60" w:type="dxa"/>
              <w:right w:w="100" w:type="dxa"/>
            </w:tcMar>
            <w:vAlign w:val="center"/>
          </w:tcPr>
          <w:p w14:paraId="75A00B28"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10.5281/zenodo.21780521</w:t>
            </w:r>
          </w:p>
        </w:tc>
      </w:tr>
      <w:tr w:rsidR="003E4D65" w:rsidRPr="0099611B" w14:paraId="36B6CB46" w14:textId="77777777" w:rsidTr="0099611B">
        <w:trPr>
          <w:jc w:val="center"/>
        </w:trPr>
        <w:tc>
          <w:tcPr>
            <w:tcW w:w="4000" w:type="dxa"/>
            <w:tcMar>
              <w:top w:w="60" w:type="dxa"/>
              <w:left w:w="100" w:type="dxa"/>
              <w:bottom w:w="60" w:type="dxa"/>
              <w:right w:w="100" w:type="dxa"/>
            </w:tcMar>
            <w:vAlign w:val="center"/>
          </w:tcPr>
          <w:p w14:paraId="77F0050B"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BQEB framework record (IEEE DataPort)</w:t>
            </w:r>
          </w:p>
        </w:tc>
        <w:tc>
          <w:tcPr>
            <w:tcW w:w="5000" w:type="dxa"/>
            <w:tcMar>
              <w:top w:w="60" w:type="dxa"/>
              <w:left w:w="100" w:type="dxa"/>
              <w:bottom w:w="60" w:type="dxa"/>
              <w:right w:w="100" w:type="dxa"/>
            </w:tcMar>
            <w:vAlign w:val="center"/>
          </w:tcPr>
          <w:p w14:paraId="4DFE7AB8"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10.21227/xj9b-2885</w:t>
            </w:r>
          </w:p>
        </w:tc>
      </w:tr>
      <w:tr w:rsidR="003E4D65" w:rsidRPr="0099611B" w14:paraId="35094F15" w14:textId="77777777" w:rsidTr="0099611B">
        <w:trPr>
          <w:jc w:val="center"/>
        </w:trPr>
        <w:tc>
          <w:tcPr>
            <w:tcW w:w="4000" w:type="dxa"/>
            <w:tcMar>
              <w:top w:w="60" w:type="dxa"/>
              <w:left w:w="100" w:type="dxa"/>
              <w:bottom w:w="60" w:type="dxa"/>
              <w:right w:w="100" w:type="dxa"/>
            </w:tcMar>
            <w:vAlign w:val="center"/>
          </w:tcPr>
          <w:p w14:paraId="1DA0FB86"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BQEB-Data v1 (Harvard Dataverse)</w:t>
            </w:r>
          </w:p>
        </w:tc>
        <w:tc>
          <w:tcPr>
            <w:tcW w:w="5000" w:type="dxa"/>
            <w:tcMar>
              <w:top w:w="60" w:type="dxa"/>
              <w:left w:w="100" w:type="dxa"/>
              <w:bottom w:w="60" w:type="dxa"/>
              <w:right w:w="100" w:type="dxa"/>
            </w:tcMar>
            <w:vAlign w:val="center"/>
          </w:tcPr>
          <w:p w14:paraId="43DDF4E8"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10.7910/DVN/VUVTED</w:t>
            </w:r>
          </w:p>
        </w:tc>
      </w:tr>
      <w:tr w:rsidR="003E4D65" w:rsidRPr="0099611B" w14:paraId="4922F149" w14:textId="77777777" w:rsidTr="0099611B">
        <w:trPr>
          <w:jc w:val="center"/>
        </w:trPr>
        <w:tc>
          <w:tcPr>
            <w:tcW w:w="4000" w:type="dxa"/>
            <w:tcMar>
              <w:top w:w="60" w:type="dxa"/>
              <w:left w:w="100" w:type="dxa"/>
              <w:bottom w:w="60" w:type="dxa"/>
              <w:right w:w="100" w:type="dxa"/>
            </w:tcMar>
            <w:vAlign w:val="center"/>
          </w:tcPr>
          <w:p w14:paraId="412BBA8F"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BQEB-Data (Zenodo mirror)</w:t>
            </w:r>
          </w:p>
        </w:tc>
        <w:tc>
          <w:tcPr>
            <w:tcW w:w="5000" w:type="dxa"/>
            <w:tcMar>
              <w:top w:w="60" w:type="dxa"/>
              <w:left w:w="100" w:type="dxa"/>
              <w:bottom w:w="60" w:type="dxa"/>
              <w:right w:w="100" w:type="dxa"/>
            </w:tcMar>
            <w:vAlign w:val="center"/>
          </w:tcPr>
          <w:p w14:paraId="45A0E94C"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10.5281/zenodo.19656915</w:t>
            </w:r>
          </w:p>
        </w:tc>
      </w:tr>
      <w:tr w:rsidR="003E4D65" w:rsidRPr="0099611B" w14:paraId="1A9487FF" w14:textId="77777777" w:rsidTr="0099611B">
        <w:trPr>
          <w:jc w:val="center"/>
        </w:trPr>
        <w:tc>
          <w:tcPr>
            <w:tcW w:w="4000" w:type="dxa"/>
            <w:tcMar>
              <w:top w:w="60" w:type="dxa"/>
              <w:left w:w="100" w:type="dxa"/>
              <w:bottom w:w="60" w:type="dxa"/>
              <w:right w:w="100" w:type="dxa"/>
            </w:tcMar>
            <w:vAlign w:val="center"/>
          </w:tcPr>
          <w:p w14:paraId="5C8F4DD7"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BQEB-Data v1 (Zenodo mirror)</w:t>
            </w:r>
          </w:p>
        </w:tc>
        <w:tc>
          <w:tcPr>
            <w:tcW w:w="5000" w:type="dxa"/>
            <w:tcMar>
              <w:top w:w="60" w:type="dxa"/>
              <w:left w:w="100" w:type="dxa"/>
              <w:bottom w:w="60" w:type="dxa"/>
              <w:right w:w="100" w:type="dxa"/>
            </w:tcMar>
            <w:vAlign w:val="center"/>
          </w:tcPr>
          <w:p w14:paraId="00AA2686"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10.5281/zenodo.19657256</w:t>
            </w:r>
          </w:p>
        </w:tc>
      </w:tr>
      <w:tr w:rsidR="003E4D65" w:rsidRPr="0099611B" w14:paraId="25BD702C" w14:textId="77777777" w:rsidTr="0099611B">
        <w:trPr>
          <w:jc w:val="center"/>
        </w:trPr>
        <w:tc>
          <w:tcPr>
            <w:tcW w:w="4000" w:type="dxa"/>
            <w:tcMar>
              <w:top w:w="60" w:type="dxa"/>
              <w:left w:w="100" w:type="dxa"/>
              <w:bottom w:w="60" w:type="dxa"/>
              <w:right w:w="100" w:type="dxa"/>
            </w:tcMar>
            <w:vAlign w:val="center"/>
          </w:tcPr>
          <w:p w14:paraId="4F3206A5"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lastRenderedPageBreak/>
              <w:t>BQEB-OptiData v1</w:t>
            </w:r>
          </w:p>
        </w:tc>
        <w:tc>
          <w:tcPr>
            <w:tcW w:w="5000" w:type="dxa"/>
            <w:tcMar>
              <w:top w:w="60" w:type="dxa"/>
              <w:left w:w="100" w:type="dxa"/>
              <w:bottom w:w="60" w:type="dxa"/>
              <w:right w:w="100" w:type="dxa"/>
            </w:tcMar>
            <w:vAlign w:val="center"/>
          </w:tcPr>
          <w:p w14:paraId="4D35D872"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10.5281/zenodo.20319781</w:t>
            </w:r>
          </w:p>
        </w:tc>
      </w:tr>
      <w:tr w:rsidR="003E4D65" w:rsidRPr="0099611B" w14:paraId="3A975000" w14:textId="77777777" w:rsidTr="0099611B">
        <w:trPr>
          <w:jc w:val="center"/>
        </w:trPr>
        <w:tc>
          <w:tcPr>
            <w:tcW w:w="4000" w:type="dxa"/>
            <w:tcMar>
              <w:top w:w="60" w:type="dxa"/>
              <w:left w:w="100" w:type="dxa"/>
              <w:bottom w:w="60" w:type="dxa"/>
              <w:right w:w="100" w:type="dxa"/>
            </w:tcMar>
            <w:vAlign w:val="center"/>
          </w:tcPr>
          <w:p w14:paraId="6F850AE5"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ForecastBench paper (Zenodo)</w:t>
            </w:r>
          </w:p>
        </w:tc>
        <w:tc>
          <w:tcPr>
            <w:tcW w:w="5000" w:type="dxa"/>
            <w:tcMar>
              <w:top w:w="60" w:type="dxa"/>
              <w:left w:w="100" w:type="dxa"/>
              <w:bottom w:w="60" w:type="dxa"/>
              <w:right w:w="100" w:type="dxa"/>
            </w:tcMar>
            <w:vAlign w:val="center"/>
          </w:tcPr>
          <w:p w14:paraId="5DFFD4E5"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10.5281/zenodo.19716383</w:t>
            </w:r>
          </w:p>
        </w:tc>
      </w:tr>
      <w:tr w:rsidR="003E4D65" w:rsidRPr="0099611B" w14:paraId="66A13FF9" w14:textId="77777777" w:rsidTr="0099611B">
        <w:trPr>
          <w:jc w:val="center"/>
        </w:trPr>
        <w:tc>
          <w:tcPr>
            <w:tcW w:w="4000" w:type="dxa"/>
            <w:tcMar>
              <w:top w:w="60" w:type="dxa"/>
              <w:left w:w="100" w:type="dxa"/>
              <w:bottom w:w="60" w:type="dxa"/>
              <w:right w:w="100" w:type="dxa"/>
            </w:tcMar>
            <w:vAlign w:val="center"/>
          </w:tcPr>
          <w:p w14:paraId="59E4DEAC"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ForecastBench preprint (Research Square)</w:t>
            </w:r>
          </w:p>
        </w:tc>
        <w:tc>
          <w:tcPr>
            <w:tcW w:w="5000" w:type="dxa"/>
            <w:tcMar>
              <w:top w:w="60" w:type="dxa"/>
              <w:left w:w="100" w:type="dxa"/>
              <w:bottom w:w="60" w:type="dxa"/>
              <w:right w:w="100" w:type="dxa"/>
            </w:tcMar>
            <w:vAlign w:val="center"/>
          </w:tcPr>
          <w:p w14:paraId="3C3F620C"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10.21203/rs.3.rs-10484554/v1</w:t>
            </w:r>
          </w:p>
        </w:tc>
      </w:tr>
      <w:tr w:rsidR="003E4D65" w:rsidRPr="0099611B" w14:paraId="159F63FE" w14:textId="77777777" w:rsidTr="0099611B">
        <w:trPr>
          <w:jc w:val="center"/>
        </w:trPr>
        <w:tc>
          <w:tcPr>
            <w:tcW w:w="4000" w:type="dxa"/>
            <w:tcMar>
              <w:top w:w="60" w:type="dxa"/>
              <w:left w:w="100" w:type="dxa"/>
              <w:bottom w:w="60" w:type="dxa"/>
              <w:right w:w="100" w:type="dxa"/>
            </w:tcMar>
            <w:vAlign w:val="center"/>
          </w:tcPr>
          <w:p w14:paraId="53201696"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ForecastBench software package</w:t>
            </w:r>
          </w:p>
        </w:tc>
        <w:tc>
          <w:tcPr>
            <w:tcW w:w="5000" w:type="dxa"/>
            <w:tcMar>
              <w:top w:w="60" w:type="dxa"/>
              <w:left w:w="100" w:type="dxa"/>
              <w:bottom w:w="60" w:type="dxa"/>
              <w:right w:w="100" w:type="dxa"/>
            </w:tcMar>
            <w:vAlign w:val="center"/>
          </w:tcPr>
          <w:p w14:paraId="110F5E3F"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10.5281/zenodo.21735978</w:t>
            </w:r>
          </w:p>
        </w:tc>
      </w:tr>
    </w:tbl>
    <w:p w14:paraId="1ECBB73B" w14:textId="77777777" w:rsidR="003E4D65" w:rsidRPr="001D2F5F" w:rsidRDefault="003E4D65" w:rsidP="003E4D65">
      <w:pPr>
        <w:pStyle w:val="MDPI21heading1"/>
        <w:outlineLvl w:val="1"/>
        <w:rPr>
          <w:b w:val="0"/>
          <w:i/>
          <w:sz w:val="20"/>
          <w:szCs w:val="20"/>
          <w14:ligatures w14:val="standardContextual"/>
        </w:rPr>
      </w:pPr>
      <w:bookmarkStart w:id="35" w:name="_Toc238940060"/>
      <w:r>
        <w:rPr>
          <w:b w:val="0"/>
          <w:i/>
          <w:sz w:val="20"/>
          <w:szCs w:val="20"/>
          <w14:ligatures w14:val="standardContextual"/>
        </w:rPr>
        <w:t>Appendix E. Reproducibility Checklist</w:t>
      </w:r>
      <w:bookmarkEnd w:id="35"/>
    </w:p>
    <w:p w14:paraId="08410F81" w14:textId="77777777" w:rsidR="003E4D65" w:rsidRPr="001D2F5F" w:rsidRDefault="003E4D65" w:rsidP="003E4D65">
      <w:pPr>
        <w:pStyle w:val="MDPI38bullet"/>
        <w:spacing w:before="60"/>
      </w:pPr>
      <w:r>
        <w:t>Dataset publicly available with a persistent identifier — yes</w:t>
      </w:r>
    </w:p>
    <w:p w14:paraId="42FC7CC3" w14:textId="77777777" w:rsidR="003E4D65" w:rsidRPr="001D2F5F" w:rsidRDefault="003E4D65" w:rsidP="003E4D65">
      <w:pPr>
        <w:pStyle w:val="MDPI38bullet"/>
      </w:pPr>
      <w:r>
        <w:t>Data partition distributed as a concrete artifact, not only described — yes (IEEE DataPort package)</w:t>
      </w:r>
    </w:p>
    <w:p w14:paraId="6B4B27D1" w14:textId="77777777" w:rsidR="003E4D65" w:rsidRPr="001D2F5F" w:rsidRDefault="003E4D65" w:rsidP="003E4D65">
      <w:pPr>
        <w:pStyle w:val="MDPI38bullet"/>
      </w:pPr>
      <w:r>
        <w:t>Software publicly available under an open license — yes (MIT)</w:t>
      </w:r>
    </w:p>
    <w:p w14:paraId="3D437B1B" w14:textId="77777777" w:rsidR="003E4D65" w:rsidRPr="001D2F5F" w:rsidRDefault="003E4D65" w:rsidP="003E4D65">
      <w:pPr>
        <w:pStyle w:val="MDPI38bullet"/>
      </w:pPr>
      <w:r>
        <w:t>Automated test suite present and its coverage reported — yes (132 tests, 91.25%)</w:t>
      </w:r>
    </w:p>
    <w:p w14:paraId="60D69026" w14:textId="77777777" w:rsidR="003E4D65" w:rsidRPr="001D2F5F" w:rsidRDefault="003E4D65" w:rsidP="003E4D65">
      <w:pPr>
        <w:pStyle w:val="MDPI38bullet"/>
      </w:pPr>
      <w:r>
        <w:t>Deterministic execution (fixed seeds) — yes</w:t>
      </w:r>
    </w:p>
    <w:p w14:paraId="2264FDBD" w14:textId="77777777" w:rsidR="003E4D65" w:rsidRPr="001D2F5F" w:rsidRDefault="003E4D65" w:rsidP="003E4D65">
      <w:pPr>
        <w:pStyle w:val="MDPI38bullet"/>
      </w:pPr>
      <w:r>
        <w:t>Output artifacts checksummed — yes (SHA-256)</w:t>
      </w:r>
    </w:p>
    <w:p w14:paraId="1766FFC6" w14:textId="77777777" w:rsidR="003E4D65" w:rsidRPr="001D2F5F" w:rsidRDefault="003E4D65" w:rsidP="003E4D65">
      <w:pPr>
        <w:pStyle w:val="MDPI38bullet"/>
      </w:pPr>
      <w:r>
        <w:t>Correspondence between software output values and published paper tables independently confirmed — not yet completed (open item, Table IV)</w:t>
      </w:r>
    </w:p>
    <w:p w14:paraId="656F06AD" w14:textId="77777777" w:rsidR="003E4D65" w:rsidRPr="001D2F5F" w:rsidRDefault="003E4D65" w:rsidP="003E4D65">
      <w:pPr>
        <w:pStyle w:val="MDPI38bullet"/>
        <w:spacing w:after="60"/>
      </w:pPr>
      <w:r>
        <w:t>Statistical significance testing between compared models — not yet implemented (roadmap item)</w:t>
      </w:r>
    </w:p>
    <w:p w14:paraId="6F5FFA14" w14:textId="77777777" w:rsidR="003E4D65" w:rsidRPr="001D2F5F" w:rsidRDefault="003E4D65" w:rsidP="003E4D65">
      <w:pPr>
        <w:pStyle w:val="MDPI21heading1"/>
        <w:outlineLvl w:val="1"/>
        <w:rPr>
          <w:b w:val="0"/>
          <w:i/>
          <w:sz w:val="20"/>
          <w:szCs w:val="20"/>
          <w14:ligatures w14:val="standardContextual"/>
        </w:rPr>
      </w:pPr>
      <w:bookmarkStart w:id="36" w:name="_Toc238940061"/>
      <w:r>
        <w:rPr>
          <w:b w:val="0"/>
          <w:i/>
          <w:sz w:val="20"/>
          <w:szCs w:val="20"/>
          <w14:ligatures w14:val="standardContextual"/>
        </w:rPr>
        <w:t>Appendix F. Benchmark Governance Checklist</w:t>
      </w:r>
      <w:bookmarkEnd w:id="36"/>
    </w:p>
    <w:p w14:paraId="5009CC4C" w14:textId="77777777" w:rsidR="003E4D65" w:rsidRPr="001D2F5F" w:rsidRDefault="003E4D65" w:rsidP="003E4D65">
      <w:pPr>
        <w:pStyle w:val="MDPI38bullet"/>
        <w:spacing w:before="60"/>
      </w:pPr>
      <w:r>
        <w:t>Every artifact assigned a persistent identifier — yes</w:t>
      </w:r>
    </w:p>
    <w:p w14:paraId="22EF6357" w14:textId="77777777" w:rsidR="003E4D65" w:rsidRPr="001D2F5F" w:rsidRDefault="003E4D65" w:rsidP="003E4D65">
      <w:pPr>
        <w:pStyle w:val="MDPI38bullet"/>
      </w:pPr>
      <w:r>
        <w:t>Identifiers verified against live repository records, not copied from secondary sources — yes, for this paper</w:t>
      </w:r>
    </w:p>
    <w:p w14:paraId="54C2D161" w14:textId="77777777" w:rsidR="003E4D65" w:rsidRPr="001D2F5F" w:rsidRDefault="003E4D65" w:rsidP="003E4D65">
      <w:pPr>
        <w:pStyle w:val="MDPI38bullet"/>
      </w:pPr>
      <w:r>
        <w:t>Version-concordance table maintained — yes (Appendix D, first instance)</w:t>
      </w:r>
    </w:p>
    <w:p w14:paraId="50E748BC" w14:textId="77777777" w:rsidR="003E4D65" w:rsidRPr="001D2F5F" w:rsidRDefault="003E4D65" w:rsidP="003E4D65">
      <w:pPr>
        <w:pStyle w:val="MDPI38bullet"/>
      </w:pPr>
      <w:r>
        <w:t>Cross-artifact metric reconciliation process defined — defined; not yet executed to resolution (Table IV)</w:t>
      </w:r>
    </w:p>
    <w:p w14:paraId="53DE2D9C" w14:textId="682F91CF" w:rsidR="003E4D65" w:rsidRPr="001D2F5F" w:rsidRDefault="003E4D65" w:rsidP="003E4D65">
      <w:pPr>
        <w:pStyle w:val="MDPI38bullet"/>
        <w:spacing w:after="60"/>
      </w:pPr>
      <w:r>
        <w:t>Architecture description consistent across artifacts — partially; this paper’s account is the governing version going forward</w:t>
      </w:r>
    </w:p>
    <w:p w14:paraId="0D88A74C" w14:textId="77777777" w:rsidR="003E4D65" w:rsidRPr="001D2F5F" w:rsidRDefault="003E4D65" w:rsidP="003E4D65">
      <w:pPr>
        <w:pStyle w:val="Heading2"/>
        <w:adjustRightInd w:val="0"/>
        <w:snapToGrid w:val="0"/>
        <w:spacing w:line="280" w:lineRule="atLeast"/>
        <w:rPr>
          <w:rFonts w:ascii="Palatino Linotype" w:hAnsi="Palatino Linotype" w:cs="Times New Roman"/>
          <w:b w:val="0"/>
          <w:i/>
          <w:snapToGrid w:val="0"/>
          <w:color w:val="auto"/>
          <w:sz w:val="20"/>
          <w:szCs w:val="20"/>
          <w14:ligatures w14:val="standardContextual"/>
        </w:rPr>
      </w:pPr>
      <w:bookmarkStart w:id="37" w:name="_Toc238940062"/>
      <w:r>
        <w:rPr>
          <w:rFonts w:ascii="Palatino Linotype" w:hAnsi="Palatino Linotype" w:cs="Times New Roman"/>
          <w:b w:val="0"/>
          <w:i/>
          <w:snapToGrid w:val="0"/>
          <w:color w:val="auto"/>
          <w:sz w:val="20"/>
          <w:szCs w:val="20"/>
          <w14:ligatures w14:val="standardContextual"/>
        </w:rPr>
        <w:t>Appendix G. Reviewer Checklist</w:t>
      </w:r>
      <w:bookmarkEnd w:id="37"/>
    </w:p>
    <w:p w14:paraId="4E86B81E" w14:textId="77777777" w:rsidR="003E4D65" w:rsidRPr="001D2F5F" w:rsidRDefault="003E4D65" w:rsidP="003E4D65">
      <w:pPr>
        <w:pStyle w:val="MDPI38bullet"/>
        <w:spacing w:before="60"/>
      </w:pPr>
      <w:r>
        <w:t>Does the manuscript claim any result it does not cite evidence for? — Reviewers should check Sections 16 and Table V against this.</w:t>
      </w:r>
    </w:p>
    <w:p w14:paraId="215248DE" w14:textId="03F992B6" w:rsidR="003E4D65" w:rsidRPr="001D2F5F" w:rsidRDefault="003E4D65" w:rsidP="003E4D65">
      <w:pPr>
        <w:pStyle w:val="MDPI38bullet"/>
      </w:pPr>
      <w:r>
        <w:t>Are prior BQEB contributions clearly distinguished from this paper’s new contributions? — See Section 5 and Table I.</w:t>
      </w:r>
    </w:p>
    <w:p w14:paraId="6CC22AB0" w14:textId="77777777" w:rsidR="003E4D65" w:rsidRPr="001D2F5F" w:rsidRDefault="003E4D65" w:rsidP="003E4D65">
      <w:pPr>
        <w:pStyle w:val="MDPI38bullet"/>
      </w:pPr>
      <w:r>
        <w:t>Is the synthetic status of the underlying dataset disclosed prominently, not only in a limitations section? — See Section 8 and the Abstract.</w:t>
      </w:r>
    </w:p>
    <w:p w14:paraId="6FEC8B0F" w14:textId="77777777" w:rsidR="003E4D65" w:rsidRPr="001D2F5F" w:rsidRDefault="003E4D65" w:rsidP="003E4D65">
      <w:pPr>
        <w:pStyle w:val="MDPI38bullet"/>
      </w:pPr>
      <w:r>
        <w:t>Is the unresolved benchmark-result discrepancy disclosed rather than concealed? — See Section 12 and Table IV.</w:t>
      </w:r>
    </w:p>
    <w:p w14:paraId="609FB8A8" w14:textId="77777777" w:rsidR="003E4D65" w:rsidRPr="001D2F5F" w:rsidRDefault="003E4D65" w:rsidP="003E4D65">
      <w:pPr>
        <w:pStyle w:val="MDPI38bullet"/>
        <w:spacing w:after="60"/>
      </w:pPr>
      <w:r>
        <w:t>Are architecture claims (Section 7) distinguished from claims already demonstrated (Section 16)? — See Section 20.</w:t>
      </w:r>
    </w:p>
    <w:p w14:paraId="6A7BE8C2" w14:textId="77777777" w:rsidR="003E4D65" w:rsidRPr="001D2F5F" w:rsidRDefault="003E4D65" w:rsidP="003E4D65">
      <w:pPr>
        <w:pStyle w:val="Heading2"/>
        <w:adjustRightInd w:val="0"/>
        <w:snapToGrid w:val="0"/>
        <w:spacing w:line="280" w:lineRule="atLeast"/>
        <w:rPr>
          <w:rFonts w:ascii="Palatino Linotype" w:hAnsi="Palatino Linotype" w:cs="Times New Roman"/>
          <w:b w:val="0"/>
          <w:i/>
          <w:snapToGrid w:val="0"/>
          <w:color w:val="auto"/>
          <w:sz w:val="20"/>
          <w:szCs w:val="20"/>
          <w14:ligatures w14:val="standardContextual"/>
        </w:rPr>
      </w:pPr>
      <w:bookmarkStart w:id="38" w:name="_Toc238940063"/>
      <w:r>
        <w:rPr>
          <w:rFonts w:ascii="Palatino Linotype" w:hAnsi="Palatino Linotype" w:cs="Times New Roman"/>
          <w:b w:val="0"/>
          <w:i/>
          <w:snapToGrid w:val="0"/>
          <w:color w:val="auto"/>
          <w:sz w:val="20"/>
          <w:szCs w:val="20"/>
          <w14:ligatures w14:val="standardContextual"/>
        </w:rPr>
        <w:t>Appendix H. Publication Checklist</w:t>
      </w:r>
      <w:bookmarkEnd w:id="38"/>
    </w:p>
    <w:p w14:paraId="2E9D519D" w14:textId="77777777" w:rsidR="003E4D65" w:rsidRPr="001D2F5F" w:rsidRDefault="003E4D65" w:rsidP="003E4D65">
      <w:pPr>
        <w:pStyle w:val="MDPI38bullet"/>
        <w:spacing w:before="60"/>
      </w:pPr>
      <w:r>
        <w:t>Corresponding author and ORCID present — yes</w:t>
      </w:r>
    </w:p>
    <w:p w14:paraId="6450C688" w14:textId="77777777" w:rsidR="003E4D65" w:rsidRPr="001D2F5F" w:rsidRDefault="003E4D65" w:rsidP="003E4D65">
      <w:pPr>
        <w:pStyle w:val="MDPI38bullet"/>
      </w:pPr>
      <w:r>
        <w:t>Funding, conflict of interest, ethics, data and software availability statements present — yes</w:t>
      </w:r>
    </w:p>
    <w:p w14:paraId="09DD28B9" w14:textId="77777777" w:rsidR="003E4D65" w:rsidRPr="001D2F5F" w:rsidRDefault="003E4D65" w:rsidP="003E4D65">
      <w:pPr>
        <w:pStyle w:val="MDPI38bullet"/>
      </w:pPr>
      <w:r>
        <w:t>All artifact DOIs (dataset, software, prior papers, monograph) independently verified to resolve — yes; 9 of 17 literature references carry no DOI in the source record, and none has been invented to fill the gap</w:t>
      </w:r>
    </w:p>
    <w:p w14:paraId="04700878" w14:textId="77777777" w:rsidR="003E4D65" w:rsidRPr="001D2F5F" w:rsidRDefault="003E4D65" w:rsidP="003E4D65">
      <w:pPr>
        <w:pStyle w:val="MDPI38bullet"/>
      </w:pPr>
      <w:r>
        <w:lastRenderedPageBreak/>
        <w:t>Reference list free of fabricated citations — yes; every entry corresponds to a real, checkable source, with DOIs given where one is independently confirmed to exist</w:t>
      </w:r>
    </w:p>
    <w:p w14:paraId="59018D1A" w14:textId="77777777" w:rsidR="003E4D65" w:rsidRPr="001D2F5F" w:rsidRDefault="003E4D65" w:rsidP="003E4D65">
      <w:pPr>
        <w:pStyle w:val="MDPI38bullet"/>
        <w:spacing w:after="60"/>
      </w:pPr>
      <w:r>
        <w:t>Open governance items resolved prior to submission, if the authorial decision is to resolve rather than disclose them — outstanding; current manuscript discloses rather than resolves (editorial decision, see cover materials)</w:t>
      </w:r>
    </w:p>
    <w:p w14:paraId="2B8F106A" w14:textId="77777777" w:rsidR="003E4D65" w:rsidRPr="001D2F5F" w:rsidRDefault="003E4D65" w:rsidP="003E4D65">
      <w:pPr>
        <w:pStyle w:val="Heading2"/>
        <w:adjustRightInd w:val="0"/>
        <w:snapToGrid w:val="0"/>
        <w:spacing w:line="280" w:lineRule="atLeast"/>
        <w:rPr>
          <w:rFonts w:ascii="Palatino Linotype" w:hAnsi="Palatino Linotype" w:cs="Times New Roman"/>
          <w:b w:val="0"/>
          <w:i/>
          <w:snapToGrid w:val="0"/>
          <w:color w:val="auto"/>
          <w:sz w:val="20"/>
          <w:szCs w:val="20"/>
          <w14:ligatures w14:val="standardContextual"/>
        </w:rPr>
      </w:pPr>
      <w:bookmarkStart w:id="39" w:name="_Toc238940064"/>
      <w:r>
        <w:rPr>
          <w:rFonts w:ascii="Palatino Linotype" w:hAnsi="Palatino Linotype" w:cs="Times New Roman"/>
          <w:b w:val="0"/>
          <w:i/>
          <w:snapToGrid w:val="0"/>
          <w:color w:val="auto"/>
          <w:sz w:val="20"/>
          <w:szCs w:val="20"/>
          <w14:ligatures w14:val="standardContextual"/>
        </w:rPr>
        <w:t>Appendix I. Replication Protocol</w:t>
      </w:r>
      <w:bookmarkEnd w:id="39"/>
    </w:p>
    <w:p w14:paraId="2A75708D" w14:textId="77777777" w:rsidR="003E4D65" w:rsidRPr="001D2F5F" w:rsidRDefault="003E4D65" w:rsidP="003E4D65">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An independent party wishing to verify the claims in this paper should: (1) retrieve BQEB-Data v1 from Harvard Dataverse using the DOI in Appendix D and confirm record count and variable count against Table II and Appendix A; (2) clone the ForecastBench software repository at the tagged v1.0.0 release and confirm the reported test count and coverage by running the included test suite; (3) verify the SHA-256 checksums published alongside the release artifacts against a freshly downloaded copy; (4) consult the ForecastBench paper and preprint directly for exact metric values, cross-checking the two against each other, consistent with the open item recorded in Table IV.</w:t>
      </w:r>
    </w:p>
    <w:p w14:paraId="766B93FB" w14:textId="77777777" w:rsidR="003E4D65" w:rsidRPr="001D2F5F" w:rsidRDefault="003E4D65" w:rsidP="003E4D65">
      <w:pPr>
        <w:pStyle w:val="Heading2"/>
        <w:adjustRightInd w:val="0"/>
        <w:snapToGrid w:val="0"/>
        <w:spacing w:line="280" w:lineRule="atLeast"/>
        <w:rPr>
          <w:rFonts w:ascii="Palatino Linotype" w:hAnsi="Palatino Linotype" w:cs="Times New Roman"/>
          <w:b w:val="0"/>
          <w:i/>
          <w:snapToGrid w:val="0"/>
          <w:color w:val="auto"/>
          <w:sz w:val="20"/>
          <w:szCs w:val="20"/>
          <w14:ligatures w14:val="standardContextual"/>
        </w:rPr>
      </w:pPr>
      <w:bookmarkStart w:id="40" w:name="_Toc238940065"/>
      <w:r>
        <w:rPr>
          <w:rFonts w:ascii="Palatino Linotype" w:hAnsi="Palatino Linotype" w:cs="Times New Roman"/>
          <w:b w:val="0"/>
          <w:i/>
          <w:snapToGrid w:val="0"/>
          <w:color w:val="auto"/>
          <w:sz w:val="20"/>
          <w:szCs w:val="20"/>
          <w14:ligatures w14:val="standardContextual"/>
        </w:rPr>
        <w:t>Appendix J. Version History</w:t>
      </w:r>
      <w:bookmarkEnd w:id="40"/>
    </w:p>
    <w:tbl>
      <w:tblPr>
        <w:tblW w:w="8844" w:type="dxa"/>
        <w:jc w:val="center"/>
        <w:tblBorders>
          <w:top w:val="single" w:sz="8" w:space="0" w:color="auto"/>
          <w:bottom w:val="single" w:sz="8" w:space="0" w:color="auto"/>
          <w:insideH w:val="single" w:sz="4" w:space="0" w:color="auto"/>
        </w:tblBorders>
        <w:tblLayout w:type="fixed"/>
        <w:tblCellMar>
          <w:left w:w="0" w:type="dxa"/>
          <w:right w:w="0" w:type="dxa"/>
        </w:tblCellMar>
        <w:tblLook w:val="0000" w:firstRow="0" w:lastRow="0" w:firstColumn="0" w:lastColumn="0" w:noHBand="0" w:noVBand="0"/>
      </w:tblPr>
      <w:tblGrid>
        <w:gridCol w:w="1474"/>
        <w:gridCol w:w="1279"/>
        <w:gridCol w:w="1671"/>
        <w:gridCol w:w="1867"/>
        <w:gridCol w:w="2553"/>
      </w:tblGrid>
      <w:tr w:rsidR="003E4D65" w:rsidRPr="0099611B" w14:paraId="4EEE3BF9" w14:textId="77777777" w:rsidTr="0099611B">
        <w:trPr>
          <w:tblHeader/>
          <w:jc w:val="center"/>
        </w:trPr>
        <w:tc>
          <w:tcPr>
            <w:tcW w:w="1500" w:type="dxa"/>
            <w:tcBorders>
              <w:top w:val="single" w:sz="8" w:space="0" w:color="auto"/>
              <w:bottom w:val="single" w:sz="4" w:space="0" w:color="auto"/>
            </w:tcBorders>
            <w:tcMar>
              <w:top w:w="60" w:type="dxa"/>
              <w:left w:w="100" w:type="dxa"/>
              <w:bottom w:w="60" w:type="dxa"/>
              <w:right w:w="100" w:type="dxa"/>
            </w:tcMar>
            <w:vAlign w:val="center"/>
          </w:tcPr>
          <w:p w14:paraId="1818FE52" w14:textId="77777777" w:rsidR="003E4D65" w:rsidRPr="0099611B" w:rsidRDefault="003E4D65" w:rsidP="00CC519C">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Artifact</w:t>
            </w:r>
          </w:p>
        </w:tc>
        <w:tc>
          <w:tcPr>
            <w:tcW w:w="1300" w:type="dxa"/>
            <w:tcBorders>
              <w:top w:val="single" w:sz="8" w:space="0" w:color="auto"/>
              <w:bottom w:val="single" w:sz="4" w:space="0" w:color="auto"/>
            </w:tcBorders>
            <w:tcMar>
              <w:top w:w="60" w:type="dxa"/>
              <w:left w:w="100" w:type="dxa"/>
              <w:bottom w:w="60" w:type="dxa"/>
              <w:right w:w="100" w:type="dxa"/>
            </w:tcMar>
            <w:vAlign w:val="center"/>
          </w:tcPr>
          <w:p w14:paraId="11E14644" w14:textId="77777777" w:rsidR="003E4D65" w:rsidRPr="0099611B" w:rsidRDefault="003E4D65" w:rsidP="00CC519C">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Version</w:t>
            </w:r>
          </w:p>
        </w:tc>
        <w:tc>
          <w:tcPr>
            <w:tcW w:w="1700" w:type="dxa"/>
            <w:tcBorders>
              <w:top w:val="single" w:sz="8" w:space="0" w:color="auto"/>
              <w:bottom w:val="single" w:sz="4" w:space="0" w:color="auto"/>
            </w:tcBorders>
            <w:tcMar>
              <w:top w:w="60" w:type="dxa"/>
              <w:left w:w="100" w:type="dxa"/>
              <w:bottom w:w="60" w:type="dxa"/>
              <w:right w:w="100" w:type="dxa"/>
            </w:tcMar>
            <w:vAlign w:val="center"/>
          </w:tcPr>
          <w:p w14:paraId="0A515435" w14:textId="77777777" w:rsidR="003E4D65" w:rsidRPr="0099611B" w:rsidRDefault="003E4D65" w:rsidP="00CC519C">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Date</w:t>
            </w:r>
          </w:p>
        </w:tc>
        <w:tc>
          <w:tcPr>
            <w:tcW w:w="1900" w:type="dxa"/>
            <w:tcBorders>
              <w:top w:val="single" w:sz="8" w:space="0" w:color="auto"/>
              <w:bottom w:val="single" w:sz="4" w:space="0" w:color="auto"/>
            </w:tcBorders>
            <w:tcMar>
              <w:top w:w="60" w:type="dxa"/>
              <w:left w:w="100" w:type="dxa"/>
              <w:bottom w:w="60" w:type="dxa"/>
              <w:right w:w="100" w:type="dxa"/>
            </w:tcMar>
            <w:vAlign w:val="center"/>
          </w:tcPr>
          <w:p w14:paraId="6D181CE3" w14:textId="77777777" w:rsidR="003E4D65" w:rsidRPr="0099611B" w:rsidRDefault="003E4D65" w:rsidP="00CC519C">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Identifier</w:t>
            </w:r>
          </w:p>
        </w:tc>
        <w:tc>
          <w:tcPr>
            <w:tcW w:w="2600" w:type="dxa"/>
            <w:tcBorders>
              <w:top w:val="single" w:sz="8" w:space="0" w:color="auto"/>
              <w:bottom w:val="single" w:sz="4" w:space="0" w:color="auto"/>
            </w:tcBorders>
            <w:tcMar>
              <w:top w:w="60" w:type="dxa"/>
              <w:left w:w="100" w:type="dxa"/>
              <w:bottom w:w="60" w:type="dxa"/>
              <w:right w:w="100" w:type="dxa"/>
            </w:tcMar>
            <w:vAlign w:val="center"/>
          </w:tcPr>
          <w:p w14:paraId="5119340A" w14:textId="77777777" w:rsidR="003E4D65" w:rsidRPr="0099611B" w:rsidRDefault="003E4D65" w:rsidP="00CC519C">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Notes</w:t>
            </w:r>
          </w:p>
        </w:tc>
      </w:tr>
      <w:tr w:rsidR="003E4D65" w:rsidRPr="0099611B" w14:paraId="314755F9" w14:textId="77777777" w:rsidTr="0099611B">
        <w:trPr>
          <w:jc w:val="center"/>
        </w:trPr>
        <w:tc>
          <w:tcPr>
            <w:tcW w:w="1500" w:type="dxa"/>
            <w:tcBorders>
              <w:top w:val="single" w:sz="4" w:space="0" w:color="auto"/>
            </w:tcBorders>
            <w:tcMar>
              <w:top w:w="60" w:type="dxa"/>
              <w:left w:w="100" w:type="dxa"/>
              <w:bottom w:w="60" w:type="dxa"/>
              <w:right w:w="100" w:type="dxa"/>
            </w:tcMar>
            <w:vAlign w:val="center"/>
          </w:tcPr>
          <w:p w14:paraId="247F9F38"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BQEB monograph</w:t>
            </w:r>
          </w:p>
        </w:tc>
        <w:tc>
          <w:tcPr>
            <w:tcW w:w="1300" w:type="dxa"/>
            <w:tcBorders>
              <w:top w:val="single" w:sz="4" w:space="0" w:color="auto"/>
            </w:tcBorders>
            <w:tcMar>
              <w:top w:w="60" w:type="dxa"/>
              <w:left w:w="100" w:type="dxa"/>
              <w:bottom w:w="60" w:type="dxa"/>
              <w:right w:w="100" w:type="dxa"/>
            </w:tcMar>
            <w:vAlign w:val="center"/>
          </w:tcPr>
          <w:p w14:paraId="4F0BE010"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v1.1.1</w:t>
            </w:r>
          </w:p>
        </w:tc>
        <w:tc>
          <w:tcPr>
            <w:tcW w:w="1700" w:type="dxa"/>
            <w:tcBorders>
              <w:top w:val="single" w:sz="4" w:space="0" w:color="auto"/>
            </w:tcBorders>
            <w:tcMar>
              <w:top w:w="60" w:type="dxa"/>
              <w:left w:w="100" w:type="dxa"/>
              <w:bottom w:w="60" w:type="dxa"/>
              <w:right w:w="100" w:type="dxa"/>
            </w:tcMar>
            <w:vAlign w:val="center"/>
          </w:tcPr>
          <w:p w14:paraId="159FB2E9"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2026</w:t>
            </w:r>
          </w:p>
        </w:tc>
        <w:tc>
          <w:tcPr>
            <w:tcW w:w="1900" w:type="dxa"/>
            <w:tcBorders>
              <w:top w:val="single" w:sz="4" w:space="0" w:color="auto"/>
            </w:tcBorders>
            <w:tcMar>
              <w:top w:w="60" w:type="dxa"/>
              <w:left w:w="100" w:type="dxa"/>
              <w:bottom w:w="60" w:type="dxa"/>
              <w:right w:w="100" w:type="dxa"/>
            </w:tcMar>
            <w:vAlign w:val="center"/>
          </w:tcPr>
          <w:p w14:paraId="2A9F5A1B"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10.5281/zenodo.21780521</w:t>
            </w:r>
          </w:p>
        </w:tc>
        <w:tc>
          <w:tcPr>
            <w:tcW w:w="2600" w:type="dxa"/>
            <w:tcBorders>
              <w:top w:val="single" w:sz="4" w:space="0" w:color="auto"/>
            </w:tcBorders>
            <w:tcMar>
              <w:top w:w="60" w:type="dxa"/>
              <w:left w:w="100" w:type="dxa"/>
              <w:bottom w:w="60" w:type="dxa"/>
              <w:right w:w="100" w:type="dxa"/>
            </w:tcMar>
            <w:vAlign w:val="center"/>
          </w:tcPr>
          <w:p w14:paraId="3E507FE5"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w:t>
            </w:r>
          </w:p>
        </w:tc>
      </w:tr>
      <w:tr w:rsidR="003E4D65" w:rsidRPr="0099611B" w14:paraId="4BEFB766" w14:textId="77777777" w:rsidTr="0099611B">
        <w:trPr>
          <w:jc w:val="center"/>
        </w:trPr>
        <w:tc>
          <w:tcPr>
            <w:tcW w:w="1500" w:type="dxa"/>
            <w:tcMar>
              <w:top w:w="60" w:type="dxa"/>
              <w:left w:w="100" w:type="dxa"/>
              <w:bottom w:w="60" w:type="dxa"/>
              <w:right w:w="100" w:type="dxa"/>
            </w:tcMar>
            <w:vAlign w:val="center"/>
          </w:tcPr>
          <w:p w14:paraId="18BA0CDF"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BQEB-Data v1</w:t>
            </w:r>
          </w:p>
        </w:tc>
        <w:tc>
          <w:tcPr>
            <w:tcW w:w="1300" w:type="dxa"/>
            <w:tcMar>
              <w:top w:w="60" w:type="dxa"/>
              <w:left w:w="100" w:type="dxa"/>
              <w:bottom w:w="60" w:type="dxa"/>
              <w:right w:w="100" w:type="dxa"/>
            </w:tcMar>
            <w:vAlign w:val="center"/>
          </w:tcPr>
          <w:p w14:paraId="348C9191"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v1</w:t>
            </w:r>
          </w:p>
        </w:tc>
        <w:tc>
          <w:tcPr>
            <w:tcW w:w="1700" w:type="dxa"/>
            <w:tcMar>
              <w:top w:w="60" w:type="dxa"/>
              <w:left w:w="100" w:type="dxa"/>
              <w:bottom w:w="60" w:type="dxa"/>
              <w:right w:w="100" w:type="dxa"/>
            </w:tcMar>
            <w:vAlign w:val="center"/>
          </w:tcPr>
          <w:p w14:paraId="0FB93741"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Released 2026-04-20 (IEEE DataPort)</w:t>
            </w:r>
          </w:p>
        </w:tc>
        <w:tc>
          <w:tcPr>
            <w:tcW w:w="1900" w:type="dxa"/>
            <w:tcMar>
              <w:top w:w="60" w:type="dxa"/>
              <w:left w:w="100" w:type="dxa"/>
              <w:bottom w:w="60" w:type="dxa"/>
              <w:right w:w="100" w:type="dxa"/>
            </w:tcMar>
            <w:vAlign w:val="center"/>
          </w:tcPr>
          <w:p w14:paraId="4F896858"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10.21227/xj9b-2885</w:t>
            </w:r>
          </w:p>
        </w:tc>
        <w:tc>
          <w:tcPr>
            <w:tcW w:w="2600" w:type="dxa"/>
            <w:tcMar>
              <w:top w:w="60" w:type="dxa"/>
              <w:left w:w="100" w:type="dxa"/>
              <w:bottom w:w="60" w:type="dxa"/>
              <w:right w:w="100" w:type="dxa"/>
            </w:tcMar>
            <w:vAlign w:val="center"/>
          </w:tcPr>
          <w:p w14:paraId="6574C67E"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w:t>
            </w:r>
          </w:p>
        </w:tc>
      </w:tr>
      <w:tr w:rsidR="003E4D65" w:rsidRPr="0099611B" w14:paraId="01854500" w14:textId="77777777" w:rsidTr="0099611B">
        <w:trPr>
          <w:jc w:val="center"/>
        </w:trPr>
        <w:tc>
          <w:tcPr>
            <w:tcW w:w="1500" w:type="dxa"/>
            <w:tcMar>
              <w:top w:w="60" w:type="dxa"/>
              <w:left w:w="100" w:type="dxa"/>
              <w:bottom w:w="60" w:type="dxa"/>
              <w:right w:w="100" w:type="dxa"/>
            </w:tcMar>
            <w:vAlign w:val="center"/>
          </w:tcPr>
          <w:p w14:paraId="465BA5E9"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ForecastBench paper</w:t>
            </w:r>
          </w:p>
        </w:tc>
        <w:tc>
          <w:tcPr>
            <w:tcW w:w="1300" w:type="dxa"/>
            <w:tcMar>
              <w:top w:w="60" w:type="dxa"/>
              <w:left w:w="100" w:type="dxa"/>
              <w:bottom w:w="60" w:type="dxa"/>
              <w:right w:w="100" w:type="dxa"/>
            </w:tcMar>
            <w:vAlign w:val="center"/>
          </w:tcPr>
          <w:p w14:paraId="44F8BE07"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Preprint</w:t>
            </w:r>
          </w:p>
        </w:tc>
        <w:tc>
          <w:tcPr>
            <w:tcW w:w="1700" w:type="dxa"/>
            <w:tcMar>
              <w:top w:w="60" w:type="dxa"/>
              <w:left w:w="100" w:type="dxa"/>
              <w:bottom w:w="60" w:type="dxa"/>
              <w:right w:w="100" w:type="dxa"/>
            </w:tcMar>
            <w:vAlign w:val="center"/>
          </w:tcPr>
          <w:p w14:paraId="159ED8FA"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Posted 2026 (Research Square)</w:t>
            </w:r>
          </w:p>
        </w:tc>
        <w:tc>
          <w:tcPr>
            <w:tcW w:w="1900" w:type="dxa"/>
            <w:tcMar>
              <w:top w:w="60" w:type="dxa"/>
              <w:left w:w="100" w:type="dxa"/>
              <w:bottom w:w="60" w:type="dxa"/>
              <w:right w:w="100" w:type="dxa"/>
            </w:tcMar>
            <w:vAlign w:val="center"/>
          </w:tcPr>
          <w:p w14:paraId="09F6BEC6"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10.21203/rs.3.rs-10484554/v1</w:t>
            </w:r>
          </w:p>
        </w:tc>
        <w:tc>
          <w:tcPr>
            <w:tcW w:w="2600" w:type="dxa"/>
            <w:tcMar>
              <w:top w:w="60" w:type="dxa"/>
              <w:left w:w="100" w:type="dxa"/>
              <w:bottom w:w="60" w:type="dxa"/>
              <w:right w:w="100" w:type="dxa"/>
            </w:tcMar>
            <w:vAlign w:val="center"/>
          </w:tcPr>
          <w:p w14:paraId="5A015E23"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w:t>
            </w:r>
          </w:p>
        </w:tc>
      </w:tr>
      <w:tr w:rsidR="003E4D65" w:rsidRPr="0099611B" w14:paraId="149CA0D4" w14:textId="77777777" w:rsidTr="0099611B">
        <w:trPr>
          <w:jc w:val="center"/>
        </w:trPr>
        <w:tc>
          <w:tcPr>
            <w:tcW w:w="1500" w:type="dxa"/>
            <w:tcMar>
              <w:top w:w="60" w:type="dxa"/>
              <w:left w:w="100" w:type="dxa"/>
              <w:bottom w:w="60" w:type="dxa"/>
              <w:right w:w="100" w:type="dxa"/>
            </w:tcMar>
            <w:vAlign w:val="center"/>
          </w:tcPr>
          <w:p w14:paraId="70B4D422"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ForecastBench software</w:t>
            </w:r>
          </w:p>
        </w:tc>
        <w:tc>
          <w:tcPr>
            <w:tcW w:w="1300" w:type="dxa"/>
            <w:tcMar>
              <w:top w:w="60" w:type="dxa"/>
              <w:left w:w="100" w:type="dxa"/>
              <w:bottom w:w="60" w:type="dxa"/>
              <w:right w:w="100" w:type="dxa"/>
            </w:tcMar>
            <w:vAlign w:val="center"/>
          </w:tcPr>
          <w:p w14:paraId="643B12F6"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v1.0.0</w:t>
            </w:r>
          </w:p>
        </w:tc>
        <w:tc>
          <w:tcPr>
            <w:tcW w:w="1700" w:type="dxa"/>
            <w:tcMar>
              <w:top w:w="60" w:type="dxa"/>
              <w:left w:w="100" w:type="dxa"/>
              <w:bottom w:w="60" w:type="dxa"/>
              <w:right w:w="100" w:type="dxa"/>
            </w:tcMar>
            <w:vAlign w:val="center"/>
          </w:tcPr>
          <w:p w14:paraId="4953616D"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2026-08-01</w:t>
            </w:r>
          </w:p>
        </w:tc>
        <w:tc>
          <w:tcPr>
            <w:tcW w:w="1900" w:type="dxa"/>
            <w:tcMar>
              <w:top w:w="60" w:type="dxa"/>
              <w:left w:w="100" w:type="dxa"/>
              <w:bottom w:w="60" w:type="dxa"/>
              <w:right w:w="100" w:type="dxa"/>
            </w:tcMar>
            <w:vAlign w:val="center"/>
          </w:tcPr>
          <w:p w14:paraId="1ECD6851"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10.5281/zenodo.21735978</w:t>
            </w:r>
          </w:p>
        </w:tc>
        <w:tc>
          <w:tcPr>
            <w:tcW w:w="2600" w:type="dxa"/>
            <w:tcMar>
              <w:top w:w="60" w:type="dxa"/>
              <w:left w:w="100" w:type="dxa"/>
              <w:bottom w:w="60" w:type="dxa"/>
              <w:right w:w="100" w:type="dxa"/>
            </w:tcMar>
            <w:vAlign w:val="center"/>
          </w:tcPr>
          <w:p w14:paraId="4927BD79"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w:t>
            </w:r>
          </w:p>
        </w:tc>
      </w:tr>
      <w:tr w:rsidR="003E4D65" w:rsidRPr="0099611B" w14:paraId="27B517FC" w14:textId="77777777" w:rsidTr="0099611B">
        <w:trPr>
          <w:jc w:val="center"/>
        </w:trPr>
        <w:tc>
          <w:tcPr>
            <w:tcW w:w="1500" w:type="dxa"/>
            <w:tcMar>
              <w:top w:w="60" w:type="dxa"/>
              <w:left w:w="100" w:type="dxa"/>
              <w:bottom w:w="60" w:type="dxa"/>
              <w:right w:w="100" w:type="dxa"/>
            </w:tcMar>
            <w:vAlign w:val="center"/>
          </w:tcPr>
          <w:p w14:paraId="57D29EA2"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This manuscript</w:t>
            </w:r>
          </w:p>
        </w:tc>
        <w:tc>
          <w:tcPr>
            <w:tcW w:w="1300" w:type="dxa"/>
            <w:tcMar>
              <w:top w:w="60" w:type="dxa"/>
              <w:left w:w="100" w:type="dxa"/>
              <w:bottom w:w="60" w:type="dxa"/>
              <w:right w:w="100" w:type="dxa"/>
            </w:tcMar>
            <w:vAlign w:val="center"/>
          </w:tcPr>
          <w:p w14:paraId="461CA0D7"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v1.0</w:t>
            </w:r>
          </w:p>
        </w:tc>
        <w:tc>
          <w:tcPr>
            <w:tcW w:w="1700" w:type="dxa"/>
            <w:tcMar>
              <w:top w:w="60" w:type="dxa"/>
              <w:left w:w="100" w:type="dxa"/>
              <w:bottom w:w="60" w:type="dxa"/>
              <w:right w:w="100" w:type="dxa"/>
            </w:tcMar>
            <w:vAlign w:val="center"/>
          </w:tcPr>
          <w:p w14:paraId="535338D6"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2026</w:t>
            </w:r>
          </w:p>
        </w:tc>
        <w:tc>
          <w:tcPr>
            <w:tcW w:w="1900" w:type="dxa"/>
            <w:tcMar>
              <w:top w:w="60" w:type="dxa"/>
              <w:left w:w="100" w:type="dxa"/>
              <w:bottom w:w="60" w:type="dxa"/>
              <w:right w:w="100" w:type="dxa"/>
            </w:tcMar>
            <w:vAlign w:val="center"/>
          </w:tcPr>
          <w:p w14:paraId="3AB856B0"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Not yet assigned</w:t>
            </w:r>
          </w:p>
        </w:tc>
        <w:tc>
          <w:tcPr>
            <w:tcW w:w="2600" w:type="dxa"/>
            <w:tcMar>
              <w:top w:w="60" w:type="dxa"/>
              <w:left w:w="100" w:type="dxa"/>
              <w:bottom w:w="60" w:type="dxa"/>
              <w:right w:w="100" w:type="dxa"/>
            </w:tcMar>
            <w:vAlign w:val="center"/>
          </w:tcPr>
          <w:p w14:paraId="4CE27BD2"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Submission Candidate; frozen for factual corrections only</w:t>
            </w:r>
          </w:p>
        </w:tc>
      </w:tr>
      <w:tr w:rsidR="003E4D65" w:rsidRPr="0099611B" w14:paraId="26BE3BBF" w14:textId="77777777" w:rsidTr="0099611B">
        <w:trPr>
          <w:jc w:val="center"/>
        </w:trPr>
        <w:tc>
          <w:tcPr>
            <w:tcW w:w="1500" w:type="dxa"/>
            <w:tcMar>
              <w:top w:w="60" w:type="dxa"/>
              <w:left w:w="100" w:type="dxa"/>
              <w:bottom w:w="60" w:type="dxa"/>
              <w:right w:w="100" w:type="dxa"/>
            </w:tcMar>
            <w:vAlign w:val="center"/>
          </w:tcPr>
          <w:p w14:paraId="6965D937"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This manuscript</w:t>
            </w:r>
          </w:p>
        </w:tc>
        <w:tc>
          <w:tcPr>
            <w:tcW w:w="1300" w:type="dxa"/>
            <w:tcMar>
              <w:top w:w="60" w:type="dxa"/>
              <w:left w:w="100" w:type="dxa"/>
              <w:bottom w:w="60" w:type="dxa"/>
              <w:right w:w="100" w:type="dxa"/>
            </w:tcMar>
            <w:vAlign w:val="center"/>
          </w:tcPr>
          <w:p w14:paraId="034AF571"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v1.1</w:t>
            </w:r>
          </w:p>
        </w:tc>
        <w:tc>
          <w:tcPr>
            <w:tcW w:w="1700" w:type="dxa"/>
            <w:tcMar>
              <w:top w:w="60" w:type="dxa"/>
              <w:left w:w="100" w:type="dxa"/>
              <w:bottom w:w="60" w:type="dxa"/>
              <w:right w:w="100" w:type="dxa"/>
            </w:tcMar>
            <w:vAlign w:val="center"/>
          </w:tcPr>
          <w:p w14:paraId="6DB69716"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2026</w:t>
            </w:r>
          </w:p>
        </w:tc>
        <w:tc>
          <w:tcPr>
            <w:tcW w:w="1900" w:type="dxa"/>
            <w:tcMar>
              <w:top w:w="60" w:type="dxa"/>
              <w:left w:w="100" w:type="dxa"/>
              <w:bottom w:w="60" w:type="dxa"/>
              <w:right w:w="100" w:type="dxa"/>
            </w:tcMar>
            <w:vAlign w:val="center"/>
          </w:tcPr>
          <w:p w14:paraId="10CF1930"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Not yet assigned</w:t>
            </w:r>
          </w:p>
        </w:tc>
        <w:tc>
          <w:tcPr>
            <w:tcW w:w="2600" w:type="dxa"/>
            <w:tcMar>
              <w:top w:w="60" w:type="dxa"/>
              <w:left w:w="100" w:type="dxa"/>
              <w:bottom w:w="60" w:type="dxa"/>
              <w:right w:w="100" w:type="dxa"/>
            </w:tcMar>
            <w:vAlign w:val="center"/>
          </w:tcPr>
          <w:p w14:paraId="74060A18"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Minor revision: dataset table shortened, equations replaced with citation, ForecastBench relationship paragraph added</w:t>
            </w:r>
          </w:p>
        </w:tc>
      </w:tr>
      <w:tr w:rsidR="003E4D65" w:rsidRPr="0099611B" w14:paraId="159E6982" w14:textId="77777777" w:rsidTr="0099611B">
        <w:trPr>
          <w:jc w:val="center"/>
        </w:trPr>
        <w:tc>
          <w:tcPr>
            <w:tcW w:w="1500" w:type="dxa"/>
            <w:tcMar>
              <w:top w:w="60" w:type="dxa"/>
              <w:left w:w="100" w:type="dxa"/>
              <w:bottom w:w="60" w:type="dxa"/>
              <w:right w:w="100" w:type="dxa"/>
            </w:tcMar>
            <w:vAlign w:val="center"/>
          </w:tcPr>
          <w:p w14:paraId="6B06E022"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This manuscript</w:t>
            </w:r>
          </w:p>
        </w:tc>
        <w:tc>
          <w:tcPr>
            <w:tcW w:w="1300" w:type="dxa"/>
            <w:tcMar>
              <w:top w:w="60" w:type="dxa"/>
              <w:left w:w="100" w:type="dxa"/>
              <w:bottom w:w="60" w:type="dxa"/>
              <w:right w:w="100" w:type="dxa"/>
            </w:tcMar>
            <w:vAlign w:val="center"/>
          </w:tcPr>
          <w:p w14:paraId="01D158B7"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v1.1 (camera-ready)</w:t>
            </w:r>
          </w:p>
        </w:tc>
        <w:tc>
          <w:tcPr>
            <w:tcW w:w="1700" w:type="dxa"/>
            <w:tcMar>
              <w:top w:w="60" w:type="dxa"/>
              <w:left w:w="100" w:type="dxa"/>
              <w:bottom w:w="60" w:type="dxa"/>
              <w:right w:w="100" w:type="dxa"/>
            </w:tcMar>
            <w:vAlign w:val="center"/>
          </w:tcPr>
          <w:p w14:paraId="5745085F"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2026</w:t>
            </w:r>
          </w:p>
        </w:tc>
        <w:tc>
          <w:tcPr>
            <w:tcW w:w="1900" w:type="dxa"/>
            <w:tcMar>
              <w:top w:w="60" w:type="dxa"/>
              <w:left w:w="100" w:type="dxa"/>
              <w:bottom w:w="60" w:type="dxa"/>
              <w:right w:w="100" w:type="dxa"/>
            </w:tcMar>
            <w:vAlign w:val="center"/>
          </w:tcPr>
          <w:p w14:paraId="0E5EFE95"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Not yet assigned</w:t>
            </w:r>
          </w:p>
        </w:tc>
        <w:tc>
          <w:tcPr>
            <w:tcW w:w="2600" w:type="dxa"/>
            <w:tcMar>
              <w:top w:w="60" w:type="dxa"/>
              <w:left w:w="100" w:type="dxa"/>
              <w:bottom w:w="60" w:type="dxa"/>
              <w:right w:w="100" w:type="dxa"/>
            </w:tcMar>
            <w:vAlign w:val="center"/>
          </w:tcPr>
          <w:p w14:paraId="6D594AFB"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Reference formatting standardized, unresolved reference placeholder removed, figures re-exported at 300 DPI, no in-text/bibliography mismatches, no tracked changes or comments found</w:t>
            </w:r>
          </w:p>
        </w:tc>
      </w:tr>
      <w:tr w:rsidR="003E4D65" w:rsidRPr="0099611B" w14:paraId="0D909F21" w14:textId="77777777" w:rsidTr="0099611B">
        <w:trPr>
          <w:jc w:val="center"/>
        </w:trPr>
        <w:tc>
          <w:tcPr>
            <w:tcW w:w="1500" w:type="dxa"/>
            <w:tcMar>
              <w:top w:w="60" w:type="dxa"/>
              <w:left w:w="100" w:type="dxa"/>
              <w:bottom w:w="60" w:type="dxa"/>
              <w:right w:w="100" w:type="dxa"/>
            </w:tcMar>
            <w:vAlign w:val="center"/>
          </w:tcPr>
          <w:p w14:paraId="79427079"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This manuscript</w:t>
            </w:r>
          </w:p>
        </w:tc>
        <w:tc>
          <w:tcPr>
            <w:tcW w:w="1300" w:type="dxa"/>
            <w:tcMar>
              <w:top w:w="60" w:type="dxa"/>
              <w:left w:w="100" w:type="dxa"/>
              <w:bottom w:w="60" w:type="dxa"/>
              <w:right w:w="100" w:type="dxa"/>
            </w:tcMar>
            <w:vAlign w:val="center"/>
          </w:tcPr>
          <w:p w14:paraId="04E1C068"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v1.1 (final editorial pass)</w:t>
            </w:r>
          </w:p>
        </w:tc>
        <w:tc>
          <w:tcPr>
            <w:tcW w:w="1700" w:type="dxa"/>
            <w:tcMar>
              <w:top w:w="60" w:type="dxa"/>
              <w:left w:w="100" w:type="dxa"/>
              <w:bottom w:w="60" w:type="dxa"/>
              <w:right w:w="100" w:type="dxa"/>
            </w:tcMar>
            <w:vAlign w:val="center"/>
          </w:tcPr>
          <w:p w14:paraId="639EFF5D"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2026</w:t>
            </w:r>
          </w:p>
        </w:tc>
        <w:tc>
          <w:tcPr>
            <w:tcW w:w="1900" w:type="dxa"/>
            <w:tcMar>
              <w:top w:w="60" w:type="dxa"/>
              <w:left w:w="100" w:type="dxa"/>
              <w:bottom w:w="60" w:type="dxa"/>
              <w:right w:w="100" w:type="dxa"/>
            </w:tcMar>
            <w:vAlign w:val="center"/>
          </w:tcPr>
          <w:p w14:paraId="65B78BB8"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Not yet assigned</w:t>
            </w:r>
          </w:p>
        </w:tc>
        <w:tc>
          <w:tcPr>
            <w:tcW w:w="2600" w:type="dxa"/>
            <w:tcMar>
              <w:top w:w="60" w:type="dxa"/>
              <w:left w:w="100" w:type="dxa"/>
              <w:bottom w:w="60" w:type="dxa"/>
              <w:right w:w="100" w:type="dxa"/>
            </w:tcMar>
            <w:vAlign w:val="center"/>
          </w:tcPr>
          <w:p w14:paraId="4D77F220" w14:textId="77777777" w:rsidR="003E4D65" w:rsidRPr="0099611B" w:rsidRDefault="003E4D65" w:rsidP="00CC519C">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Table III relabeled from historical label “Table 2b”, Acknowledgements placeholder resolved, this table reformatted for readability — no information altered</w:t>
            </w:r>
          </w:p>
        </w:tc>
      </w:tr>
    </w:tbl>
    <w:p w14:paraId="6FCEFA46" w14:textId="77777777" w:rsidR="0099611B" w:rsidRDefault="0099611B"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41" w:name="referenceBookmark"/>
      <w:bookmarkStart w:id="42" w:name="_Toc238940054"/>
      <w:bookmarkEnd w:id="41"/>
      <w:r>
        <w:rPr>
          <w:rFonts w:ascii="Palatino Linotype" w:hAnsi="Palatino Linotype" w:cs="Times New Roman"/>
          <w:snapToGrid w:val="0"/>
          <w:color w:val="auto"/>
          <w:sz w:val="24"/>
          <w:szCs w:val="24"/>
          <w14:ligatures w14:val="standardContextual"/>
        </w:rPr>
        <w:br w:type="page"/>
      </w:r>
    </w:p>
    <w:sectPr w:rsidR="005329CC" w:rsidRPr="005329CC" w:rsidSect="00B45C97">
      <w:headerReference w:type="even" r:id="rId14"/>
      <w:headerReference w:type="default" r:id="rId15"/>
      <w:footerReference w:type="default" r:id="rId16"/>
      <w:headerReference w:type="first" r:id="rId17"/>
      <w:footerReference w:type="first" r:id="rId18"/>
      <w:pgSz w:w="11906" w:h="16838" w:code="9"/>
      <w:pgMar w:top="1418" w:right="1531" w:bottom="907" w:left="1531" w:header="720" w:footer="612" w:gutter="0"/>
      <w:pgNumType w:start="1"/>
      <w:cols w:space="425"/>
      <w:titlePg/>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MDPI" w:date="2026-08-31T15:32:00Z" w:initials="M">
    <w:p w14:paraId="18D76B4F" w14:textId="4071810D" w:rsidR="00301206" w:rsidRDefault="00301206" w:rsidP="00301206">
      <w:pPr>
        <w:pStyle w:val="CommentText"/>
      </w:pPr>
      <w:r>
        <w:rPr>
          <w:rStyle w:val="CommentReference"/>
        </w:rPr>
        <w:annotationRef/>
      </w:r>
      <w:r w:rsidRPr="00301206">
        <w:t>Please quote pictures, tables and references in sequence</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D76B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D6FE08" w16cex:dateUtc="2026-08-31T0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D76B4F" w16cid:durableId="65D6FE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B6562" w14:textId="77777777" w:rsidR="00307D76" w:rsidRPr="00B56A9A" w:rsidRDefault="00307D76">
      <w:pPr>
        <w:spacing w:line="240" w:lineRule="auto"/>
      </w:pPr>
      <w:r w:rsidRPr="00B56A9A">
        <w:separator/>
      </w:r>
    </w:p>
  </w:endnote>
  <w:endnote w:type="continuationSeparator" w:id="0">
    <w:p w14:paraId="6913373F" w14:textId="77777777" w:rsidR="00307D76" w:rsidRPr="00B56A9A" w:rsidRDefault="00307D76">
      <w:pPr>
        <w:spacing w:line="240" w:lineRule="auto"/>
      </w:pPr>
      <w:r w:rsidRPr="00B56A9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29433" w14:textId="77777777" w:rsidR="00357C8D" w:rsidRPr="00B56A9A" w:rsidRDefault="00357C8D" w:rsidP="00357C8D">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CD2F" w14:textId="77777777" w:rsidR="00357C8D" w:rsidRPr="00B56A9A" w:rsidRDefault="00357C8D" w:rsidP="006218B8">
    <w:pPr>
      <w:pStyle w:val="MDPIfooterfirstpage"/>
      <w:spacing w:line="240" w:lineRule="auto"/>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7BE58" w14:textId="77777777" w:rsidR="00307D76" w:rsidRPr="00B56A9A" w:rsidRDefault="00307D76">
      <w:pPr>
        <w:spacing w:line="240" w:lineRule="auto"/>
      </w:pPr>
      <w:r w:rsidRPr="00B56A9A">
        <w:separator/>
      </w:r>
    </w:p>
  </w:footnote>
  <w:footnote w:type="continuationSeparator" w:id="0">
    <w:p w14:paraId="56E27CDE" w14:textId="77777777" w:rsidR="00307D76" w:rsidRPr="00B56A9A" w:rsidRDefault="00307D76">
      <w:pPr>
        <w:spacing w:line="240" w:lineRule="auto"/>
      </w:pPr>
      <w:r w:rsidRPr="00B56A9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1B3E" w14:textId="77777777" w:rsidR="00357C8D" w:rsidRPr="00B56A9A" w:rsidRDefault="00357C8D" w:rsidP="00357C8D">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12CD" w14:textId="77777777" w:rsidR="00357C8D" w:rsidRPr="00B56A9A" w:rsidRDefault="00FD4789" w:rsidP="00715BD6">
    <w:pPr>
      <w:tabs>
        <w:tab w:val="right" w:pos="8844"/>
      </w:tabs>
      <w:adjustRightInd w:val="0"/>
      <w:snapToGrid w:val="0"/>
      <w:spacing w:after="240" w:line="240" w:lineRule="auto"/>
      <w:rPr>
        <w:rFonts w:ascii="Palatino Linotype" w:eastAsiaTheme="minorEastAsia" w:hAnsi="Palatino Linotype"/>
        <w:sz w:val="16"/>
        <w:lang w:eastAsia="zh-CN"/>
      </w:rPr>
    </w:pPr>
    <w:r w:rsidRPr="00B56A9A">
      <w:rPr>
        <w:rFonts w:ascii="Palatino Linotype" w:hAnsi="Palatino Linotype"/>
        <w:sz w:val="16"/>
      </w:rPr>
      <w:tab/>
    </w:r>
    <w:r w:rsidR="003D55AB" w:rsidRPr="00B56A9A">
      <w:rPr>
        <w:rFonts w:ascii="Palatino Linotype" w:hAnsi="Palatino Linotype"/>
        <w:sz w:val="16"/>
      </w:rPr>
      <w:fldChar w:fldCharType="begin"/>
    </w:r>
    <w:r w:rsidR="003D55AB" w:rsidRPr="00B56A9A">
      <w:rPr>
        <w:rFonts w:ascii="Palatino Linotype" w:hAnsi="Palatino Linotype"/>
        <w:sz w:val="16"/>
      </w:rPr>
      <w:instrText xml:space="preserve"> PAGE   \* MERGEFORMAT </w:instrText>
    </w:r>
    <w:r w:rsidR="003D55AB" w:rsidRPr="00B56A9A">
      <w:rPr>
        <w:rFonts w:ascii="Palatino Linotype" w:hAnsi="Palatino Linotype"/>
        <w:sz w:val="16"/>
      </w:rPr>
      <w:fldChar w:fldCharType="separate"/>
    </w:r>
    <w:r w:rsidR="00961CD6" w:rsidRPr="00B56A9A">
      <w:rPr>
        <w:rFonts w:ascii="Palatino Linotype" w:hAnsi="Palatino Linotype"/>
        <w:sz w:val="16"/>
      </w:rPr>
      <w:t>4</w:t>
    </w:r>
    <w:r w:rsidR="003D55AB" w:rsidRPr="00B56A9A">
      <w:rPr>
        <w:rFonts w:ascii="Palatino Linotype" w:hAnsi="Palatino Linotype"/>
        <w:sz w:val="16"/>
      </w:rPr>
      <w:fldChar w:fldCharType="end"/>
    </w:r>
    <w:r w:rsidR="00B45C97" w:rsidRPr="00B56A9A">
      <w:rPr>
        <w:rFonts w:ascii="Palatino Linotype" w:eastAsiaTheme="minorEastAsia" w:hAnsi="Palatino Linotype" w:hint="eastAsia"/>
        <w:sz w:val="16"/>
        <w:lang w:eastAsia="zh-CN"/>
      </w:rPr>
      <w:t xml:space="preserve"> of </w:t>
    </w:r>
    <w:r w:rsidR="00B45C97" w:rsidRPr="00B56A9A">
      <w:rPr>
        <w:rFonts w:ascii="Palatino Linotype" w:eastAsiaTheme="minorEastAsia" w:hAnsi="Palatino Linotype"/>
        <w:sz w:val="16"/>
        <w:lang w:eastAsia="zh-CN"/>
      </w:rPr>
      <w:fldChar w:fldCharType="begin"/>
    </w:r>
    <w:r w:rsidR="00B45C97" w:rsidRPr="00B56A9A">
      <w:rPr>
        <w:rFonts w:ascii="Palatino Linotype" w:eastAsiaTheme="minorEastAsia" w:hAnsi="Palatino Linotype"/>
        <w:sz w:val="16"/>
        <w:lang w:eastAsia="zh-CN"/>
      </w:rPr>
      <w:instrText xml:space="preserve"> NUMPAGES  \* Arabic  \* MERGEFORMAT </w:instrText>
    </w:r>
    <w:r w:rsidR="00B45C97" w:rsidRPr="00B56A9A">
      <w:rPr>
        <w:rFonts w:ascii="Palatino Linotype" w:eastAsiaTheme="minorEastAsia" w:hAnsi="Palatino Linotype"/>
        <w:sz w:val="16"/>
        <w:lang w:eastAsia="zh-CN"/>
      </w:rPr>
      <w:fldChar w:fldCharType="separate"/>
    </w:r>
    <w:r w:rsidR="00B45C97" w:rsidRPr="00B56A9A">
      <w:rPr>
        <w:rFonts w:ascii="Palatino Linotype" w:eastAsiaTheme="minorEastAsia" w:hAnsi="Palatino Linotype"/>
        <w:sz w:val="16"/>
        <w:lang w:eastAsia="zh-CN"/>
      </w:rPr>
      <w:t>5</w:t>
    </w:r>
    <w:r w:rsidR="00B45C97" w:rsidRPr="00B56A9A">
      <w:rPr>
        <w:rFonts w:ascii="Palatino Linotype" w:eastAsiaTheme="minorEastAsia" w:hAnsi="Palatino Linotype"/>
        <w:sz w:val="16"/>
        <w:lang w:eastAsia="zh-C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8A597" w14:textId="77777777" w:rsidR="00B45C97" w:rsidRPr="00B56A9A" w:rsidRDefault="00B45C97" w:rsidP="001D1E68">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96B6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FA4E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23895D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7DEF4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B60DD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5D601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CF411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0C7E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0607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7E75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D15E4"/>
    <w:multiLevelType w:val="hybridMultilevel"/>
    <w:tmpl w:val="6520160E"/>
    <w:lvl w:ilvl="0" w:tplc="64BCFBB8">
      <w:start w:val="1"/>
      <w:numFmt w:val="bullet"/>
      <w:lvlText w:val="●"/>
      <w:lvlJc w:val="left"/>
      <w:pPr>
        <w:ind w:left="720" w:hanging="360"/>
      </w:pPr>
    </w:lvl>
    <w:lvl w:ilvl="1" w:tplc="5070479C">
      <w:start w:val="1"/>
      <w:numFmt w:val="bullet"/>
      <w:lvlText w:val="○"/>
      <w:lvlJc w:val="left"/>
      <w:pPr>
        <w:ind w:left="1440" w:hanging="360"/>
      </w:pPr>
    </w:lvl>
    <w:lvl w:ilvl="2" w:tplc="AD680496">
      <w:start w:val="1"/>
      <w:numFmt w:val="bullet"/>
      <w:lvlText w:val="■"/>
      <w:lvlJc w:val="left"/>
      <w:pPr>
        <w:ind w:left="2160" w:hanging="360"/>
      </w:pPr>
    </w:lvl>
    <w:lvl w:ilvl="3" w:tplc="35CC5878">
      <w:start w:val="1"/>
      <w:numFmt w:val="bullet"/>
      <w:lvlText w:val="●"/>
      <w:lvlJc w:val="left"/>
      <w:pPr>
        <w:ind w:left="2880" w:hanging="360"/>
      </w:pPr>
    </w:lvl>
    <w:lvl w:ilvl="4" w:tplc="7B42FA96">
      <w:start w:val="1"/>
      <w:numFmt w:val="bullet"/>
      <w:lvlText w:val="○"/>
      <w:lvlJc w:val="left"/>
      <w:pPr>
        <w:ind w:left="3600" w:hanging="360"/>
      </w:pPr>
    </w:lvl>
    <w:lvl w:ilvl="5" w:tplc="EAC40B4E">
      <w:start w:val="1"/>
      <w:numFmt w:val="bullet"/>
      <w:lvlText w:val="■"/>
      <w:lvlJc w:val="left"/>
      <w:pPr>
        <w:ind w:left="4320" w:hanging="360"/>
      </w:pPr>
    </w:lvl>
    <w:lvl w:ilvl="6" w:tplc="1218817C">
      <w:start w:val="1"/>
      <w:numFmt w:val="bullet"/>
      <w:lvlText w:val="●"/>
      <w:lvlJc w:val="left"/>
      <w:pPr>
        <w:ind w:left="5040" w:hanging="360"/>
      </w:pPr>
    </w:lvl>
    <w:lvl w:ilvl="7" w:tplc="EDDCD604">
      <w:start w:val="1"/>
      <w:numFmt w:val="bullet"/>
      <w:lvlText w:val="●"/>
      <w:lvlJc w:val="left"/>
      <w:pPr>
        <w:ind w:left="5760" w:hanging="360"/>
      </w:pPr>
    </w:lvl>
    <w:lvl w:ilvl="8" w:tplc="E12A9B8A">
      <w:start w:val="1"/>
      <w:numFmt w:val="bullet"/>
      <w:lvlText w:val="●"/>
      <w:lvlJc w:val="left"/>
      <w:pPr>
        <w:ind w:left="6480" w:hanging="360"/>
      </w:pPr>
    </w:lvl>
  </w:abstractNum>
  <w:abstractNum w:abstractNumId="11" w15:restartNumberingAfterBreak="0">
    <w:nsid w:val="18B468F5"/>
    <w:multiLevelType w:val="hybridMultilevel"/>
    <w:tmpl w:val="50C875DC"/>
    <w:lvl w:ilvl="0" w:tplc="556460E4">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4" w15:restartNumberingAfterBreak="0">
    <w:nsid w:val="369A6535"/>
    <w:multiLevelType w:val="hybridMultilevel"/>
    <w:tmpl w:val="9EE07BD4"/>
    <w:lvl w:ilvl="0" w:tplc="DBC83E24">
      <w:start w:val="1"/>
      <w:numFmt w:val="bullet"/>
      <w:lvlRestart w:val="0"/>
      <w:pStyle w:val="MDPI38bullet"/>
      <w:lvlText w:val=""/>
      <w:lvlJc w:val="left"/>
      <w:pPr>
        <w:ind w:left="425" w:hanging="425"/>
      </w:pPr>
      <w:rPr>
        <w:rFonts w:ascii="Symbol" w:hAnsi="Symbol" w:hint="default"/>
        <w:b w:val="0"/>
        <w:i w:val="0"/>
        <w:sz w:val="20"/>
        <w:vertAlign w:val="baseline"/>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num w:numId="1" w16cid:durableId="995916251">
    <w:abstractNumId w:val="13"/>
  </w:num>
  <w:num w:numId="2" w16cid:durableId="460226107">
    <w:abstractNumId w:val="14"/>
  </w:num>
  <w:num w:numId="3" w16cid:durableId="1729840492">
    <w:abstractNumId w:val="12"/>
  </w:num>
  <w:num w:numId="4" w16cid:durableId="1333794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988575">
    <w:abstractNumId w:val="9"/>
  </w:num>
  <w:num w:numId="6" w16cid:durableId="1372456227">
    <w:abstractNumId w:val="7"/>
  </w:num>
  <w:num w:numId="7" w16cid:durableId="1633557155">
    <w:abstractNumId w:val="6"/>
  </w:num>
  <w:num w:numId="8" w16cid:durableId="742096057">
    <w:abstractNumId w:val="5"/>
  </w:num>
  <w:num w:numId="9" w16cid:durableId="1211458759">
    <w:abstractNumId w:val="4"/>
  </w:num>
  <w:num w:numId="10" w16cid:durableId="326708459">
    <w:abstractNumId w:val="8"/>
  </w:num>
  <w:num w:numId="11" w16cid:durableId="355886617">
    <w:abstractNumId w:val="3"/>
  </w:num>
  <w:num w:numId="12" w16cid:durableId="293756586">
    <w:abstractNumId w:val="2"/>
  </w:num>
  <w:num w:numId="13" w16cid:durableId="1614484038">
    <w:abstractNumId w:val="1"/>
  </w:num>
  <w:num w:numId="14" w16cid:durableId="449132528">
    <w:abstractNumId w:val="0"/>
  </w:num>
  <w:num w:numId="15" w16cid:durableId="1405181302">
    <w:abstractNumId w:val="10"/>
    <w:lvlOverride w:ilvl="0">
      <w:startOverride w:val="1"/>
    </w:lvlOverride>
  </w:num>
  <w:num w:numId="16" w16cid:durableId="181286501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PI">
    <w15:presenceInfo w15:providerId="None" w15:userId="MDP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1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A25"/>
    <w:rsid w:val="000019D8"/>
    <w:rsid w:val="0000474A"/>
    <w:rsid w:val="00005F88"/>
    <w:rsid w:val="00006F9A"/>
    <w:rsid w:val="00021F00"/>
    <w:rsid w:val="00022704"/>
    <w:rsid w:val="00041D95"/>
    <w:rsid w:val="00043D2D"/>
    <w:rsid w:val="0004726E"/>
    <w:rsid w:val="00071650"/>
    <w:rsid w:val="000A3E01"/>
    <w:rsid w:val="000C0FC2"/>
    <w:rsid w:val="000D612C"/>
    <w:rsid w:val="000E17C2"/>
    <w:rsid w:val="000F639D"/>
    <w:rsid w:val="000F6851"/>
    <w:rsid w:val="0013056D"/>
    <w:rsid w:val="0015103E"/>
    <w:rsid w:val="00154436"/>
    <w:rsid w:val="00156BBB"/>
    <w:rsid w:val="00182EBB"/>
    <w:rsid w:val="001A52DC"/>
    <w:rsid w:val="001C4EF2"/>
    <w:rsid w:val="001D0302"/>
    <w:rsid w:val="001D1C27"/>
    <w:rsid w:val="001D1E68"/>
    <w:rsid w:val="001D25D3"/>
    <w:rsid w:val="001D2F5F"/>
    <w:rsid w:val="001E2AEB"/>
    <w:rsid w:val="001E2E05"/>
    <w:rsid w:val="001F462D"/>
    <w:rsid w:val="002012F3"/>
    <w:rsid w:val="00236A00"/>
    <w:rsid w:val="00240AA5"/>
    <w:rsid w:val="0026577E"/>
    <w:rsid w:val="00272D3F"/>
    <w:rsid w:val="002738BF"/>
    <w:rsid w:val="00274D95"/>
    <w:rsid w:val="00280F25"/>
    <w:rsid w:val="00290637"/>
    <w:rsid w:val="0029303F"/>
    <w:rsid w:val="00297194"/>
    <w:rsid w:val="002C1F30"/>
    <w:rsid w:val="002C59C6"/>
    <w:rsid w:val="002C5B08"/>
    <w:rsid w:val="002F1595"/>
    <w:rsid w:val="00301206"/>
    <w:rsid w:val="00307D76"/>
    <w:rsid w:val="00314479"/>
    <w:rsid w:val="00325CF8"/>
    <w:rsid w:val="00326141"/>
    <w:rsid w:val="0034278A"/>
    <w:rsid w:val="0034365E"/>
    <w:rsid w:val="00356A95"/>
    <w:rsid w:val="00357C8D"/>
    <w:rsid w:val="00363D84"/>
    <w:rsid w:val="00382DB9"/>
    <w:rsid w:val="00393261"/>
    <w:rsid w:val="003977A3"/>
    <w:rsid w:val="003A58E2"/>
    <w:rsid w:val="003B3CF1"/>
    <w:rsid w:val="003C3511"/>
    <w:rsid w:val="003D4857"/>
    <w:rsid w:val="003D4BE4"/>
    <w:rsid w:val="003D55AB"/>
    <w:rsid w:val="003D75BA"/>
    <w:rsid w:val="003E3BE4"/>
    <w:rsid w:val="003E4D65"/>
    <w:rsid w:val="003E4FED"/>
    <w:rsid w:val="003F2DA1"/>
    <w:rsid w:val="003F654C"/>
    <w:rsid w:val="00401D30"/>
    <w:rsid w:val="00402836"/>
    <w:rsid w:val="004142C7"/>
    <w:rsid w:val="00416C21"/>
    <w:rsid w:val="004225B0"/>
    <w:rsid w:val="004366A1"/>
    <w:rsid w:val="004411A5"/>
    <w:rsid w:val="00446DC2"/>
    <w:rsid w:val="004649F7"/>
    <w:rsid w:val="00467CE5"/>
    <w:rsid w:val="00472420"/>
    <w:rsid w:val="004921A3"/>
    <w:rsid w:val="00493255"/>
    <w:rsid w:val="004B7429"/>
    <w:rsid w:val="004D5F4D"/>
    <w:rsid w:val="004F366E"/>
    <w:rsid w:val="00505292"/>
    <w:rsid w:val="00506FBC"/>
    <w:rsid w:val="00507516"/>
    <w:rsid w:val="005329CC"/>
    <w:rsid w:val="00547A54"/>
    <w:rsid w:val="005577F2"/>
    <w:rsid w:val="00581BFC"/>
    <w:rsid w:val="00581C1A"/>
    <w:rsid w:val="00592C55"/>
    <w:rsid w:val="005949CE"/>
    <w:rsid w:val="005963C5"/>
    <w:rsid w:val="005B017A"/>
    <w:rsid w:val="005B4D11"/>
    <w:rsid w:val="005F1627"/>
    <w:rsid w:val="005F768A"/>
    <w:rsid w:val="006218B8"/>
    <w:rsid w:val="00622838"/>
    <w:rsid w:val="00632097"/>
    <w:rsid w:val="00634001"/>
    <w:rsid w:val="00637CD2"/>
    <w:rsid w:val="00667913"/>
    <w:rsid w:val="00674D9C"/>
    <w:rsid w:val="00685F96"/>
    <w:rsid w:val="00686934"/>
    <w:rsid w:val="00692393"/>
    <w:rsid w:val="006A00CB"/>
    <w:rsid w:val="006A5D76"/>
    <w:rsid w:val="006B2524"/>
    <w:rsid w:val="006C3990"/>
    <w:rsid w:val="006C6DFD"/>
    <w:rsid w:val="006D096D"/>
    <w:rsid w:val="006E1EC2"/>
    <w:rsid w:val="006E2BCF"/>
    <w:rsid w:val="006F0F13"/>
    <w:rsid w:val="007018DC"/>
    <w:rsid w:val="00705D61"/>
    <w:rsid w:val="00706D77"/>
    <w:rsid w:val="00715BD6"/>
    <w:rsid w:val="007218D7"/>
    <w:rsid w:val="00730555"/>
    <w:rsid w:val="00743EAB"/>
    <w:rsid w:val="007538EC"/>
    <w:rsid w:val="007628DA"/>
    <w:rsid w:val="007654C4"/>
    <w:rsid w:val="007847B1"/>
    <w:rsid w:val="007938EE"/>
    <w:rsid w:val="007E4694"/>
    <w:rsid w:val="007F018F"/>
    <w:rsid w:val="007F4ED6"/>
    <w:rsid w:val="007F6122"/>
    <w:rsid w:val="00806CA4"/>
    <w:rsid w:val="00816BBE"/>
    <w:rsid w:val="00847CED"/>
    <w:rsid w:val="00851192"/>
    <w:rsid w:val="00851C8A"/>
    <w:rsid w:val="00853B85"/>
    <w:rsid w:val="00872E35"/>
    <w:rsid w:val="008A0042"/>
    <w:rsid w:val="008B7C54"/>
    <w:rsid w:val="008C1BF0"/>
    <w:rsid w:val="008D0B41"/>
    <w:rsid w:val="008F623F"/>
    <w:rsid w:val="008F6E8C"/>
    <w:rsid w:val="008F7472"/>
    <w:rsid w:val="009035B8"/>
    <w:rsid w:val="00914275"/>
    <w:rsid w:val="00933CA4"/>
    <w:rsid w:val="00953B2F"/>
    <w:rsid w:val="00961CD6"/>
    <w:rsid w:val="00966F10"/>
    <w:rsid w:val="00970559"/>
    <w:rsid w:val="00970888"/>
    <w:rsid w:val="00984075"/>
    <w:rsid w:val="00995F53"/>
    <w:rsid w:val="0099611B"/>
    <w:rsid w:val="00996419"/>
    <w:rsid w:val="009A2DD1"/>
    <w:rsid w:val="009C5893"/>
    <w:rsid w:val="009D5B9C"/>
    <w:rsid w:val="009F70E6"/>
    <w:rsid w:val="00A039A8"/>
    <w:rsid w:val="00A17A48"/>
    <w:rsid w:val="00A460EA"/>
    <w:rsid w:val="00A54FC4"/>
    <w:rsid w:val="00A61099"/>
    <w:rsid w:val="00A73B50"/>
    <w:rsid w:val="00A7706E"/>
    <w:rsid w:val="00A860BD"/>
    <w:rsid w:val="00A9428D"/>
    <w:rsid w:val="00AB534B"/>
    <w:rsid w:val="00AB6E39"/>
    <w:rsid w:val="00AD3640"/>
    <w:rsid w:val="00AD4E9B"/>
    <w:rsid w:val="00AE62D1"/>
    <w:rsid w:val="00AE6F27"/>
    <w:rsid w:val="00AF63F6"/>
    <w:rsid w:val="00B1303D"/>
    <w:rsid w:val="00B27BDC"/>
    <w:rsid w:val="00B410B3"/>
    <w:rsid w:val="00B45A25"/>
    <w:rsid w:val="00B45C97"/>
    <w:rsid w:val="00B527DA"/>
    <w:rsid w:val="00B56A9A"/>
    <w:rsid w:val="00B84BC1"/>
    <w:rsid w:val="00BC2D10"/>
    <w:rsid w:val="00BF5232"/>
    <w:rsid w:val="00BF5D96"/>
    <w:rsid w:val="00C11B25"/>
    <w:rsid w:val="00C11FB8"/>
    <w:rsid w:val="00C1439D"/>
    <w:rsid w:val="00C17D2C"/>
    <w:rsid w:val="00C53547"/>
    <w:rsid w:val="00C6750D"/>
    <w:rsid w:val="00C7520A"/>
    <w:rsid w:val="00C76749"/>
    <w:rsid w:val="00C86FD3"/>
    <w:rsid w:val="00CA6FBF"/>
    <w:rsid w:val="00CB5986"/>
    <w:rsid w:val="00CC3B69"/>
    <w:rsid w:val="00CD0231"/>
    <w:rsid w:val="00CE6526"/>
    <w:rsid w:val="00CE7EF0"/>
    <w:rsid w:val="00CF3E9B"/>
    <w:rsid w:val="00D0452F"/>
    <w:rsid w:val="00D04B64"/>
    <w:rsid w:val="00D06DB4"/>
    <w:rsid w:val="00D15FBD"/>
    <w:rsid w:val="00D177D1"/>
    <w:rsid w:val="00D32145"/>
    <w:rsid w:val="00D71D80"/>
    <w:rsid w:val="00D72E82"/>
    <w:rsid w:val="00D7685F"/>
    <w:rsid w:val="00D76EFE"/>
    <w:rsid w:val="00D86E69"/>
    <w:rsid w:val="00DA0252"/>
    <w:rsid w:val="00DA2505"/>
    <w:rsid w:val="00DB31E8"/>
    <w:rsid w:val="00DB65CB"/>
    <w:rsid w:val="00DC66A3"/>
    <w:rsid w:val="00DD299E"/>
    <w:rsid w:val="00DD4645"/>
    <w:rsid w:val="00DE7214"/>
    <w:rsid w:val="00DF7DAB"/>
    <w:rsid w:val="00E454BD"/>
    <w:rsid w:val="00E548E8"/>
    <w:rsid w:val="00E81DD3"/>
    <w:rsid w:val="00EA1A0C"/>
    <w:rsid w:val="00EB34C8"/>
    <w:rsid w:val="00EB730D"/>
    <w:rsid w:val="00EC2CB7"/>
    <w:rsid w:val="00F159D6"/>
    <w:rsid w:val="00F338C3"/>
    <w:rsid w:val="00F36248"/>
    <w:rsid w:val="00F366F2"/>
    <w:rsid w:val="00F41D77"/>
    <w:rsid w:val="00F61547"/>
    <w:rsid w:val="00F72763"/>
    <w:rsid w:val="00F73DD4"/>
    <w:rsid w:val="00F86867"/>
    <w:rsid w:val="00F9787E"/>
    <w:rsid w:val="00FA2DB6"/>
    <w:rsid w:val="00FA4695"/>
    <w:rsid w:val="00FA47CA"/>
    <w:rsid w:val="00FC2B9D"/>
    <w:rsid w:val="00FD4789"/>
    <w:rsid w:val="00FE26CD"/>
    <w:rsid w:val="00FE58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A6F1D5"/>
  <w15:chartTrackingRefBased/>
  <w15:docId w15:val="{14BA4C70-4CB4-44E7-B69F-E341F6FE2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7B1"/>
    <w:pPr>
      <w:spacing w:line="340" w:lineRule="atLeast"/>
      <w:jc w:val="both"/>
    </w:pPr>
    <w:rPr>
      <w:rFonts w:ascii="Times New Roman" w:eastAsia="Times New Roman" w:hAnsi="Times New Roman"/>
      <w:color w:val="000000"/>
      <w:sz w:val="24"/>
      <w:lang w:eastAsia="de-DE"/>
    </w:rPr>
  </w:style>
  <w:style w:type="paragraph" w:styleId="Heading1">
    <w:name w:val="heading 1"/>
    <w:link w:val="Heading1Char"/>
    <w:uiPriority w:val="9"/>
    <w:qFormat/>
    <w:rsid w:val="00B45A25"/>
    <w:pPr>
      <w:spacing w:before="360" w:after="160"/>
      <w:outlineLvl w:val="0"/>
    </w:pPr>
    <w:rPr>
      <w:rFonts w:eastAsia="Calibri" w:cs="Calibri"/>
      <w:b/>
      <w:bCs/>
      <w:color w:val="1F3864"/>
      <w:sz w:val="26"/>
      <w:szCs w:val="26"/>
      <w:lang w:eastAsia="en-US"/>
    </w:rPr>
  </w:style>
  <w:style w:type="paragraph" w:styleId="Heading2">
    <w:name w:val="heading 2"/>
    <w:link w:val="Heading2Char"/>
    <w:uiPriority w:val="9"/>
    <w:unhideWhenUsed/>
    <w:qFormat/>
    <w:rsid w:val="00B45A25"/>
    <w:pPr>
      <w:spacing w:before="240" w:after="120"/>
      <w:outlineLvl w:val="1"/>
    </w:pPr>
    <w:rPr>
      <w:rFonts w:eastAsia="Calibri" w:cs="Calibri"/>
      <w:b/>
      <w:bCs/>
      <w:color w:val="2E5395"/>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basedOn w:val="MDPI31text"/>
    <w:next w:val="MDPI12title"/>
    <w:qFormat/>
    <w:rsid w:val="00D86E69"/>
    <w:pPr>
      <w:spacing w:line="240" w:lineRule="auto"/>
      <w:ind w:firstLine="0"/>
      <w:jc w:val="left"/>
    </w:pPr>
    <w:rPr>
      <w:i/>
    </w:rPr>
  </w:style>
  <w:style w:type="paragraph" w:customStyle="1" w:styleId="MDPI12title">
    <w:name w:val="MDPI_1.2_title"/>
    <w:next w:val="MDPI13authornames"/>
    <w:qFormat/>
    <w:rsid w:val="00E454BD"/>
    <w:pPr>
      <w:adjustRightInd w:val="0"/>
      <w:snapToGrid w:val="0"/>
      <w:spacing w:after="240" w:line="28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basedOn w:val="MDPI31text"/>
    <w:next w:val="MDPI14history"/>
    <w:qFormat/>
    <w:rsid w:val="00996419"/>
    <w:pPr>
      <w:spacing w:after="120"/>
      <w:ind w:firstLine="0"/>
      <w:jc w:val="left"/>
    </w:pPr>
    <w:rPr>
      <w:b/>
      <w:snapToGrid/>
    </w:rPr>
  </w:style>
  <w:style w:type="paragraph" w:customStyle="1" w:styleId="MDPI14history">
    <w:name w:val="MDPI_1.4_history"/>
    <w:basedOn w:val="MDPI62Acknowledgments"/>
    <w:next w:val="Normal"/>
    <w:qFormat/>
    <w:rsid w:val="00CE6526"/>
    <w:pPr>
      <w:jc w:val="left"/>
    </w:pPr>
    <w:rPr>
      <w:snapToGrid/>
    </w:rPr>
  </w:style>
  <w:style w:type="paragraph" w:customStyle="1" w:styleId="MDPI16affiliation">
    <w:name w:val="MDPI_1.6_affiliation"/>
    <w:basedOn w:val="MDPI62Acknowledgments"/>
    <w:qFormat/>
    <w:rsid w:val="00CE6526"/>
    <w:pPr>
      <w:spacing w:before="0"/>
      <w:ind w:left="198" w:hanging="198"/>
      <w:jc w:val="left"/>
    </w:pPr>
    <w:rPr>
      <w:snapToGrid/>
      <w:szCs w:val="18"/>
    </w:rPr>
  </w:style>
  <w:style w:type="paragraph" w:customStyle="1" w:styleId="MDPI17abstract">
    <w:name w:val="MDPI_1.7_abstract"/>
    <w:basedOn w:val="MDPI31text"/>
    <w:next w:val="MDPI18keywords"/>
    <w:qFormat/>
    <w:rsid w:val="00B56A9A"/>
    <w:pPr>
      <w:spacing w:before="240" w:after="120"/>
      <w:ind w:firstLine="0"/>
    </w:pPr>
    <w:rPr>
      <w:snapToGrid/>
    </w:rPr>
  </w:style>
  <w:style w:type="paragraph" w:customStyle="1" w:styleId="MDPI18keywords">
    <w:name w:val="MDPI_1.8_keywords"/>
    <w:basedOn w:val="MDPI31text"/>
    <w:next w:val="Normal"/>
    <w:qFormat/>
    <w:rsid w:val="00E454BD"/>
    <w:pPr>
      <w:spacing w:before="240"/>
      <w:ind w:firstLine="0"/>
    </w:pPr>
  </w:style>
  <w:style w:type="paragraph" w:customStyle="1" w:styleId="MDPI19line">
    <w:name w:val="MDPI_1.9_line"/>
    <w:basedOn w:val="MDPI31text"/>
    <w:qFormat/>
    <w:rsid w:val="00996419"/>
    <w:pPr>
      <w:pBdr>
        <w:bottom w:val="single" w:sz="6" w:space="1" w:color="auto"/>
      </w:pBdr>
      <w:ind w:firstLine="0"/>
    </w:pPr>
    <w:rPr>
      <w:snapToGrid/>
      <w:szCs w:val="24"/>
    </w:rPr>
  </w:style>
  <w:style w:type="paragraph" w:styleId="Footer">
    <w:name w:val="footer"/>
    <w:basedOn w:val="Normal"/>
    <w:link w:val="FooterChar"/>
    <w:uiPriority w:val="99"/>
    <w:rsid w:val="0099641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sid w:val="0099641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rsid w:val="0099641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sid w:val="00996419"/>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996419"/>
    <w:pPr>
      <w:adjustRightInd w:val="0"/>
      <w:snapToGrid w:val="0"/>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996419"/>
    <w:pPr>
      <w:ind w:firstLine="0"/>
    </w:pPr>
  </w:style>
  <w:style w:type="paragraph" w:customStyle="1" w:styleId="MDPI33textspaceafter">
    <w:name w:val="MDPI_3.3_text_space_after"/>
    <w:basedOn w:val="MDPI31text"/>
    <w:qFormat/>
    <w:rsid w:val="00996419"/>
    <w:pPr>
      <w:spacing w:after="240"/>
    </w:pPr>
  </w:style>
  <w:style w:type="paragraph" w:customStyle="1" w:styleId="MDPI34textspacebefore">
    <w:name w:val="MDPI_3.4_text_space_before"/>
    <w:basedOn w:val="MDPI31text"/>
    <w:qFormat/>
    <w:rsid w:val="00996419"/>
    <w:pPr>
      <w:spacing w:before="240"/>
    </w:pPr>
  </w:style>
  <w:style w:type="paragraph" w:customStyle="1" w:styleId="MDPI35textbeforelist">
    <w:name w:val="MDPI_3.5_text_before_list"/>
    <w:basedOn w:val="MDPI31text"/>
    <w:qFormat/>
    <w:rsid w:val="00996419"/>
    <w:pPr>
      <w:spacing w:after="120"/>
    </w:pPr>
  </w:style>
  <w:style w:type="paragraph" w:customStyle="1" w:styleId="MDPI36textafterlist">
    <w:name w:val="MDPI_3.6_text_after_list"/>
    <w:basedOn w:val="MDPI31text"/>
    <w:qFormat/>
    <w:rsid w:val="00996419"/>
    <w:pPr>
      <w:spacing w:before="120"/>
    </w:pPr>
  </w:style>
  <w:style w:type="paragraph" w:customStyle="1" w:styleId="MDPI37itemize">
    <w:name w:val="MDPI_3.7_itemize"/>
    <w:basedOn w:val="MDPI31text"/>
    <w:qFormat/>
    <w:rsid w:val="00996419"/>
    <w:pPr>
      <w:numPr>
        <w:numId w:val="1"/>
      </w:numPr>
      <w:ind w:left="425" w:hanging="425"/>
    </w:pPr>
  </w:style>
  <w:style w:type="paragraph" w:customStyle="1" w:styleId="MDPI38bullet">
    <w:name w:val="MDPI_3.8_bullet"/>
    <w:qFormat/>
    <w:rsid w:val="00E81DD3"/>
    <w:pPr>
      <w:numPr>
        <w:numId w:val="2"/>
      </w:numPr>
      <w:adjustRightInd w:val="0"/>
      <w:snapToGrid w:val="0"/>
      <w:spacing w:line="280" w:lineRule="atLeast"/>
      <w:jc w:val="both"/>
    </w:pPr>
    <w:rPr>
      <w:rFonts w:ascii="Palatino Linotype" w:eastAsia="Times New Roman" w:hAnsi="Palatino Linotype"/>
      <w:snapToGrid w:val="0"/>
      <w:color w:val="000000"/>
      <w:szCs w:val="22"/>
      <w:lang w:eastAsia="de-DE" w:bidi="en-US"/>
    </w:rPr>
  </w:style>
  <w:style w:type="paragraph" w:customStyle="1" w:styleId="MDPI39equation">
    <w:name w:val="MDPI_3.9_equation"/>
    <w:basedOn w:val="MDPI31text"/>
    <w:qFormat/>
    <w:rsid w:val="00996419"/>
    <w:pPr>
      <w:spacing w:before="120" w:after="120"/>
      <w:ind w:left="709" w:firstLine="0"/>
      <w:jc w:val="center"/>
    </w:pPr>
  </w:style>
  <w:style w:type="paragraph" w:customStyle="1" w:styleId="MDPI3aequationnumber">
    <w:name w:val="MDPI_3.a_equation_number"/>
    <w:basedOn w:val="MDPI31text"/>
    <w:qFormat/>
    <w:rsid w:val="00996419"/>
    <w:pPr>
      <w:spacing w:before="120" w:after="120" w:line="240" w:lineRule="auto"/>
      <w:ind w:firstLine="0"/>
      <w:jc w:val="right"/>
    </w:pPr>
  </w:style>
  <w:style w:type="paragraph" w:customStyle="1" w:styleId="MDPI62Acknowledgments">
    <w:name w:val="MDPI_6.2_Acknowledgments"/>
    <w:qFormat/>
    <w:rsid w:val="00F86867"/>
    <w:pPr>
      <w:adjustRightInd w:val="0"/>
      <w:snapToGrid w:val="0"/>
      <w:spacing w:before="120" w:line="280" w:lineRule="atLeast"/>
      <w:jc w:val="both"/>
    </w:pPr>
    <w:rPr>
      <w:rFonts w:ascii="Palatino Linotype" w:eastAsia="Times New Roman" w:hAnsi="Palatino Linotype"/>
      <w:snapToGrid w:val="0"/>
      <w:color w:val="000000"/>
      <w:sz w:val="18"/>
      <w:lang w:eastAsia="de-DE" w:bidi="en-US"/>
    </w:rPr>
  </w:style>
  <w:style w:type="paragraph" w:customStyle="1" w:styleId="MDPI41tablecaption">
    <w:name w:val="MDPI_4.1_table_caption"/>
    <w:basedOn w:val="MDPI62Acknowledgments"/>
    <w:qFormat/>
    <w:rsid w:val="00AE62D1"/>
    <w:pPr>
      <w:spacing w:before="240" w:after="120"/>
    </w:pPr>
    <w:rPr>
      <w:snapToGrid/>
      <w:szCs w:val="22"/>
    </w:rPr>
  </w:style>
  <w:style w:type="paragraph" w:customStyle="1" w:styleId="MDPI42tablebody">
    <w:name w:val="MDPI_4.2_table_body"/>
    <w:qFormat/>
    <w:rsid w:val="004B742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basedOn w:val="MDPI41tablecaption"/>
    <w:next w:val="MDPI31text"/>
    <w:qFormat/>
    <w:rsid w:val="00581C1A"/>
    <w:pPr>
      <w:spacing w:before="0" w:after="240"/>
      <w:ind w:left="425" w:right="425"/>
    </w:pPr>
  </w:style>
  <w:style w:type="paragraph" w:customStyle="1" w:styleId="MDPI51figurecaption">
    <w:name w:val="MDPI_5.1_figure_caption"/>
    <w:basedOn w:val="MDPI62Acknowledgments"/>
    <w:qFormat/>
    <w:rsid w:val="00AE62D1"/>
    <w:pPr>
      <w:spacing w:after="240"/>
    </w:pPr>
    <w:rPr>
      <w:snapToGrid/>
    </w:rPr>
  </w:style>
  <w:style w:type="paragraph" w:customStyle="1" w:styleId="MDPI52figure">
    <w:name w:val="MDPI_5.2_figure"/>
    <w:qFormat/>
    <w:rsid w:val="008C1BF0"/>
    <w:pPr>
      <w:spacing w:before="240" w:after="120"/>
      <w:jc w:val="center"/>
    </w:pPr>
    <w:rPr>
      <w:rFonts w:ascii="Palatino Linotype" w:eastAsia="Times New Roman" w:hAnsi="Palatino Linotype"/>
      <w:snapToGrid w:val="0"/>
      <w:color w:val="000000"/>
      <w:sz w:val="24"/>
      <w:lang w:eastAsia="de-DE" w:bidi="en-US"/>
    </w:rPr>
  </w:style>
  <w:style w:type="paragraph" w:customStyle="1" w:styleId="MDPI61Supplementary">
    <w:name w:val="MDPI_6.1_Supplementary"/>
    <w:basedOn w:val="MDPI62Acknowledgments"/>
    <w:qFormat/>
    <w:rsid w:val="00996419"/>
    <w:pPr>
      <w:spacing w:before="240"/>
    </w:pPr>
    <w:rPr>
      <w:lang w:eastAsia="en-US"/>
    </w:rPr>
  </w:style>
  <w:style w:type="paragraph" w:customStyle="1" w:styleId="MDPI63AuthorContributions">
    <w:name w:val="MDPI_6.3_AuthorContributions"/>
    <w:basedOn w:val="MDPI62Acknowledgments"/>
    <w:qFormat/>
    <w:rsid w:val="00996419"/>
    <w:rPr>
      <w:rFonts w:eastAsia="SimSun"/>
      <w:color w:val="auto"/>
      <w:lang w:eastAsia="en-US"/>
    </w:rPr>
  </w:style>
  <w:style w:type="paragraph" w:customStyle="1" w:styleId="MDPI64CoI">
    <w:name w:val="MDPI_6.4_CoI"/>
    <w:basedOn w:val="MDPI62Acknowledgments"/>
    <w:qFormat/>
    <w:rsid w:val="00996419"/>
  </w:style>
  <w:style w:type="paragraph" w:customStyle="1" w:styleId="MDPI81theorem">
    <w:name w:val="MDPI_8.1_theorem"/>
    <w:basedOn w:val="MDPI32textnoindent"/>
    <w:qFormat/>
    <w:rsid w:val="00996419"/>
    <w:rPr>
      <w:i/>
    </w:rPr>
  </w:style>
  <w:style w:type="paragraph" w:customStyle="1" w:styleId="MDPI82proof">
    <w:name w:val="MDPI_8.2_proof"/>
    <w:basedOn w:val="MDPI32textnoindent"/>
    <w:qFormat/>
    <w:rsid w:val="00996419"/>
  </w:style>
  <w:style w:type="paragraph" w:customStyle="1" w:styleId="MDPIfooterfirstpage">
    <w:name w:val="MDPI_footer_firstpage"/>
    <w:basedOn w:val="Normal"/>
    <w:qFormat/>
    <w:rsid w:val="00996419"/>
    <w:pPr>
      <w:tabs>
        <w:tab w:val="right" w:pos="8845"/>
      </w:tabs>
      <w:adjustRightInd w:val="0"/>
      <w:snapToGrid w:val="0"/>
      <w:spacing w:before="120" w:line="160" w:lineRule="exact"/>
      <w:jc w:val="left"/>
    </w:pPr>
    <w:rPr>
      <w:rFonts w:ascii="Palatino Linotype" w:hAnsi="Palatino Linotype"/>
      <w:color w:val="auto"/>
      <w:sz w:val="16"/>
    </w:rPr>
  </w:style>
  <w:style w:type="paragraph" w:customStyle="1" w:styleId="MDPI31text">
    <w:name w:val="MDPI_3.1_text"/>
    <w:qFormat/>
    <w:rsid w:val="00505292"/>
    <w:pPr>
      <w:adjustRightInd w:val="0"/>
      <w:snapToGrid w:val="0"/>
      <w:spacing w:line="280" w:lineRule="atLeast"/>
      <w:ind w:firstLine="425"/>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basedOn w:val="MDPI31text"/>
    <w:qFormat/>
    <w:rsid w:val="00996419"/>
    <w:pPr>
      <w:spacing w:before="240" w:after="120"/>
      <w:ind w:firstLine="0"/>
      <w:jc w:val="left"/>
      <w:outlineLvl w:val="2"/>
    </w:pPr>
  </w:style>
  <w:style w:type="paragraph" w:customStyle="1" w:styleId="MDPI21heading1">
    <w:name w:val="MDPI_2.1_heading1"/>
    <w:basedOn w:val="MDPI23heading3"/>
    <w:qFormat/>
    <w:rsid w:val="00E454BD"/>
    <w:pPr>
      <w:outlineLvl w:val="0"/>
    </w:pPr>
    <w:rPr>
      <w:b/>
      <w:sz w:val="24"/>
    </w:rPr>
  </w:style>
  <w:style w:type="paragraph" w:customStyle="1" w:styleId="MDPI22heading2">
    <w:name w:val="MDPI_2.2_heading2"/>
    <w:basedOn w:val="Normal"/>
    <w:qFormat/>
    <w:rsid w:val="006D096D"/>
    <w:pPr>
      <w:kinsoku w:val="0"/>
      <w:overflowPunct w:val="0"/>
      <w:autoSpaceDE w:val="0"/>
      <w:autoSpaceDN w:val="0"/>
      <w:adjustRightInd w:val="0"/>
      <w:snapToGrid w:val="0"/>
      <w:spacing w:before="240" w:after="120" w:line="280" w:lineRule="atLeast"/>
      <w:jc w:val="left"/>
      <w:outlineLvl w:val="1"/>
    </w:pPr>
    <w:rPr>
      <w:rFonts w:ascii="Palatino Linotype" w:hAnsi="Palatino Linotype"/>
      <w:i/>
      <w:noProof/>
      <w:snapToGrid w:val="0"/>
      <w:sz w:val="20"/>
      <w:szCs w:val="22"/>
      <w:lang w:bidi="en-US"/>
    </w:rPr>
  </w:style>
  <w:style w:type="paragraph" w:customStyle="1" w:styleId="MDPI71References">
    <w:name w:val="MDPI_7.1_References"/>
    <w:basedOn w:val="MDPI62Acknowledgments"/>
    <w:qFormat/>
    <w:rsid w:val="006D096D"/>
    <w:pPr>
      <w:numPr>
        <w:numId w:val="3"/>
      </w:numPr>
      <w:spacing w:before="0"/>
      <w:ind w:left="425" w:hanging="425"/>
    </w:pPr>
  </w:style>
  <w:style w:type="paragraph" w:styleId="BalloonText">
    <w:name w:val="Balloon Text"/>
    <w:basedOn w:val="Normal"/>
    <w:link w:val="BalloonTextChar"/>
    <w:uiPriority w:val="99"/>
    <w:semiHidden/>
    <w:unhideWhenUsed/>
    <w:rsid w:val="00996419"/>
    <w:pPr>
      <w:spacing w:line="240" w:lineRule="auto"/>
    </w:pPr>
    <w:rPr>
      <w:sz w:val="18"/>
      <w:szCs w:val="18"/>
    </w:rPr>
  </w:style>
  <w:style w:type="character" w:customStyle="1" w:styleId="BalloonTextChar">
    <w:name w:val="Balloon Text Char"/>
    <w:link w:val="BalloonText"/>
    <w:uiPriority w:val="99"/>
    <w:semiHidden/>
    <w:rsid w:val="0099641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emiHidden/>
    <w:unhideWhenUsed/>
    <w:rsid w:val="00996419"/>
  </w:style>
  <w:style w:type="table" w:customStyle="1" w:styleId="MDPI41threelinetable">
    <w:name w:val="MDPI_4.1_three_line_table"/>
    <w:basedOn w:val="TableNormal"/>
    <w:uiPriority w:val="99"/>
    <w:rsid w:val="004B742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Calibri Light" w:hAnsi="Calibri Light"/>
        <w:b/>
        <w:i w:val="0"/>
        <w:sz w:val="20"/>
      </w:rPr>
      <w:tblPr/>
      <w:tcPr>
        <w:tcBorders>
          <w:bottom w:val="single" w:sz="4" w:space="0" w:color="auto"/>
        </w:tcBorders>
      </w:tcPr>
    </w:tblStylePr>
  </w:style>
  <w:style w:type="character" w:styleId="Hyperlink">
    <w:name w:val="Hyperlink"/>
    <w:uiPriority w:val="99"/>
    <w:unhideWhenUsed/>
    <w:rsid w:val="00BF5D96"/>
    <w:rPr>
      <w:color w:val="0563C1"/>
      <w:u w:val="single"/>
    </w:rPr>
  </w:style>
  <w:style w:type="character" w:styleId="UnresolvedMention">
    <w:name w:val="Unresolved Mention"/>
    <w:uiPriority w:val="99"/>
    <w:semiHidden/>
    <w:unhideWhenUsed/>
    <w:rsid w:val="0034278A"/>
    <w:rPr>
      <w:color w:val="605E5C"/>
      <w:shd w:val="clear" w:color="auto" w:fill="E1DFDD"/>
    </w:rPr>
  </w:style>
  <w:style w:type="table" w:styleId="TableGrid">
    <w:name w:val="Table Grid"/>
    <w:basedOn w:val="TableNormal"/>
    <w:uiPriority w:val="59"/>
    <w:rsid w:val="00853B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53B8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3Notes">
    <w:name w:val="MDPI_6.3_Notes"/>
    <w:qFormat/>
    <w:rsid w:val="00C53547"/>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22runningtitle">
    <w:name w:val="MDPI_1.2.2_runningtitle"/>
    <w:basedOn w:val="MDPI12title"/>
    <w:qFormat/>
    <w:rsid w:val="00632097"/>
    <w:pPr>
      <w:spacing w:after="120" w:line="240" w:lineRule="atLeast"/>
    </w:pPr>
    <w:rPr>
      <w:sz w:val="20"/>
    </w:rPr>
  </w:style>
  <w:style w:type="table" w:customStyle="1" w:styleId="TableGrid1">
    <w:name w:val="Table Grid1"/>
    <w:basedOn w:val="TableNormal"/>
    <w:next w:val="TableGrid"/>
    <w:uiPriority w:val="59"/>
    <w:rsid w:val="000F685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preprint">
    <w:name w:val="MDPI_preprint"/>
    <w:qFormat/>
    <w:rsid w:val="00581C1A"/>
    <w:rPr>
      <w:rFonts w:ascii="Palatino Linotype" w:eastAsia="Times New Roman" w:hAnsi="Palatino Linotype"/>
      <w:i/>
      <w:snapToGrid w:val="0"/>
      <w:color w:val="000000"/>
      <w:szCs w:val="22"/>
      <w:lang w:eastAsia="de-DE" w:bidi="en-US"/>
    </w:rPr>
  </w:style>
  <w:style w:type="paragraph" w:customStyle="1" w:styleId="MDPI62backmatter">
    <w:name w:val="MDPI_6.2_back_matter"/>
    <w:qFormat/>
    <w:rsid w:val="007654C4"/>
    <w:pPr>
      <w:adjustRightInd w:val="0"/>
      <w:snapToGrid w:val="0"/>
      <w:spacing w:after="120" w:line="280" w:lineRule="atLeast"/>
      <w:jc w:val="both"/>
    </w:pPr>
    <w:rPr>
      <w:rFonts w:ascii="Palatino Linotype" w:eastAsia="Times New Roman" w:hAnsi="Palatino Linotype"/>
      <w:snapToGrid w:val="0"/>
      <w:color w:val="000000"/>
      <w:sz w:val="18"/>
      <w:lang w:bidi="en-US"/>
      <w14:ligatures w14:val="standardContextual"/>
    </w:rPr>
  </w:style>
  <w:style w:type="character" w:customStyle="1" w:styleId="Heading1Char">
    <w:name w:val="Heading 1 Char"/>
    <w:basedOn w:val="DefaultParagraphFont"/>
    <w:link w:val="Heading1"/>
    <w:uiPriority w:val="9"/>
    <w:rsid w:val="00B45A25"/>
    <w:rPr>
      <w:rFonts w:eastAsia="Calibri" w:cs="Calibri"/>
      <w:b/>
      <w:bCs/>
      <w:color w:val="1F3864"/>
      <w:sz w:val="26"/>
      <w:szCs w:val="26"/>
      <w:lang w:eastAsia="en-US"/>
    </w:rPr>
  </w:style>
  <w:style w:type="character" w:customStyle="1" w:styleId="Heading2Char">
    <w:name w:val="Heading 2 Char"/>
    <w:basedOn w:val="DefaultParagraphFont"/>
    <w:link w:val="Heading2"/>
    <w:uiPriority w:val="9"/>
    <w:rsid w:val="00B45A25"/>
    <w:rPr>
      <w:rFonts w:eastAsia="Calibri" w:cs="Calibri"/>
      <w:b/>
      <w:bCs/>
      <w:color w:val="2E5395"/>
      <w:sz w:val="24"/>
      <w:szCs w:val="24"/>
      <w:lang w:eastAsia="en-US"/>
    </w:rPr>
  </w:style>
  <w:style w:type="paragraph" w:styleId="ListParagraph">
    <w:name w:val="List Paragraph"/>
    <w:qFormat/>
    <w:rsid w:val="00B45A25"/>
    <w:rPr>
      <w:rFonts w:eastAsia="Calibri" w:cs="Calibri"/>
      <w:sz w:val="22"/>
      <w:szCs w:val="22"/>
      <w:lang w:eastAsia="en-US"/>
    </w:rPr>
  </w:style>
  <w:style w:type="paragraph" w:styleId="Caption">
    <w:name w:val="caption"/>
    <w:qFormat/>
    <w:rsid w:val="00B45A25"/>
    <w:pPr>
      <w:spacing w:before="100" w:after="240"/>
    </w:pPr>
    <w:rPr>
      <w:rFonts w:eastAsia="Calibri" w:cs="Calibri"/>
      <w:i/>
      <w:iCs/>
      <w:color w:val="404040"/>
      <w:sz w:val="18"/>
      <w:szCs w:val="18"/>
      <w:lang w:eastAsia="en-US"/>
    </w:rPr>
  </w:style>
  <w:style w:type="character" w:styleId="CommentReference">
    <w:name w:val="annotation reference"/>
    <w:basedOn w:val="DefaultParagraphFont"/>
    <w:uiPriority w:val="99"/>
    <w:semiHidden/>
    <w:unhideWhenUsed/>
    <w:rsid w:val="008F7472"/>
    <w:rPr>
      <w:sz w:val="16"/>
      <w:szCs w:val="16"/>
    </w:rPr>
  </w:style>
  <w:style w:type="paragraph" w:styleId="CommentText">
    <w:name w:val="annotation text"/>
    <w:basedOn w:val="Normal"/>
    <w:link w:val="CommentTextChar"/>
    <w:uiPriority w:val="99"/>
    <w:semiHidden/>
    <w:unhideWhenUsed/>
    <w:rsid w:val="008F7472"/>
    <w:pPr>
      <w:spacing w:line="240" w:lineRule="auto"/>
    </w:pPr>
    <w:rPr>
      <w:sz w:val="20"/>
    </w:rPr>
  </w:style>
  <w:style w:type="character" w:customStyle="1" w:styleId="CommentTextChar">
    <w:name w:val="Comment Text Char"/>
    <w:basedOn w:val="DefaultParagraphFont"/>
    <w:link w:val="CommentText"/>
    <w:uiPriority w:val="99"/>
    <w:semiHidden/>
    <w:rsid w:val="008F7472"/>
    <w:rPr>
      <w:rFonts w:ascii="Times New Roman" w:eastAsia="Times New Roman" w:hAnsi="Times New Roman"/>
      <w:color w:val="000000"/>
      <w:lang w:eastAsia="de-DE"/>
    </w:rPr>
  </w:style>
  <w:style w:type="paragraph" w:styleId="CommentSubject">
    <w:name w:val="annotation subject"/>
    <w:basedOn w:val="CommentText"/>
    <w:next w:val="CommentText"/>
    <w:link w:val="CommentSubjectChar"/>
    <w:uiPriority w:val="99"/>
    <w:semiHidden/>
    <w:unhideWhenUsed/>
    <w:rsid w:val="008F7472"/>
    <w:rPr>
      <w:b/>
      <w:bCs/>
    </w:rPr>
  </w:style>
  <w:style w:type="character" w:customStyle="1" w:styleId="CommentSubjectChar">
    <w:name w:val="Comment Subject Char"/>
    <w:basedOn w:val="CommentTextChar"/>
    <w:link w:val="CommentSubject"/>
    <w:uiPriority w:val="99"/>
    <w:semiHidden/>
    <w:rsid w:val="008F7472"/>
    <w:rPr>
      <w:rFonts w:ascii="Times New Roman" w:eastAsia="Times New Roman" w:hAnsi="Times New Roman"/>
      <w:b/>
      <w:bCs/>
      <w:color w:val="000000"/>
      <w:lang w:eastAsia="de-DE"/>
    </w:rPr>
  </w:style>
  <w:style w:type="paragraph" w:customStyle="1" w:styleId="MDPI81references">
    <w:name w:val="MDPI_8.1_references"/>
    <w:qFormat/>
    <w:rsid w:val="00C11FB8"/>
    <w:pPr>
      <w:numPr>
        <w:numId w:val="16"/>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Revision">
    <w:name w:val="Revision"/>
    <w:hidden/>
    <w:uiPriority w:val="99"/>
    <w:semiHidden/>
    <w:rsid w:val="005329CC"/>
    <w:rPr>
      <w:rFonts w:ascii="Times New Roman" w:eastAsia="Times New Roman" w:hAnsi="Times New Roman"/>
      <w:color w:val="000000"/>
      <w:sz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70946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26\8\8.31\6.preprints-230819\preprint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preprints-template</Template>
  <TotalTime>18</TotalTime>
  <Pages>16</Pages>
  <Words>7072</Words>
  <Characters>40315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47293</CharactersWithSpaces>
  <SharedDoc>false</SharedDoc>
  <HLinks>
    <vt:vector size="6" baseType="variant">
      <vt:variant>
        <vt:i4>6094915</vt:i4>
      </vt:variant>
      <vt:variant>
        <vt:i4>0</vt:i4>
      </vt:variant>
      <vt:variant>
        <vt:i4>0</vt:i4>
      </vt:variant>
      <vt:variant>
        <vt:i4>5</vt:i4>
      </vt:variant>
      <vt:variant>
        <vt:lpwstr>http://img.mdpi.org/data/contributor-role-instruction.pdf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MDPI</dc:creator>
  <cp:keywords/>
  <dc:description/>
  <cp:lastModifiedBy>MDPI</cp:lastModifiedBy>
  <cp:revision>21</cp:revision>
  <dcterms:created xsi:type="dcterms:W3CDTF">2026-08-31T07:17:00Z</dcterms:created>
  <dcterms:modified xsi:type="dcterms:W3CDTF">2026-08-31T08:02:00Z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a5fa0f68-e883-4fbf-a251-2449d2e71136</vt:lpwstr>
  </property>
</Properties>
</file>