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400"/>
      </w:pPr>
      <w:r>
        <w:rPr>
          <w:rFonts w:ascii="Calibri" w:cs="Calibri" w:eastAsia="Calibri" w:hAnsi="Calibri"/>
          <w:b/>
          <w:bCs/>
          <w:caps/>
          <w:color w:val="595959"/>
          <w:sz w:val="20"/>
          <w:szCs w:val="20"/>
        </w:rPr>
        <w:t xml:space="preserve">U-NEXT · CURSOR TRACK</w:t>
      </w:r>
    </w:p>
    <w:p>
      <w:pPr>
        <w:spacing w:after="60"/>
      </w:pPr>
      <w:r>
        <w:rPr>
          <w:rFonts w:ascii="Calibri" w:cs="Calibri" w:eastAsia="Calibri" w:hAnsi="Calibri"/>
          <w:color w:val="2B2B2B"/>
          <w:sz w:val="22"/>
          <w:szCs w:val="22"/>
        </w:rPr>
        <w:t xml:space="preserve">5-Day Hands-On Cursor Training Programme</w:t>
      </w:r>
    </w:p>
    <w:p>
      <w:pPr>
        <w:spacing w:after="100" w:before="200"/>
      </w:pPr>
      <w:r>
        <w:rPr>
          <w:rFonts w:ascii="Calibri" w:cs="Calibri" w:eastAsia="Calibri" w:hAnsi="Calibri"/>
          <w:b/>
          <w:bCs/>
          <w:color w:val="0D0D0D"/>
          <w:sz w:val="44"/>
          <w:szCs w:val="44"/>
        </w:rPr>
        <w:t xml:space="preserve">DAY 4</w:t>
      </w:r>
    </w:p>
    <w:p>
      <w:pPr>
        <w:spacing w:after="300"/>
      </w:pPr>
      <w:r>
        <w:rPr>
          <w:rFonts w:ascii="Calibri" w:cs="Calibri" w:eastAsia="Calibri" w:hAnsi="Calibri"/>
          <w:b/>
          <w:bCs/>
          <w:color w:val="2B2B2B"/>
          <w:sz w:val="28"/>
          <w:szCs w:val="28"/>
        </w:rPr>
        <w:t xml:space="preserve">Capstone Brief — Assigned Independent Build (Node.js)</w:t>
      </w:r>
    </w:p>
    <w:p>
      <w:pPr>
        <w:spacing w:after="80"/>
      </w:pPr>
      <w:r>
        <w:rPr>
          <w:rFonts w:ascii="Calibri" w:cs="Calibri" w:eastAsia="Calibri" w:hAnsi="Calibri"/>
          <w:i/>
          <w:iCs/>
          <w:color w:val="000000"/>
          <w:sz w:val="20"/>
          <w:szCs w:val="20"/>
        </w:rPr>
        <w:t xml:space="preserve">Scenario domain: Retail &amp; CPG last-mile analytics, matching Tredence's core engagement space. Stack: Node.js 20, Jest, ESLint.</w:t>
      </w:r>
    </w:p>
    <w:p>
      <w:pPr>
        <w:pBdr>
          <w:top w:val="single" w:color="2B2B2B" w:sz="6"/>
        </w:pBdr>
      </w:pPr>
    </w:p>
    <w:p>
      <w:pPr>
        <w:spacing w:after="60"/>
      </w:pPr>
      <w:r>
        <w:rPr>
          <w:rFonts w:ascii="Calibri" w:cs="Calibri" w:eastAsia="Calibri" w:hAnsi="Calibri"/>
          <w:b/>
          <w:bCs/>
          <w:color w:val="2B2B2B"/>
          <w:sz w:val="19"/>
          <w:szCs w:val="19"/>
        </w:rPr>
        <w:t xml:space="preserve">Session length: </w:t>
      </w:r>
      <w:r>
        <w:rPr>
          <w:rFonts w:ascii="Calibri" w:cs="Calibri" w:eastAsia="Calibri" w:hAnsi="Calibri"/>
          <w:color w:val="000000"/>
          <w:sz w:val="19"/>
          <w:szCs w:val="19"/>
        </w:rPr>
        <w:t xml:space="preserve">2.5 hours independent build (Day 4); demo on Day 5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2B2B2B"/>
          <w:sz w:val="19"/>
          <w:szCs w:val="19"/>
        </w:rPr>
        <w:t xml:space="preserve">Format: </w:t>
      </w:r>
      <w:r>
        <w:rPr>
          <w:rFonts w:ascii="Calibri" w:cs="Calibri" w:eastAsia="Calibri" w:hAnsi="Calibri"/>
          <w:color w:val="000000"/>
          <w:sz w:val="19"/>
          <w:szCs w:val="19"/>
        </w:rPr>
        <w:t xml:space="preserve">Individual or pair build, instructor available for unblocking only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2B2B2B"/>
          <w:sz w:val="19"/>
          <w:szCs w:val="19"/>
        </w:rPr>
        <w:t xml:space="preserve">Prerequisite: </w:t>
      </w:r>
      <w:r>
        <w:rPr>
          <w:rFonts w:ascii="Calibri" w:cs="Calibri" w:eastAsia="Calibri" w:hAnsi="Calibri"/>
          <w:color w:val="000000"/>
          <w:sz w:val="19"/>
          <w:szCs w:val="19"/>
        </w:rPr>
        <w:t xml:space="preserve">Modules M1-M12 (Days 1-3) completed, including your own starter structure from Day 2's mini project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2B2B2B"/>
          <w:sz w:val="19"/>
          <w:szCs w:val="19"/>
        </w:rPr>
        <w:t xml:space="preserve">Deliverable: </w:t>
      </w:r>
      <w:r>
        <w:rPr>
          <w:rFonts w:ascii="Calibri" w:cs="Calibri" w:eastAsia="Calibri" w:hAnsi="Calibri"/>
          <w:color w:val="000000"/>
          <w:sz w:val="19"/>
          <w:szCs w:val="19"/>
        </w:rPr>
        <w:t xml:space="preserve">A working feature slice plus the AIDLC artifact trail listed in Section 4</w:t>
      </w:r>
    </w:p>
    <w:p>
      <w:r>
        <w:br w:type="page"/>
      </w:r>
    </w:p>
    <w:p>
      <w:pPr>
        <w:pStyle w:val="Heading1"/>
        <w:pBdr>
          <w:bottom w:val="single" w:color="2B2B2B" w:sz="6" w:space="4"/>
        </w:pBdr>
        <w:spacing w:after="120" w:before="240"/>
      </w:pPr>
      <w:r>
        <w:rPr>
          <w:rFonts w:ascii="Calibri" w:cs="Calibri" w:eastAsia="Calibri" w:hAnsi="Calibri"/>
          <w:b/>
          <w:bCs/>
          <w:color w:val="0D0D0D"/>
          <w:sz w:val="32"/>
          <w:szCs w:val="32"/>
        </w:rPr>
        <w:t xml:space="preserve">1. Why This Scenario</w:t>
      </w:r>
    </w:p>
    <w:p>
      <w:pPr>
        <w:spacing w:after="100"/>
      </w:pPr>
      <w:r>
        <w:rPr>
          <w:rFonts w:ascii="Calibri" w:cs="Calibri" w:eastAsia="Calibri" w:hAnsi="Calibri"/>
          <w:i w:val="false"/>
          <w:iCs w:val="false"/>
          <w:color w:val="000000"/>
          <w:sz w:val="20"/>
          <w:szCs w:val="20"/>
        </w:rPr>
        <w:t xml:space="preserve">Tredence's engineering work centres on "last-mile" analytics: taking a client's data and turning it into a decision a business person can act on. Most of that work sits in Retail and CPG — demand forecasting, promotion effectiveness, pricing, and merchandising. Both projects below use the same synthetic Retail/CPG scenario as the rest of this programme, so the domain will already feel familiar.</w:t>
      </w:r>
    </w:p>
    <w:p>
      <w:pPr>
        <w:spacing w:after="100"/>
      </w:pPr>
      <w:r>
        <w:rPr>
          <w:rFonts w:ascii="Calibri" w:cs="Calibri" w:eastAsia="Calibri" w:hAnsi="Calibri"/>
          <w:i w:val="false"/>
          <w:iCs w:val="false"/>
          <w:color w:val="000000"/>
          <w:sz w:val="20"/>
          <w:szCs w:val="20"/>
        </w:rPr>
        <w:t xml:space="preserve">This capstone asks you to build one more small, realistic slice of that kind of system — end to end, using the exact AIDLC discipline you've practised all week: scope it, generate it, test it, gate it in CI, and log it for the Community of Practice.</w:t>
      </w:r>
    </w:p>
    <w:p>
      <w:pPr>
        <w:spacing w:after="100"/>
      </w:pPr>
      <w:r>
        <w:rPr>
          <w:rFonts w:ascii="Calibri" w:cs="Calibri" w:eastAsia="Calibri" w:hAnsi="Calibri"/>
          <w:i w:val="false"/>
          <w:iCs w:val="false"/>
          <w:color w:val="000000"/>
          <w:sz w:val="20"/>
          <w:szCs w:val="20"/>
        </w:rPr>
        <w:t xml:space="preserve">No repo is handed to you here either. You're reusing the same starter stand-ins you built on Day 2 (sharedUtils.js, dataIngestion.js, baselineForecast.js, auth/session.js, cart.js, checkout.js, payments.js) — if you're starting fresh, rebuild them first using the spec in Section 2 of the Day 2 Mini Project Brief for Node.js.</w:t>
      </w:r>
    </w:p>
    <w:p>
      <w:pPr>
        <w:pStyle w:val="Heading1"/>
        <w:pBdr>
          <w:bottom w:val="single" w:color="2B2B2B" w:sz="6" w:space="4"/>
        </w:pBdr>
        <w:spacing w:after="120" w:before="240"/>
      </w:pPr>
      <w:r>
        <w:rPr>
          <w:rFonts w:ascii="Calibri" w:cs="Calibri" w:eastAsia="Calibri" w:hAnsi="Calibri"/>
          <w:b/>
          <w:bCs/>
          <w:color w:val="0D0D0D"/>
          <w:sz w:val="32"/>
          <w:szCs w:val="32"/>
        </w:rPr>
        <w:t xml:space="preserve">2. The Scenario</w:t>
      </w:r>
    </w:p>
    <w:p>
      <w:pPr>
        <w:spacing w:after="80" w:before="180"/>
      </w:pPr>
      <w:r>
        <w:rPr>
          <w:rFonts w:ascii="Calibri" w:cs="Calibri" w:eastAsia="Calibri" w:hAnsi="Calibri"/>
          <w:b/>
          <w:bCs/>
          <w:color w:val="2B2B2B"/>
          <w:sz w:val="24"/>
          <w:szCs w:val="24"/>
        </w:rPr>
        <w:t xml:space="preserve">Client-style brief</w:t>
      </w:r>
    </w:p>
    <w:p>
      <w:pPr>
        <w:spacing w:after="100"/>
      </w:pPr>
      <w:r>
        <w:rPr>
          <w:rFonts w:ascii="Calibri" w:cs="Calibri" w:eastAsia="Calibri" w:hAnsi="Calibri"/>
          <w:i w:val="false"/>
          <w:iCs w:val="false"/>
          <w:color w:val="000000"/>
          <w:sz w:val="20"/>
          <w:szCs w:val="20"/>
        </w:rPr>
        <w:t xml:space="preserve">You're joining the engineering pod on a Retail/CPG analytics engagement. The client sells packaged goods through large retail chains and wants better visibility into which SKU-level promotions are actually driving incremental sales, versus promotions that just shifted the timing of sales that would have happened anyway ("cannibalisation").</w:t>
      </w:r>
    </w:p>
    <w:p>
      <w:pPr>
        <w:spacing w:after="100"/>
      </w:pPr>
      <w:r>
        <w:rPr>
          <w:rFonts w:ascii="Calibri" w:cs="Calibri" w:eastAsia="Calibri" w:hAnsi="Calibri"/>
          <w:i w:val="false"/>
          <w:iCs w:val="false"/>
          <w:color w:val="000000"/>
          <w:sz w:val="20"/>
          <w:szCs w:val="20"/>
        </w:rPr>
        <w:t xml:space="preserve">Your baseline forecast stand-in (baseline_forecast.js) is now UAT-locked — treat it as if a previous team built and signed it off, feeding a client-facing dashboard. Your job is to add a new, separate capability on top of it without touching its internals.</w:t>
      </w:r>
    </w:p>
    <w:p>
      <w:pPr>
        <w:spacing w:after="80" w:before="180"/>
      </w:pPr>
      <w:r>
        <w:rPr>
          <w:rFonts w:ascii="Calibri" w:cs="Calibri" w:eastAsia="Calibri" w:hAnsi="Calibri"/>
          <w:b/>
          <w:bCs/>
          <w:color w:val="2B2B2B"/>
          <w:sz w:val="24"/>
          <w:szCs w:val="24"/>
        </w:rPr>
        <w:t xml:space="preserve">Your assigned feature</w:t>
      </w:r>
    </w:p>
    <w:p>
      <w:pPr>
        <w:spacing w:after="50"/>
        <w:ind w:left="200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—  Build a "Promotion Uplift" module: given a SKU, store cluster, and promotion window, return an estimated uplift % and a cannibalisation flag, using your baseline forecast stand-in as one input.</w:t>
      </w:r>
    </w:p>
    <w:p>
      <w:pPr>
        <w:spacing w:after="50"/>
        <w:ind w:left="200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—  Expose it as a small function or endpoint that another team could call.</w:t>
      </w:r>
    </w:p>
    <w:p>
      <w:pPr>
        <w:spacing w:after="50"/>
        <w:ind w:left="200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—  All 7 starter stand-ins from Day 2 remain locked — none of them change during this capstone.</w:t>
      </w:r>
    </w:p>
    <w:p>
      <w:r>
        <w:br w:type="page"/>
      </w:r>
    </w:p>
    <w:p>
      <w:pPr>
        <w:pStyle w:val="Heading1"/>
        <w:pBdr>
          <w:bottom w:val="single" w:color="2B2B2B" w:sz="6" w:space="4"/>
        </w:pBdr>
        <w:spacing w:after="120" w:before="240"/>
      </w:pPr>
      <w:r>
        <w:rPr>
          <w:rFonts w:ascii="Calibri" w:cs="Calibri" w:eastAsia="Calibri" w:hAnsi="Calibri"/>
          <w:b/>
          <w:bCs/>
          <w:color w:val="0D0D0D"/>
          <w:sz w:val="32"/>
          <w:szCs w:val="32"/>
        </w:rPr>
        <w:t xml:space="preserve">3. Boundaries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3150"/>
        <w:gridCol w:w="3150"/>
      </w:tblGrid>
      <w:tr>
        <w:trPr>
          <w:tblHeader/>
        </w:trPr>
        <w:tc>
          <w:tcPr>
            <w:tcW w:type="pct" w:w="30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shd w:fill="2B2B2B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Area</w:t>
            </w:r>
          </w:p>
        </w:tc>
        <w:tc>
          <w:tcPr>
            <w:tcW w:type="pct" w:w="35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shd w:fill="2B2B2B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You MAY change / create</w:t>
            </w:r>
          </w:p>
        </w:tc>
        <w:tc>
          <w:tcPr>
            <w:tcW w:type="pct" w:w="35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shd w:fill="2B2B2B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Locked — DO NOT MODIFY</w:t>
            </w:r>
          </w:p>
        </w:tc>
      </w:tr>
      <w:tr>
        <w:tc>
          <w:tcPr>
            <w:tcW w:type="pct" w:w="30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Forecasting</w:t>
            </w:r>
          </w:p>
        </w:tc>
        <w:tc>
          <w:tcPr>
            <w:tcW w:type="pct" w:w="35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New promotion_uplift.js module reading forecast output</w:t>
            </w:r>
          </w:p>
        </w:tc>
        <w:tc>
          <w:tcPr>
            <w:tcW w:type="pct" w:w="35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baseline_forecast.js — the core demand model</w:t>
            </w:r>
          </w:p>
        </w:tc>
      </w:tr>
      <w:tr>
        <w:tc>
          <w:tcPr>
            <w:tcW w:type="pct" w:w="30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Data layer</w:t>
            </w:r>
          </w:p>
        </w:tc>
        <w:tc>
          <w:tcPr>
            <w:tcW w:type="pct" w:w="35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New query/view for promotion + sales history</w:t>
            </w:r>
          </w:p>
        </w:tc>
        <w:tc>
          <w:tcPr>
            <w:tcW w:type="pct" w:w="35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data_ingestion.js — pipeline feeding the client dashboard</w:t>
            </w:r>
          </w:p>
        </w:tc>
      </w:tr>
      <w:tr>
        <w:tc>
          <w:tcPr>
            <w:tcW w:type="pct" w:w="30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Shared code</w:t>
            </w:r>
          </w:p>
        </w:tc>
        <w:tc>
          <w:tcPr>
            <w:tcW w:type="pct" w:w="35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New helper functions in a new file</w:t>
            </w:r>
          </w:p>
        </w:tc>
        <w:tc>
          <w:tcPr>
            <w:tcW w:type="pct" w:w="35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shared_utils.js — used by every other stand-in</w:t>
            </w:r>
          </w:p>
        </w:tc>
      </w:tr>
      <w:tr>
        <w:tc>
          <w:tcPr>
            <w:tcW w:type="pct" w:w="30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API layer</w:t>
            </w:r>
          </w:p>
        </w:tc>
        <w:tc>
          <w:tcPr>
            <w:tcW w:type="pct" w:w="35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New promotion-uplift endpoint/function</w:t>
            </w:r>
          </w:p>
        </w:tc>
        <w:tc>
          <w:tcPr>
            <w:tcW w:type="pct" w:w="35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Any existing forecast endpoint and its response contract</w:t>
            </w:r>
          </w:p>
        </w:tc>
      </w:tr>
      <w:tr>
        <w:tc>
          <w:tcPr>
            <w:tcW w:type="pct" w:w="30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Tests</w:t>
            </w:r>
          </w:p>
        </w:tc>
        <w:tc>
          <w:tcPr>
            <w:tcW w:type="pct" w:w="35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New tests for your new module</w:t>
            </w:r>
          </w:p>
        </w:tc>
        <w:tc>
          <w:tcPr>
            <w:tcW w:type="pct" w:w="35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Your Day 2 regression tests — must stay green throughout</w:t>
            </w:r>
          </w:p>
        </w:tc>
      </w:tr>
    </w:tbl>
    <w:p>
      <w:pPr>
        <w:spacing w:before="140"/>
      </w:pPr>
    </w:p>
    <w:p>
      <w:pPr>
        <w:pBdr>
          <w:left w:val="single" w:color="2B2B2B" w:sz="18"/>
        </w:pBdr>
        <w:shd w:fill="F2F2F2" w:color="auto" w:val="clear"/>
        <w:spacing w:after="160" w:before="80"/>
      </w:pPr>
      <w:r>
        <w:rPr>
          <w:rFonts w:ascii="Calibri" w:cs="Calibri" w:eastAsia="Calibri" w:hAnsi="Calibri"/>
          <w:b/>
          <w:bCs/>
          <w:color w:val="2B2B2B"/>
          <w:sz w:val="19"/>
          <w:szCs w:val="19"/>
        </w:rPr>
        <w:t xml:space="preserve">Capstone Gate:  </w:t>
      </w:r>
      <w:r>
        <w:rPr>
          <w:rFonts w:ascii="Calibri" w:cs="Calibri" w:eastAsia="Calibri" w:hAnsi="Calibri"/>
          <w:color w:val="000000"/>
          <w:sz w:val="19"/>
          <w:szCs w:val="19"/>
        </w:rPr>
        <w:t xml:space="preserve">Your final review is judged first on whether a diff shows zero changes to the locked stand-ins, and second on whether the feature works. A working feature that touched a locked file fails the capstone.</w:t>
      </w:r>
    </w:p>
    <w:p>
      <w:r>
        <w:br w:type="page"/>
      </w:r>
    </w:p>
    <w:p>
      <w:pPr>
        <w:pStyle w:val="Heading1"/>
        <w:pBdr>
          <w:bottom w:val="single" w:color="2B2B2B" w:sz="6" w:space="4"/>
        </w:pBdr>
        <w:spacing w:after="120" w:before="240"/>
      </w:pPr>
      <w:r>
        <w:rPr>
          <w:rFonts w:ascii="Calibri" w:cs="Calibri" w:eastAsia="Calibri" w:hAnsi="Calibri"/>
          <w:b/>
          <w:bCs/>
          <w:color w:val="0D0D0D"/>
          <w:sz w:val="32"/>
          <w:szCs w:val="32"/>
        </w:rPr>
        <w:t xml:space="preserve">4. Deliverables — Mapped to Modules M1-M12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520"/>
        <w:gridCol w:w="5580"/>
      </w:tblGrid>
      <w:tr>
        <w:trPr>
          <w:tblHeader/>
        </w:trPr>
        <w:tc>
          <w:tcPr>
            <w:tcW w:type="pct" w:w="10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shd w:fill="2B2B2B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Module</w:t>
            </w:r>
          </w:p>
        </w:tc>
        <w:tc>
          <w:tcPr>
            <w:tcW w:type="pct" w:w="28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shd w:fill="2B2B2B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Artifact</w:t>
            </w:r>
          </w:p>
        </w:tc>
        <w:tc>
          <w:tcPr>
            <w:tcW w:type="pct" w:w="62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shd w:fill="2B2B2B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What "done" looks like</w:t>
            </w:r>
          </w:p>
        </w:tc>
      </w:tr>
      <w:tr>
        <w:tc>
          <w:tcPr>
            <w:tcW w:type="pct" w:w="10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M1</w:t>
            </w:r>
          </w:p>
        </w:tc>
        <w:tc>
          <w:tcPr>
            <w:tcW w:type="pct" w:w="28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AI Scope Statement</w:t>
            </w:r>
          </w:p>
        </w:tc>
        <w:tc>
          <w:tcPr>
            <w:tcW w:type="pct" w:w="62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Names promotion_uplift.js as in-scope; lists all 7 locked stand-ins explicitly</w:t>
            </w:r>
          </w:p>
        </w:tc>
      </w:tr>
      <w:tr>
        <w:tc>
          <w:tcPr>
            <w:tcW w:type="pct" w:w="10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M2</w:t>
            </w:r>
          </w:p>
        </w:tc>
        <w:tc>
          <w:tcPr>
            <w:tcW w:type="pct" w:w="28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.cursorrules</w:t>
            </w:r>
          </w:p>
        </w:tc>
        <w:tc>
          <w:tcPr>
            <w:tcW w:type="pct" w:w="62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NEVER_MODIFY section lists the 7 locked stand-ins; coding standards match your Day 2 conventions</w:t>
            </w:r>
          </w:p>
        </w:tc>
      </w:tr>
      <w:tr>
        <w:tc>
          <w:tcPr>
            <w:tcW w:type="pct" w:w="10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M3</w:t>
            </w:r>
          </w:p>
        </w:tc>
        <w:tc>
          <w:tcPr>
            <w:tcW w:type="pct" w:w="28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Scoped prompts</w:t>
            </w:r>
          </w:p>
        </w:tc>
        <w:tc>
          <w:tcPr>
            <w:tcW w:type="pct" w:w="62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At least one context-scoped prompt used to generate the uplift logic, saved for review</w:t>
            </w:r>
          </w:p>
        </w:tc>
      </w:tr>
      <w:tr>
        <w:tc>
          <w:tcPr>
            <w:tcW w:type="pct" w:w="10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M4</w:t>
            </w:r>
          </w:p>
        </w:tc>
        <w:tc>
          <w:tcPr>
            <w:tcW w:type="pct" w:w="28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Codebase map</w:t>
            </w:r>
          </w:p>
        </w:tc>
        <w:tc>
          <w:tcPr>
            <w:tcW w:type="pct" w:w="62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One-paragraph note on how your baseline forecast stand-in's output is structured, written before you call it</w:t>
            </w:r>
          </w:p>
        </w:tc>
      </w:tr>
      <w:tr>
        <w:tc>
          <w:tcPr>
            <w:tcW w:type="pct" w:w="10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M5-M6</w:t>
            </w:r>
          </w:p>
        </w:tc>
        <w:tc>
          <w:tcPr>
            <w:tcW w:type="pct" w:w="28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Generated + refactored code</w:t>
            </w:r>
          </w:p>
        </w:tc>
        <w:tc>
          <w:tcPr>
            <w:tcW w:type="pct" w:w="62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Uplift module passes a quality check; no duplication of shared-utils logic</w:t>
            </w:r>
          </w:p>
        </w:tc>
      </w:tr>
      <w:tr>
        <w:tc>
          <w:tcPr>
            <w:tcW w:type="pct" w:w="10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M7</w:t>
            </w:r>
          </w:p>
        </w:tc>
        <w:tc>
          <w:tcPr>
            <w:tcW w:type="pct" w:w="28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Test suite</w:t>
            </w:r>
          </w:p>
        </w:tc>
        <w:tc>
          <w:tcPr>
            <w:tcW w:type="pct" w:w="62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New tests for the uplift module at a reasonable coverage level; Day 2 regression tests still green</w:t>
            </w:r>
          </w:p>
        </w:tc>
      </w:tr>
      <w:tr>
        <w:tc>
          <w:tcPr>
            <w:tcW w:type="pct" w:w="10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M8</w:t>
            </w:r>
          </w:p>
        </w:tc>
        <w:tc>
          <w:tcPr>
            <w:tcW w:type="pct" w:w="28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Multi-file diff review</w:t>
            </w:r>
          </w:p>
        </w:tc>
        <w:tc>
          <w:tcPr>
            <w:tcW w:type="pct" w:w="62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If Composer touched anything outside scope, it's flagged and reverted before commit</w:t>
            </w:r>
          </w:p>
        </w:tc>
      </w:tr>
      <w:tr>
        <w:tc>
          <w:tcPr>
            <w:tcW w:type="pct" w:w="10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M10</w:t>
            </w:r>
          </w:p>
        </w:tc>
        <w:tc>
          <w:tcPr>
            <w:tcW w:type="pct" w:w="28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EDD evidence</w:t>
            </w:r>
          </w:p>
        </w:tc>
        <w:tc>
          <w:tcPr>
            <w:tcW w:type="pct" w:w="62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Tests for the uplift module were written before the implementation — show the commit order</w:t>
            </w:r>
          </w:p>
        </w:tc>
      </w:tr>
      <w:tr>
        <w:tc>
          <w:tcPr>
            <w:tcW w:type="pct" w:w="10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M11</w:t>
            </w:r>
          </w:p>
        </w:tc>
        <w:tc>
          <w:tcPr>
            <w:tcW w:type="pct" w:w="28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CI gate run (.github/workflows/ci.yml)</w:t>
            </w:r>
          </w:p>
        </w:tc>
        <w:tc>
          <w:tcPr>
            <w:tcW w:type="pct" w:w="62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Pipeline run (ESLint lint -&gt; Jest tests -&gt; regression -&gt; diff gate) attached, green</w:t>
            </w:r>
          </w:p>
        </w:tc>
      </w:tr>
      <w:tr>
        <w:tc>
          <w:tcPr>
            <w:tcW w:type="pct" w:w="10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M12</w:t>
            </w:r>
          </w:p>
        </w:tc>
        <w:tc>
          <w:tcPr>
            <w:tcW w:type="pct" w:w="28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CoP entry</w:t>
            </w:r>
          </w:p>
        </w:tc>
        <w:tc>
          <w:tcPr>
            <w:tcW w:type="pct" w:w="62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One entry: a decision, trade-off, or near-miss from building this, written for a teammate to learn from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B2B2B" w:sz="6" w:space="4"/>
        </w:pBdr>
        <w:spacing w:after="120" w:before="240"/>
      </w:pPr>
      <w:r>
        <w:rPr>
          <w:rFonts w:ascii="Calibri" w:cs="Calibri" w:eastAsia="Calibri" w:hAnsi="Calibri"/>
          <w:b/>
          <w:bCs/>
          <w:color w:val="0D0D0D"/>
          <w:sz w:val="32"/>
          <w:szCs w:val="32"/>
        </w:rPr>
        <w:t xml:space="preserve">5. Suggested Build Order (2.5 hours)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2B2B2B"/>
          <w:sz w:val="20"/>
          <w:szCs w:val="20"/>
        </w:rPr>
        <w:t xml:space="preserve">0:00 – 0:15. </w:t>
      </w:r>
      <w:r>
        <w:rPr>
          <w:rFonts w:ascii="Calibri" w:cs="Calibri" w:eastAsia="Calibri" w:hAnsi="Calibri"/>
          <w:color w:val="000000"/>
          <w:sz w:val="20"/>
          <w:szCs w:val="20"/>
        </w:rPr>
        <w:t xml:space="preserve">Confirm your 7 starter stand-ins from Day 2 still exist and pass a smoke test; write the AI Scope Statement and .cursorrules NEVER_MODIFY section.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2B2B2B"/>
          <w:sz w:val="20"/>
          <w:szCs w:val="20"/>
        </w:rPr>
        <w:t xml:space="preserve">0:15 – 0:30. </w:t>
      </w:r>
      <w:r>
        <w:rPr>
          <w:rFonts w:ascii="Calibri" w:cs="Calibri" w:eastAsia="Calibri" w:hAnsi="Calibri"/>
          <w:color w:val="000000"/>
          <w:sz w:val="20"/>
          <w:szCs w:val="20"/>
        </w:rPr>
        <w:t xml:space="preserve">Read your baseline forecast stand-in's output contract and your data-ingestion stand-in's schema using Cursor's codebase/context tools. Do not generate code yet.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2B2B2B"/>
          <w:sz w:val="20"/>
          <w:szCs w:val="20"/>
        </w:rPr>
        <w:t xml:space="preserve">0:30 – 0:45. </w:t>
      </w:r>
      <w:r>
        <w:rPr>
          <w:rFonts w:ascii="Calibri" w:cs="Calibri" w:eastAsia="Calibri" w:hAnsi="Calibri"/>
          <w:color w:val="000000"/>
          <w:sz w:val="20"/>
          <w:szCs w:val="20"/>
        </w:rPr>
        <w:t xml:space="preserve">Write pass/fail criteria and tests for promotion_uplift.js first (EDD) — before implementation.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2B2B2B"/>
          <w:sz w:val="20"/>
          <w:szCs w:val="20"/>
        </w:rPr>
        <w:t xml:space="preserve">0:45 – 1:30. </w:t>
      </w:r>
      <w:r>
        <w:rPr>
          <w:rFonts w:ascii="Calibri" w:cs="Calibri" w:eastAsia="Calibri" w:hAnsi="Calibri"/>
          <w:color w:val="000000"/>
          <w:sz w:val="20"/>
          <w:szCs w:val="20"/>
        </w:rPr>
        <w:t xml:space="preserve">Use Composer to build the module and its entry point against those tests.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2B2B2B"/>
          <w:sz w:val="20"/>
          <w:szCs w:val="20"/>
        </w:rPr>
        <w:t xml:space="preserve">1:30 – 1:50. </w:t>
      </w:r>
      <w:r>
        <w:rPr>
          <w:rFonts w:ascii="Calibri" w:cs="Calibri" w:eastAsia="Calibri" w:hAnsi="Calibri"/>
          <w:color w:val="000000"/>
          <w:sz w:val="20"/>
          <w:szCs w:val="20"/>
        </w:rPr>
        <w:t xml:space="preserve">Run a quality check, fix edge cases (zero sales history, missing store cluster, etc.).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2B2B2B"/>
          <w:sz w:val="20"/>
          <w:szCs w:val="20"/>
        </w:rPr>
        <w:t xml:space="preserve">1:50 – 2:10. </w:t>
      </w:r>
      <w:r>
        <w:rPr>
          <w:rFonts w:ascii="Calibri" w:cs="Calibri" w:eastAsia="Calibri" w:hAnsi="Calibri"/>
          <w:color w:val="000000"/>
          <w:sz w:val="20"/>
          <w:szCs w:val="20"/>
        </w:rPr>
        <w:t xml:space="preserve">Diff against your Day 2 baseline — confirm zero changes to the 7 locked stand-ins. Run the full regression suite.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2B2B2B"/>
          <w:sz w:val="20"/>
          <w:szCs w:val="20"/>
        </w:rPr>
        <w:t xml:space="preserve">2:10 – 2:30. </w:t>
      </w:r>
      <w:r>
        <w:rPr>
          <w:rFonts w:ascii="Calibri" w:cs="Calibri" w:eastAsia="Calibri" w:hAnsi="Calibri"/>
          <w:color w:val="000000"/>
          <w:sz w:val="20"/>
          <w:szCs w:val="20"/>
        </w:rPr>
        <w:t xml:space="preserve">Write the CoP entry; prep a 2-minute walkthrough for Day 5's demo.</w:t>
      </w:r>
    </w:p>
    <w:p>
      <w:pPr>
        <w:pStyle w:val="Heading1"/>
        <w:pBdr>
          <w:bottom w:val="single" w:color="2B2B2B" w:sz="6" w:space="4"/>
        </w:pBdr>
        <w:spacing w:after="120" w:before="240"/>
      </w:pPr>
      <w:r>
        <w:rPr>
          <w:rFonts w:ascii="Calibri" w:cs="Calibri" w:eastAsia="Calibri" w:hAnsi="Calibri"/>
          <w:b/>
          <w:bCs/>
          <w:color w:val="0D0D0D"/>
          <w:sz w:val="32"/>
          <w:szCs w:val="32"/>
        </w:rPr>
        <w:t xml:space="preserve">6. Day 5 Demo — What You'll Be Asked to Show</w:t>
      </w:r>
    </w:p>
    <w:p>
      <w:pPr>
        <w:spacing w:after="50"/>
        <w:ind w:left="200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—  A 2-minute live walkthrough: call the new function/endpoint and show a real output.</w:t>
      </w:r>
    </w:p>
    <w:p>
      <w:pPr>
        <w:spacing w:after="50"/>
        <w:ind w:left="200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—  A diff proving the 7 locked stand-ins are untouched.</w:t>
      </w:r>
    </w:p>
    <w:p>
      <w:pPr>
        <w:spacing w:after="50"/>
        <w:ind w:left="200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—  Your AI Scope Statement and .cursorrules NEVER_MODIFY section.</w:t>
      </w:r>
    </w:p>
    <w:p>
      <w:pPr>
        <w:spacing w:after="50"/>
        <w:ind w:left="200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—  Test coverage and the CI pipeline run, including the diff gate step.</w:t>
      </w:r>
    </w:p>
    <w:p>
      <w:pPr>
        <w:spacing w:after="50"/>
        <w:ind w:left="200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—  Your CoP entry — one real decision or trade-off from the build.</w:t>
      </w:r>
    </w:p>
    <w:p>
      <w:pPr>
        <w:spacing w:before="140"/>
      </w:pPr>
    </w:p>
    <w:p>
      <w:pPr>
        <w:pBdr>
          <w:left w:val="single" w:color="2B2B2B" w:sz="18"/>
        </w:pBdr>
        <w:shd w:fill="F2F2F2" w:color="auto" w:val="clear"/>
        <w:spacing w:after="160" w:before="80"/>
      </w:pPr>
      <w:r>
        <w:rPr>
          <w:rFonts w:ascii="Calibri" w:cs="Calibri" w:eastAsia="Calibri" w:hAnsi="Calibri"/>
          <w:b/>
          <w:bCs/>
          <w:color w:val="2B2B2B"/>
          <w:sz w:val="19"/>
          <w:szCs w:val="19"/>
        </w:rPr>
        <w:t xml:space="preserve">Note:  </w:t>
      </w:r>
      <w:r>
        <w:rPr>
          <w:rFonts w:ascii="Calibri" w:cs="Calibri" w:eastAsia="Calibri" w:hAnsi="Calibri"/>
          <w:color w:val="000000"/>
          <w:sz w:val="19"/>
          <w:szCs w:val="19"/>
        </w:rPr>
        <w:t xml:space="preserve">This scenario is a synthetic stand-in for Tredence-style Retail/CPG analytics work. If your cohort's actual stack or vertical differs, swap the feature and stub names in Sections 2-3 — the AIDLC structure in Section 4 stays the same regardless of language.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95959"/>
        <w:sz w:val="15"/>
        <w:szCs w:val="15"/>
      </w:rPr>
      <w:t xml:space="preserve">U-Next Cursor Training  |  Page </w:t>
    </w:r>
    <w:r>
      <w:rPr>
        <w:rFonts w:ascii="Calibri" w:cs="Calibri" w:eastAsia="Calibri" w:hAnsi="Calibri"/>
        <w:color w:val="595959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95959"/>
        <w:sz w:val="15"/>
        <w:szCs w:val="15"/>
      </w:rPr>
      <w:t xml:space="preserve"> of </w:t>
    </w:r>
    <w:r>
      <w:rPr>
        <w:rFonts w:ascii="Calibri" w:cs="Calibri" w:eastAsia="Calibri" w:hAnsi="Calibri"/>
        <w:color w:val="595959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9D9D9" w:sz="4"/>
      </w:pBdr>
      <w:jc w:val="right"/>
    </w:pPr>
    <w:r>
      <w:rPr>
        <w:rFonts w:ascii="Calibri" w:cs="Calibri" w:eastAsia="Calibri" w:hAnsi="Calibri"/>
        <w:color w:val="595959"/>
        <w:sz w:val="15"/>
        <w:szCs w:val="15"/>
      </w:rPr>
      <w:t xml:space="preserve">Cursor Track · DAY 4 · Capstone Brief (Node.js)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000000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2026-08-18T04:43:56.615Z</dcterms:created>
  <dcterms:modified xsi:type="dcterms:W3CDTF">2026-08-18T04:43:56.615Z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