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Cloud Architecture Standard</w:t>
      </w:r>
    </w:p>
    <w:p>
      <w:r>
        <w:rPr>
          <w:b/>
          <w:sz w:val="22"/>
        </w:rPr>
        <w:t>Northstar Technologies Pvt. Ltd.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7EEF8"/>
            <w:vAlign w:val="center"/>
          </w:tcPr>
          <w:p>
            <w:r/>
            <w:r>
              <w:rPr>
                <w:b/>
                <w:sz w:val="18"/>
              </w:rPr>
              <w:t>Document Owner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Enterprise Architecture</w:t>
            </w:r>
          </w:p>
        </w:tc>
      </w:tr>
      <w:tr>
        <w:tc>
          <w:tcPr>
            <w:tcW w:type="dxa" w:w="5040"/>
            <w:shd w:fill="E7EEF8"/>
            <w:vAlign w:val="center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2.4</w:t>
            </w:r>
          </w:p>
        </w:tc>
      </w:tr>
      <w:tr>
        <w:tc>
          <w:tcPr>
            <w:tcW w:type="dxa" w:w="5040"/>
            <w:shd w:fill="E7EEF8"/>
            <w:vAlign w:val="center"/>
          </w:tcPr>
          <w:p>
            <w:r/>
            <w:r>
              <w:rPr>
                <w:b/>
                <w:sz w:val="18"/>
              </w:rPr>
              <w:t>Classification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Internal</w:t>
            </w:r>
          </w:p>
        </w:tc>
      </w:tr>
      <w:tr>
        <w:tc>
          <w:tcPr>
            <w:tcW w:type="dxa" w:w="5040"/>
            <w:shd w:fill="E7EEF8"/>
            <w:vAlign w:val="center"/>
          </w:tcPr>
          <w:p>
            <w:r/>
            <w:r>
              <w:rPr>
                <w:b/>
                <w:sz w:val="18"/>
              </w:rPr>
              <w:t>Effective Date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15 June 2026</w:t>
            </w:r>
          </w:p>
        </w:tc>
      </w:tr>
      <w:tr>
        <w:tc>
          <w:tcPr>
            <w:tcW w:type="dxa" w:w="5040"/>
            <w:shd w:fill="E7EEF8"/>
            <w:vAlign w:val="center"/>
          </w:tcPr>
          <w:p>
            <w:r/>
            <w:r>
              <w:rPr>
                <w:b/>
                <w:sz w:val="18"/>
              </w:rPr>
              <w:t>Document Type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Enterprise policy / standard / procedure</w:t>
            </w:r>
          </w:p>
        </w:tc>
      </w:tr>
    </w:tbl>
    <w:p/>
    <w:p>
      <w:pPr>
        <w:pStyle w:val="Heading1"/>
      </w:pPr>
      <w:r>
        <w:t>1. Purpose</w:t>
      </w:r>
    </w:p>
    <w:p>
      <w:pPr>
        <w:spacing w:after="100" w:line="259" w:lineRule="auto"/>
      </w:pPr>
      <w:r>
        <w:t>This standard defines the minimum architectural requirements for applications deployed to public cloud environments.</w:t>
      </w:r>
    </w:p>
    <w:p>
      <w:pPr>
        <w:spacing w:after="100" w:line="259" w:lineRule="auto"/>
      </w:pPr>
      <w:r>
        <w:t>The standard applies to production workloads hosted on Microsoft Azure or Amazon Web Services.</w:t>
      </w:r>
    </w:p>
    <w:p>
      <w:pPr>
        <w:pStyle w:val="Heading1"/>
      </w:pPr>
      <w:r>
        <w:t>2. Network Architecture</w:t>
      </w:r>
    </w:p>
    <w:p>
      <w:pPr>
        <w:spacing w:after="100" w:line="259" w:lineRule="auto"/>
      </w:pPr>
      <w:r>
        <w:t>Production workloads must not expose databases directly to the public internet.</w:t>
      </w:r>
    </w:p>
    <w:p>
      <w:pPr>
        <w:spacing w:after="100" w:line="259" w:lineRule="auto"/>
      </w:pPr>
      <w:r>
        <w:t>Application components should be deployed into private network segments whenever practical.</w:t>
      </w:r>
    </w:p>
    <w:p>
      <w:pPr>
        <w:spacing w:after="100" w:line="259" w:lineRule="auto"/>
      </w:pPr>
      <w:r>
        <w:t>Internet-facing applications must route inbound traffic through approved gateway services such as Azure Application Gateway, Azure Front Door, AWS Application Load Balancer, or AWS API Gateway.</w:t>
      </w:r>
    </w:p>
    <w:p>
      <w:pPr>
        <w:spacing w:after="100" w:line="259" w:lineRule="auto"/>
      </w:pPr>
      <w:r>
        <w:t>Administrative ports such as SSH and RDP must not be publicly accessible.</w:t>
      </w:r>
    </w:p>
    <w:p>
      <w:pPr>
        <w:pStyle w:val="Heading1"/>
      </w:pPr>
      <w:r>
        <w:t>3. Identity and Access Management</w:t>
      </w:r>
    </w:p>
    <w:p>
      <w:pPr>
        <w:spacing w:after="100" w:line="259" w:lineRule="auto"/>
      </w:pPr>
      <w:r>
        <w:t>Applications must use centralized identity-management services.</w:t>
      </w:r>
    </w:p>
    <w:p>
      <w:pPr>
        <w:spacing w:after="100" w:line="259" w:lineRule="auto"/>
      </w:pPr>
      <w:r>
        <w:t>Human users should authenticate through the corporate identity provider.</w:t>
      </w:r>
    </w:p>
    <w:p>
      <w:pPr>
        <w:spacing w:after="100" w:line="259" w:lineRule="auto"/>
      </w:pPr>
      <w:r>
        <w:t>Service-to-service authentication should use managed identities, workload identities, service principals, or equivalent short-lived credentials.</w:t>
      </w:r>
    </w:p>
    <w:p>
      <w:pPr>
        <w:spacing w:after="100" w:line="259" w:lineRule="auto"/>
      </w:pPr>
      <w:r>
        <w:t>Applications must not store cloud-access keys directly in source code. Access must follow the principle of least privilege.</w:t>
      </w:r>
    </w:p>
    <w:p>
      <w:pPr>
        <w:pStyle w:val="Heading1"/>
      </w:pPr>
      <w:r>
        <w:t>4. Secrets Management</w:t>
      </w:r>
    </w:p>
    <w:p>
      <w:pPr>
        <w:spacing w:after="100" w:line="259" w:lineRule="auto"/>
      </w:pPr>
      <w:r>
        <w:t>Passwords, API keys, certificates, and connection strings must be stored in approved secret-management services such as Azure Key Vault or AWS Secrets Manager.</w:t>
      </w:r>
    </w:p>
    <w:p>
      <w:pPr>
        <w:pStyle w:val="ListBullet"/>
        <w:spacing w:after="40"/>
      </w:pPr>
      <w:r>
        <w:t>Secrets must not be stored in source-code repositories.</w:t>
      </w:r>
    </w:p>
    <w:p>
      <w:pPr>
        <w:pStyle w:val="ListBullet"/>
        <w:spacing w:after="40"/>
      </w:pPr>
      <w:r>
        <w:t>Secrets must not be stored in application configuration files committed to Git.</w:t>
      </w:r>
    </w:p>
    <w:p>
      <w:pPr>
        <w:pStyle w:val="ListBullet"/>
        <w:spacing w:after="40"/>
      </w:pPr>
      <w:r>
        <w:t>Secrets must not be embedded in container images, wiki pages, or shared spreadsheets.</w:t>
      </w:r>
    </w:p>
    <w:p>
      <w:pPr>
        <w:pStyle w:val="ListBullet"/>
        <w:spacing w:after="40"/>
      </w:pPr>
      <w:r>
        <w:t>Secrets should be rotated regularly.</w:t>
      </w:r>
    </w:p>
    <w:p>
      <w:pPr>
        <w:pStyle w:val="Heading1"/>
      </w:pPr>
      <w:r>
        <w:t>5. Data Storage</w:t>
      </w:r>
    </w:p>
    <w:p>
      <w:pPr>
        <w:spacing w:after="100" w:line="259" w:lineRule="auto"/>
      </w:pPr>
      <w:r>
        <w:t>Data must be encrypted both in transit and at rest.</w:t>
      </w:r>
    </w:p>
    <w:p>
      <w:pPr>
        <w:spacing w:after="100" w:line="259" w:lineRule="auto"/>
      </w:pPr>
      <w:r>
        <w:t>Production databases must use encryption provided by the cloud platform or approved customer-managed encryption keys.</w:t>
      </w:r>
    </w:p>
    <w:p>
      <w:pPr>
        <w:spacing w:after="100" w:line="259" w:lineRule="auto"/>
      </w:pPr>
      <w:r>
        <w:t>Backup policies must be defined according to the application recovery objectives.</w:t>
      </w:r>
    </w:p>
    <w:p>
      <w:pPr>
        <w:spacing w:after="100" w:line="259" w:lineRule="auto"/>
      </w:pPr>
      <w:r>
        <w:t>Sensitive data must not be copied into development or test environments unless appropriately masked.</w:t>
      </w:r>
    </w:p>
    <w:p>
      <w:pPr>
        <w:pStyle w:val="Heading1"/>
      </w:pPr>
      <w:r>
        <w:t>6. Availability</w:t>
      </w:r>
    </w:p>
    <w:p>
      <w:pPr>
        <w:spacing w:after="100" w:line="259" w:lineRule="auto"/>
      </w:pPr>
      <w:r>
        <w:t>Business-critical applications should avoid single points of failure.</w:t>
      </w:r>
    </w:p>
    <w:p>
      <w:pPr>
        <w:spacing w:after="100" w:line="259" w:lineRule="auto"/>
      </w:pPr>
      <w:r>
        <w:t>Production solutions should use multiple availability zones where supported and commercially justified.</w:t>
      </w:r>
    </w:p>
    <w:p>
      <w:pPr>
        <w:pStyle w:val="ListBullet"/>
        <w:spacing w:after="40"/>
      </w:pPr>
      <w:r>
        <w:t>Architects must document the Recovery Time Objective (RTO).</w:t>
      </w:r>
    </w:p>
    <w:p>
      <w:pPr>
        <w:pStyle w:val="ListBullet"/>
        <w:spacing w:after="40"/>
      </w:pPr>
      <w:r>
        <w:t>Architects must document the Recovery Point Objective (RPO).</w:t>
      </w:r>
    </w:p>
    <w:p>
      <w:pPr>
        <w:pStyle w:val="ListBullet"/>
        <w:spacing w:after="40"/>
      </w:pPr>
      <w:r>
        <w:t>Architects must document backup and disaster-recovery strategies.</w:t>
      </w:r>
    </w:p>
    <w:p>
      <w:pPr>
        <w:pStyle w:val="Heading1"/>
      </w:pPr>
      <w:r>
        <w:t>7. Observability</w:t>
      </w:r>
    </w:p>
    <w:p>
      <w:pPr>
        <w:spacing w:after="100" w:line="259" w:lineRule="auto"/>
      </w:pPr>
      <w:r>
        <w:t>Production applications must generate application logs, infrastructure logs, security logs, performance metrics, and health metrics.</w:t>
      </w:r>
    </w:p>
    <w:p>
      <w:pPr>
        <w:spacing w:after="100" w:line="259" w:lineRule="auto"/>
      </w:pPr>
      <w:r>
        <w:t>Logs must be forwarded to the approved enterprise monitoring platform. Critical services must define alert thresholds and operational dashboards.</w:t>
      </w:r>
    </w:p>
    <w:p>
      <w:pPr>
        <w:pStyle w:val="Heading1"/>
      </w:pPr>
      <w:r>
        <w:t>8. Architecture Review</w:t>
      </w:r>
    </w:p>
    <w:p>
      <w:pPr>
        <w:spacing w:after="100" w:line="259" w:lineRule="auto"/>
      </w:pPr>
      <w:r>
        <w:t>New production systems and major architectural changes require architecture review before deployment.</w:t>
      </w:r>
    </w:p>
    <w:p>
      <w:pPr>
        <w:spacing w:after="100" w:line="259" w:lineRule="auto"/>
      </w:pPr>
      <w:r>
        <w:t>The review should validate security, scalability, resilience, cost, operability, data management, and compliance.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sz w:val="16"/>
      </w:rPr>
      <w:t>Fictional document created for semantic-search and RAG learning.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sz w:val="16"/>
      </w:rPr>
      <w:t>Northstar Technologies Pvt. Ltd. | Internal Knowledge Base Sample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