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Third-Party Vendor Onboarding Process</w:t>
      </w:r>
    </w:p>
    <w:p>
      <w:r>
        <w:rPr>
          <w:b/>
          <w:sz w:val="22"/>
        </w:rPr>
        <w:t>Northstar Technologies Pvt. Ltd.</w:t>
      </w:r>
    </w:p>
    <w:tbl>
      <w:tblPr>
        <w:tblStyle w:val="TableGrid"/>
        <w:tblW w:type="auto" w:w="0"/>
        <w:jc w:val="left"/>
        <w:tblLook w:firstColumn="1" w:firstRow="1" w:lastColumn="0" w:lastRow="0" w:noHBand="0" w:noVBand="1" w:val="04A0"/>
      </w:tblPr>
      <w:tblGrid>
        <w:gridCol w:w="5040"/>
        <w:gridCol w:w="5040"/>
      </w:tblGrid>
      <w:tr>
        <w:tc>
          <w:tcPr>
            <w:tcW w:type="dxa" w:w="5040"/>
            <w:shd w:fill="E7EEF8"/>
            <w:vAlign w:val="center"/>
          </w:tcPr>
          <w:p>
            <w:r/>
            <w:r>
              <w:rPr>
                <w:b/>
                <w:sz w:val="18"/>
              </w:rPr>
              <w:t>Document Owner</w:t>
            </w:r>
          </w:p>
        </w:tc>
        <w:tc>
          <w:tcPr>
            <w:tcW w:type="dxa" w:w="5040"/>
          </w:tcPr>
          <w:p>
            <w:r/>
            <w:r>
              <w:rPr>
                <w:b w:val="0"/>
                <w:sz w:val="18"/>
              </w:rPr>
              <w:t>Procurement and Third-Party Risk Management</w:t>
            </w:r>
          </w:p>
        </w:tc>
      </w:tr>
      <w:tr>
        <w:tc>
          <w:tcPr>
            <w:tcW w:type="dxa" w:w="5040"/>
            <w:shd w:fill="E7EEF8"/>
            <w:vAlign w:val="center"/>
          </w:tcPr>
          <w:p>
            <w:r/>
            <w:r>
              <w:rPr>
                <w:b/>
                <w:sz w:val="18"/>
              </w:rPr>
              <w:t>Version</w:t>
            </w:r>
          </w:p>
        </w:tc>
        <w:tc>
          <w:tcPr>
            <w:tcW w:type="dxa" w:w="5040"/>
          </w:tcPr>
          <w:p>
            <w:r/>
            <w:r>
              <w:rPr>
                <w:b w:val="0"/>
                <w:sz w:val="18"/>
              </w:rPr>
              <w:t>3.0</w:t>
            </w:r>
          </w:p>
        </w:tc>
      </w:tr>
      <w:tr>
        <w:tc>
          <w:tcPr>
            <w:tcW w:type="dxa" w:w="5040"/>
            <w:shd w:fill="E7EEF8"/>
            <w:vAlign w:val="center"/>
          </w:tcPr>
          <w:p>
            <w:r/>
            <w:r>
              <w:rPr>
                <w:b/>
                <w:sz w:val="18"/>
              </w:rPr>
              <w:t>Classification</w:t>
            </w:r>
          </w:p>
        </w:tc>
        <w:tc>
          <w:tcPr>
            <w:tcW w:type="dxa" w:w="5040"/>
          </w:tcPr>
          <w:p>
            <w:r/>
            <w:r>
              <w:rPr>
                <w:b w:val="0"/>
                <w:sz w:val="18"/>
              </w:rPr>
              <w:t>Internal</w:t>
            </w:r>
          </w:p>
        </w:tc>
      </w:tr>
      <w:tr>
        <w:tc>
          <w:tcPr>
            <w:tcW w:type="dxa" w:w="5040"/>
            <w:shd w:fill="E7EEF8"/>
            <w:vAlign w:val="center"/>
          </w:tcPr>
          <w:p>
            <w:r/>
            <w:r>
              <w:rPr>
                <w:b/>
                <w:sz w:val="18"/>
              </w:rPr>
              <w:t>Effective Date</w:t>
            </w:r>
          </w:p>
        </w:tc>
        <w:tc>
          <w:tcPr>
            <w:tcW w:type="dxa" w:w="5040"/>
          </w:tcPr>
          <w:p>
            <w:r/>
            <w:r>
              <w:rPr>
                <w:b w:val="0"/>
                <w:sz w:val="18"/>
              </w:rPr>
              <w:t>10 August 2026</w:t>
            </w:r>
          </w:p>
        </w:tc>
      </w:tr>
      <w:tr>
        <w:tc>
          <w:tcPr>
            <w:tcW w:type="dxa" w:w="5040"/>
            <w:shd w:fill="E7EEF8"/>
            <w:vAlign w:val="center"/>
          </w:tcPr>
          <w:p>
            <w:r/>
            <w:r>
              <w:rPr>
                <w:b/>
                <w:sz w:val="18"/>
              </w:rPr>
              <w:t>Document Type</w:t>
            </w:r>
          </w:p>
        </w:tc>
        <w:tc>
          <w:tcPr>
            <w:tcW w:type="dxa" w:w="5040"/>
          </w:tcPr>
          <w:p>
            <w:r/>
            <w:r>
              <w:rPr>
                <w:b w:val="0"/>
                <w:sz w:val="18"/>
              </w:rPr>
              <w:t>Enterprise policy / standard / procedure</w:t>
            </w:r>
          </w:p>
        </w:tc>
      </w:tr>
    </w:tbl>
    <w:p/>
    <w:p>
      <w:pPr>
        <w:pStyle w:val="Heading1"/>
      </w:pPr>
      <w:r>
        <w:t>1. Purpose</w:t>
      </w:r>
    </w:p>
    <w:p>
      <w:pPr>
        <w:spacing w:after="100" w:line="259" w:lineRule="auto"/>
      </w:pPr>
      <w:r>
        <w:t>This procedure defines the minimum steps required before a new third-party vendor can provide technology, software, consulting, or data-processing services.</w:t>
      </w:r>
    </w:p>
    <w:p>
      <w:pPr>
        <w:pStyle w:val="Heading1"/>
      </w:pPr>
      <w:r>
        <w:t>2. Business Sponsorship</w:t>
      </w:r>
    </w:p>
    <w:p>
      <w:pPr>
        <w:spacing w:after="100" w:line="259" w:lineRule="auto"/>
      </w:pPr>
      <w:r>
        <w:t>Every vendor must have an internal business sponsor.</w:t>
      </w:r>
    </w:p>
    <w:p>
      <w:pPr>
        <w:pStyle w:val="ListBullet"/>
        <w:spacing w:after="40"/>
      </w:pPr>
      <w:r>
        <w:t>The sponsor must document the business requirement and expected service.</w:t>
      </w:r>
    </w:p>
    <w:p>
      <w:pPr>
        <w:pStyle w:val="ListBullet"/>
        <w:spacing w:after="40"/>
      </w:pPr>
      <w:r>
        <w:t>The sponsor must identify the business owner, estimated cost, data accessed by the vendor, and required system access.</w:t>
      </w:r>
    </w:p>
    <w:p>
      <w:pPr>
        <w:pStyle w:val="Heading1"/>
      </w:pPr>
      <w:r>
        <w:t>3. Procurement Review</w:t>
      </w:r>
    </w:p>
    <w:p>
      <w:pPr>
        <w:spacing w:after="100" w:line="259" w:lineRule="auto"/>
      </w:pPr>
      <w:r>
        <w:t>Procurement must review commercial terms before a contract is signed.</w:t>
      </w:r>
    </w:p>
    <w:p>
      <w:pPr>
        <w:pStyle w:val="ListBullet"/>
        <w:spacing w:after="40"/>
      </w:pPr>
      <w:r>
        <w:t>The review includes pricing and payment terms.</w:t>
      </w:r>
    </w:p>
    <w:p>
      <w:pPr>
        <w:pStyle w:val="ListBullet"/>
        <w:spacing w:after="40"/>
      </w:pPr>
      <w:r>
        <w:t>The review includes contract duration, renewal terms, termination rights, and service commitments.</w:t>
      </w:r>
    </w:p>
    <w:p>
      <w:pPr>
        <w:pStyle w:val="Heading1"/>
      </w:pPr>
      <w:r>
        <w:t>4. Security Assessment</w:t>
      </w:r>
    </w:p>
    <w:p>
      <w:pPr>
        <w:spacing w:after="100" w:line="259" w:lineRule="auto"/>
      </w:pPr>
      <w:r>
        <w:t>Vendors that access company systems, confidential information, personal data, or production environments require a security assessment.</w:t>
      </w:r>
    </w:p>
    <w:p>
      <w:pPr>
        <w:spacing w:after="100" w:line="259" w:lineRule="auto"/>
      </w:pPr>
      <w:r>
        <w:t>The assessment may cover information-security policies, access controls, encryption, vulnerability management, incident management, business continuity, and subcontractor controls.</w:t>
      </w:r>
    </w:p>
    <w:p>
      <w:pPr>
        <w:spacing w:after="100" w:line="259" w:lineRule="auto"/>
      </w:pPr>
      <w:r>
        <w:t>High-risk findings must be resolved or formally accepted before production access is granted.</w:t>
      </w:r>
    </w:p>
    <w:p>
      <w:pPr>
        <w:pStyle w:val="Heading1"/>
      </w:pPr>
      <w:r>
        <w:t>5. Privacy Review</w:t>
      </w:r>
    </w:p>
    <w:p>
      <w:pPr>
        <w:spacing w:after="100" w:line="259" w:lineRule="auto"/>
      </w:pPr>
      <w:r>
        <w:t>A privacy assessment is required when a vendor processes personal information.</w:t>
      </w:r>
    </w:p>
    <w:p>
      <w:pPr>
        <w:pStyle w:val="ListBullet"/>
        <w:spacing w:after="40"/>
      </w:pPr>
      <w:r>
        <w:t>The business sponsor must describe the types of personal data and data subjects.</w:t>
      </w:r>
    </w:p>
    <w:p>
      <w:pPr>
        <w:pStyle w:val="ListBullet"/>
        <w:spacing w:after="40"/>
      </w:pPr>
      <w:r>
        <w:t>The sponsor must document processing purpose, processing location, data-retention period, and cross-border transfers.</w:t>
      </w:r>
    </w:p>
    <w:p>
      <w:pPr>
        <w:pStyle w:val="Heading1"/>
      </w:pPr>
      <w:r>
        <w:t>6. Access Provisioning</w:t>
      </w:r>
    </w:p>
    <w:p>
      <w:pPr>
        <w:spacing w:after="100" w:line="259" w:lineRule="auto"/>
      </w:pPr>
      <w:r>
        <w:t>Vendor access must be granted only after required approvals are complete.</w:t>
      </w:r>
    </w:p>
    <w:p>
      <w:pPr>
        <w:spacing w:after="100" w:line="259" w:lineRule="auto"/>
      </w:pPr>
      <w:r>
        <w:t>Vendor accounts must be uniquely assigned, use multi-factor authentication where supported, follow least-privilege principles, and have an expiration date where appropriate.</w:t>
      </w:r>
    </w:p>
    <w:p>
      <w:pPr>
        <w:spacing w:after="100" w:line="259" w:lineRule="auto"/>
      </w:pPr>
      <w:r>
        <w:t>Shared vendor accounts should not be used unless specifically approved.</w:t>
      </w:r>
    </w:p>
    <w:p>
      <w:pPr>
        <w:pStyle w:val="Heading1"/>
      </w:pPr>
      <w:r>
        <w:t>7. Production Access</w:t>
      </w:r>
    </w:p>
    <w:p>
      <w:pPr>
        <w:spacing w:after="100" w:line="259" w:lineRule="auto"/>
      </w:pPr>
      <w:r>
        <w:t>Production access for vendors requires additional approval.</w:t>
      </w:r>
    </w:p>
    <w:p>
      <w:pPr>
        <w:spacing w:after="100" w:line="259" w:lineRule="auto"/>
      </w:pPr>
      <w:r>
        <w:t>Access should be time-bound, logged, reviewed periodically, and removed when no longer required.</w:t>
      </w:r>
    </w:p>
    <w:p>
      <w:pPr>
        <w:pStyle w:val="Heading1"/>
      </w:pPr>
      <w:r>
        <w:t>8. Offboarding</w:t>
      </w:r>
    </w:p>
    <w:p>
      <w:pPr>
        <w:spacing w:after="100" w:line="259" w:lineRule="auto"/>
      </w:pPr>
      <w:r>
        <w:t>When the vendor relationship ends, the business owner must ensure that user accounts are disabled, system access is removed, credentials are revoked, company data is returned or deleted as contractually required, and company equipment is returned.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Fictional document created for semantic-search and RAG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sz w:val="16"/>
      </w:rPr>
      <w:t>Northstar Technologies Pvt. Ltd. | Internal Knowledge Base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