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BD40E" w14:textId="3B4F575B" w:rsidR="00B540E8" w:rsidRDefault="00000000">
      <w:pPr>
        <w:pStyle w:val="Title"/>
        <w:pBdr>
          <w:bottom w:val="single" w:sz="8" w:space="15" w:color="4F81BD" w:themeColor="accent1"/>
        </w:pBdr>
        <w:jc w:val="center"/>
      </w:pPr>
      <w:r>
        <w:t>Service Principal for Azure Cost Data Retrieval</w:t>
      </w:r>
    </w:p>
    <w:p w14:paraId="724319D7" w14:textId="77777777" w:rsidR="00B540E8" w:rsidRDefault="00000000">
      <w:pPr>
        <w:pStyle w:val="Heading1"/>
      </w:pPr>
      <w:r>
        <w:t>1. Request Summary</w:t>
      </w:r>
    </w:p>
    <w:p w14:paraId="13433782" w14:textId="77777777" w:rsidR="00B540E8" w:rsidRDefault="00000000">
      <w:pPr>
        <w:spacing w:before="80" w:after="80"/>
      </w:pPr>
      <w:r>
        <w:t>We are requesting a service principal (a non-human application identity) with read-only permissions, so that we can read and extract Azure cost data for the Microsoft Sentinel and Log Analytics cost report. The main permission required is Cost Management Reader.</w:t>
      </w:r>
    </w:p>
    <w:p w14:paraId="14B52702" w14:textId="77777777" w:rsidR="00B540E8" w:rsidRDefault="00000000">
      <w:pPr>
        <w:spacing w:before="80" w:after="80"/>
      </w:pPr>
      <w:r>
        <w:t>Today the cost data is collected manually, and the cost calculation depends on inputs that change every month. Our research shows that the Azure Cost Management API returns cost in a combined form. The total cost is available, but the commitment tier charge and the overage charge are not clearly separated, and the daily benefit allowance (free data from Microsoft 365 and Defender licensing) is not visible in the daily response. Log Analytics and the other components are reported as separate lines, but the commitment tier and overage detail is not available at the level our calculation needs.</w:t>
      </w:r>
    </w:p>
    <w:p w14:paraId="04A634B9" w14:textId="77777777" w:rsidR="00B540E8" w:rsidRDefault="00000000">
      <w:pPr>
        <w:spacing w:before="80" w:after="80"/>
      </w:pPr>
      <w:r>
        <w:t>We cannot confirm how the data is structured without seeing a real response from the target environment, and we do not currently have access to retrieve it. Approving this service principal is therefore the first step. Once the identity and permissions are in place, we will call the APIs, inspect the returned data, and decide how the report calculation should be implemented.</w:t>
      </w:r>
    </w:p>
    <w:p w14:paraId="1EEC64D2" w14:textId="77777777" w:rsidR="00B540E8" w:rsidRDefault="00000000">
      <w:pPr>
        <w:pStyle w:val="Heading1"/>
      </w:pPr>
      <w:r>
        <w:t>2. Why a Service Principal Is Needed</w:t>
      </w:r>
    </w:p>
    <w:p w14:paraId="6DE47D5D" w14:textId="77777777" w:rsidR="00B540E8" w:rsidRDefault="00000000">
      <w:pPr>
        <w:pStyle w:val="ListBullet"/>
      </w:pPr>
      <w:r>
        <w:rPr>
          <w:b/>
        </w:rPr>
        <w:t xml:space="preserve">Unattended retrieval: </w:t>
      </w:r>
      <w:r>
        <w:t>The data must be retrieved on a schedule without a person signing in. A service principal authenticates with its own credential and needs no interactive sign-in.</w:t>
      </w:r>
    </w:p>
    <w:p w14:paraId="71AA5803" w14:textId="77777777" w:rsidR="00B540E8" w:rsidRDefault="00000000">
      <w:pPr>
        <w:pStyle w:val="ListBullet"/>
      </w:pPr>
      <w:r>
        <w:rPr>
          <w:b/>
        </w:rPr>
        <w:t xml:space="preserve">Independent of personal accounts: </w:t>
      </w:r>
      <w:r>
        <w:t>The process is not tied to an individual. A personal account can be disabled, change password or require multi-factor sign-in, any of which would stop the retrieval.</w:t>
      </w:r>
    </w:p>
    <w:p w14:paraId="2EFF556A" w14:textId="77777777" w:rsidR="00B540E8" w:rsidRDefault="00000000">
      <w:pPr>
        <w:pStyle w:val="ListBullet"/>
      </w:pPr>
      <w:r>
        <w:rPr>
          <w:b/>
        </w:rPr>
        <w:t xml:space="preserve">Least privilege: </w:t>
      </w:r>
      <w:r>
        <w:t>Permissions are assigned to this one identity, are read-only, and are limited to this purpose. Nothing else depends on it.</w:t>
      </w:r>
    </w:p>
    <w:p w14:paraId="147C93C2" w14:textId="77777777" w:rsidR="00B540E8" w:rsidRDefault="00000000">
      <w:pPr>
        <w:pStyle w:val="ListBullet"/>
      </w:pPr>
      <w:r>
        <w:rPr>
          <w:b/>
        </w:rPr>
        <w:t xml:space="preserve">Auditable and revocable: </w:t>
      </w:r>
      <w:r>
        <w:t>One identity with one purpose. Sign-ins and role assignments are visible in Microsoft Entra ID and Azure logs, and access can be reviewed, rotated or removed independently.</w:t>
      </w:r>
    </w:p>
    <w:p w14:paraId="0A3D4190" w14:textId="77777777" w:rsidR="00B540E8" w:rsidRDefault="00000000">
      <w:pPr>
        <w:pStyle w:val="ListBullet"/>
      </w:pPr>
      <w:r>
        <w:rPr>
          <w:b/>
        </w:rPr>
        <w:t xml:space="preserve">API requirement: </w:t>
      </w:r>
      <w:r>
        <w:t>The Azure Cost Management and billing APIs only respond to an authenticated Microsoft Entra ID token whose identity holds a role at the relevant scope. The identity must therefore be explicitly granted access.</w:t>
      </w:r>
    </w:p>
    <w:p w14:paraId="6B08DABF" w14:textId="77777777" w:rsidR="00B540E8" w:rsidRDefault="00000000">
      <w:pPr>
        <w:pStyle w:val="Heading1"/>
      </w:pPr>
      <w:r>
        <w:t>3. Service Principal Requirements</w:t>
      </w:r>
    </w:p>
    <w:tbl>
      <w:tblPr>
        <w:tblStyle w:val="TableGrid"/>
        <w:tblW w:w="9936" w:type="dxa"/>
        <w:tblLayout w:type="fixed"/>
        <w:tblCellMar>
          <w:top w:w="50" w:type="dxa"/>
          <w:left w:w="100" w:type="dxa"/>
          <w:bottom w:w="50" w:type="dxa"/>
          <w:right w:w="100" w:type="dxa"/>
        </w:tblCellMar>
        <w:tblLook w:val="04A0" w:firstRow="1" w:lastRow="0" w:firstColumn="1" w:lastColumn="0" w:noHBand="0" w:noVBand="1"/>
      </w:tblPr>
      <w:tblGrid>
        <w:gridCol w:w="2300"/>
        <w:gridCol w:w="7636"/>
      </w:tblGrid>
      <w:tr w:rsidR="00B540E8" w14:paraId="30A38860" w14:textId="77777777">
        <w:trPr>
          <w:cantSplit/>
          <w:tblHeader/>
        </w:trPr>
        <w:tc>
          <w:tcPr>
            <w:tcW w:w="2300" w:type="dxa"/>
            <w:shd w:val="clear" w:color="auto" w:fill="DCE6F1"/>
          </w:tcPr>
          <w:p w14:paraId="4DBCBC62" w14:textId="77777777" w:rsidR="00B540E8" w:rsidRDefault="00000000">
            <w:r>
              <w:rPr>
                <w:b/>
              </w:rPr>
              <w:t>Item</w:t>
            </w:r>
          </w:p>
        </w:tc>
        <w:tc>
          <w:tcPr>
            <w:tcW w:w="7636" w:type="dxa"/>
            <w:shd w:val="clear" w:color="auto" w:fill="DCE6F1"/>
          </w:tcPr>
          <w:p w14:paraId="5C93E420" w14:textId="77777777" w:rsidR="00B540E8" w:rsidRDefault="00000000">
            <w:r>
              <w:rPr>
                <w:b/>
              </w:rPr>
              <w:t>Requirement</w:t>
            </w:r>
          </w:p>
        </w:tc>
      </w:tr>
      <w:tr w:rsidR="00B540E8" w14:paraId="41AAEB46" w14:textId="77777777">
        <w:trPr>
          <w:cantSplit/>
        </w:trPr>
        <w:tc>
          <w:tcPr>
            <w:tcW w:w="2300" w:type="dxa"/>
          </w:tcPr>
          <w:p w14:paraId="0CB3A22B" w14:textId="77777777" w:rsidR="00B540E8" w:rsidRDefault="00000000">
            <w:r>
              <w:rPr>
                <w:b/>
              </w:rPr>
              <w:t>Identity type</w:t>
            </w:r>
          </w:p>
        </w:tc>
        <w:tc>
          <w:tcPr>
            <w:tcW w:w="7636" w:type="dxa"/>
          </w:tcPr>
          <w:p w14:paraId="6261168C" w14:textId="77777777" w:rsidR="00B540E8" w:rsidRDefault="00000000">
            <w:r>
              <w:t>Microsoft Entra ID app registration / service principal, single tenant.</w:t>
            </w:r>
          </w:p>
        </w:tc>
      </w:tr>
      <w:tr w:rsidR="00B540E8" w14:paraId="2E483E8A" w14:textId="77777777">
        <w:trPr>
          <w:cantSplit/>
        </w:trPr>
        <w:tc>
          <w:tcPr>
            <w:tcW w:w="2300" w:type="dxa"/>
          </w:tcPr>
          <w:p w14:paraId="6D8448DD" w14:textId="77777777" w:rsidR="00B540E8" w:rsidRDefault="00000000">
            <w:r>
              <w:rPr>
                <w:b/>
              </w:rPr>
              <w:t>Purpose</w:t>
            </w:r>
          </w:p>
        </w:tc>
        <w:tc>
          <w:tcPr>
            <w:tcW w:w="7636" w:type="dxa"/>
          </w:tcPr>
          <w:p w14:paraId="06EC3209" w14:textId="77777777" w:rsidR="00B540E8" w:rsidRDefault="00000000">
            <w:r>
              <w:t>Read and extract cost data for the Sentinel / Log Analytics cost report.</w:t>
            </w:r>
          </w:p>
        </w:tc>
      </w:tr>
      <w:tr w:rsidR="00B540E8" w14:paraId="12C91A6C" w14:textId="77777777">
        <w:trPr>
          <w:cantSplit/>
        </w:trPr>
        <w:tc>
          <w:tcPr>
            <w:tcW w:w="2300" w:type="dxa"/>
          </w:tcPr>
          <w:p w14:paraId="2494019C" w14:textId="77777777" w:rsidR="00B540E8" w:rsidRDefault="00000000">
            <w:r>
              <w:rPr>
                <w:b/>
              </w:rPr>
              <w:t>Access type</w:t>
            </w:r>
          </w:p>
        </w:tc>
        <w:tc>
          <w:tcPr>
            <w:tcW w:w="7636" w:type="dxa"/>
          </w:tcPr>
          <w:p w14:paraId="5D0E9077" w14:textId="77777777" w:rsidR="00B540E8" w:rsidRDefault="00000000">
            <w:r>
              <w:t>Read-only. No permission to create, change or delete any resource, budget or billing setting.</w:t>
            </w:r>
          </w:p>
        </w:tc>
      </w:tr>
      <w:tr w:rsidR="00B540E8" w14:paraId="0304A0F7" w14:textId="77777777">
        <w:trPr>
          <w:cantSplit/>
        </w:trPr>
        <w:tc>
          <w:tcPr>
            <w:tcW w:w="2300" w:type="dxa"/>
          </w:tcPr>
          <w:p w14:paraId="48075802" w14:textId="77777777" w:rsidR="00B540E8" w:rsidRDefault="00000000">
            <w:r>
              <w:rPr>
                <w:b/>
              </w:rPr>
              <w:t>Authentication</w:t>
            </w:r>
          </w:p>
        </w:tc>
        <w:tc>
          <w:tcPr>
            <w:tcW w:w="7636" w:type="dxa"/>
          </w:tcPr>
          <w:p w14:paraId="5CC81619" w14:textId="77777777" w:rsidR="00B540E8" w:rsidRDefault="00000000">
            <w:r>
              <w:t>OAuth 2.0 client credentials flow against Microsoft Entra ID, to obtain a token for the Azure Resource Manager endpoint (management.azure.com).</w:t>
            </w:r>
          </w:p>
        </w:tc>
      </w:tr>
      <w:tr w:rsidR="00B540E8" w14:paraId="29A2A063" w14:textId="77777777">
        <w:trPr>
          <w:cantSplit/>
        </w:trPr>
        <w:tc>
          <w:tcPr>
            <w:tcW w:w="2300" w:type="dxa"/>
          </w:tcPr>
          <w:p w14:paraId="639FDC13" w14:textId="77777777" w:rsidR="00B540E8" w:rsidRDefault="00000000">
            <w:r>
              <w:rPr>
                <w:b/>
              </w:rPr>
              <w:t>Credential</w:t>
            </w:r>
          </w:p>
        </w:tc>
        <w:tc>
          <w:tcPr>
            <w:tcW w:w="7636" w:type="dxa"/>
          </w:tcPr>
          <w:p w14:paraId="06CAB587" w14:textId="77777777" w:rsidR="00B540E8" w:rsidRDefault="00000000">
            <w:r>
              <w:t xml:space="preserve">Certificate preferred. A client secret is acceptable if it expires within 6 months or less. Store the credential in the </w:t>
            </w:r>
            <w:proofErr w:type="spellStart"/>
            <w:r>
              <w:t>organisation's</w:t>
            </w:r>
            <w:proofErr w:type="spellEnd"/>
            <w:r>
              <w:t xml:space="preserve"> Key Vault; do not place secrets in code or documents.</w:t>
            </w:r>
          </w:p>
        </w:tc>
      </w:tr>
      <w:tr w:rsidR="00B540E8" w14:paraId="0BE2483E" w14:textId="77777777">
        <w:trPr>
          <w:cantSplit/>
        </w:trPr>
        <w:tc>
          <w:tcPr>
            <w:tcW w:w="2300" w:type="dxa"/>
          </w:tcPr>
          <w:p w14:paraId="5EEFAD1C" w14:textId="77777777" w:rsidR="00B540E8" w:rsidRDefault="00000000">
            <w:r>
              <w:rPr>
                <w:b/>
              </w:rPr>
              <w:t>Sign-in</w:t>
            </w:r>
          </w:p>
        </w:tc>
        <w:tc>
          <w:tcPr>
            <w:tcW w:w="7636" w:type="dxa"/>
          </w:tcPr>
          <w:p w14:paraId="2BD0FF63" w14:textId="77777777" w:rsidR="00B540E8" w:rsidRDefault="00000000">
            <w:r>
              <w:t>Non-interactive workload identity only; no interactive user sign-in.</w:t>
            </w:r>
          </w:p>
        </w:tc>
      </w:tr>
    </w:tbl>
    <w:p w14:paraId="02FA2CBF" w14:textId="77777777" w:rsidR="00B540E8" w:rsidRDefault="00000000">
      <w:pPr>
        <w:pStyle w:val="Heading1"/>
      </w:pPr>
      <w:r>
        <w:lastRenderedPageBreak/>
        <w:t>4. Required Permissions</w:t>
      </w:r>
    </w:p>
    <w:p w14:paraId="52935408" w14:textId="77777777" w:rsidR="00B540E8" w:rsidRDefault="00000000">
      <w:pPr>
        <w:spacing w:before="80" w:after="80"/>
      </w:pPr>
      <w:r>
        <w:t>Permissions are requested at the narrowest scope that supports the required data retrieval, and all of them are read-only.</w:t>
      </w:r>
    </w:p>
    <w:tbl>
      <w:tblPr>
        <w:tblStyle w:val="TableGrid"/>
        <w:tblW w:w="9936" w:type="dxa"/>
        <w:tblLayout w:type="fixed"/>
        <w:tblCellMar>
          <w:top w:w="50" w:type="dxa"/>
          <w:left w:w="100" w:type="dxa"/>
          <w:bottom w:w="50" w:type="dxa"/>
          <w:right w:w="100" w:type="dxa"/>
        </w:tblCellMar>
        <w:tblLook w:val="04A0" w:firstRow="1" w:lastRow="0" w:firstColumn="1" w:lastColumn="0" w:noHBand="0" w:noVBand="1"/>
      </w:tblPr>
      <w:tblGrid>
        <w:gridCol w:w="2150"/>
        <w:gridCol w:w="2700"/>
        <w:gridCol w:w="3586"/>
        <w:gridCol w:w="1500"/>
      </w:tblGrid>
      <w:tr w:rsidR="00B540E8" w14:paraId="1B36E44A" w14:textId="77777777">
        <w:trPr>
          <w:cantSplit/>
          <w:tblHeader/>
        </w:trPr>
        <w:tc>
          <w:tcPr>
            <w:tcW w:w="2150" w:type="dxa"/>
            <w:shd w:val="clear" w:color="auto" w:fill="DCE6F1"/>
          </w:tcPr>
          <w:p w14:paraId="790B9D08" w14:textId="77777777" w:rsidR="00B540E8" w:rsidRDefault="00000000">
            <w:r>
              <w:rPr>
                <w:b/>
              </w:rPr>
              <w:t>Role</w:t>
            </w:r>
          </w:p>
        </w:tc>
        <w:tc>
          <w:tcPr>
            <w:tcW w:w="2700" w:type="dxa"/>
            <w:shd w:val="clear" w:color="auto" w:fill="DCE6F1"/>
          </w:tcPr>
          <w:p w14:paraId="4D9442DA" w14:textId="77777777" w:rsidR="00B540E8" w:rsidRDefault="00000000">
            <w:r>
              <w:rPr>
                <w:b/>
              </w:rPr>
              <w:t>Scope</w:t>
            </w:r>
          </w:p>
        </w:tc>
        <w:tc>
          <w:tcPr>
            <w:tcW w:w="3586" w:type="dxa"/>
            <w:shd w:val="clear" w:color="auto" w:fill="DCE6F1"/>
          </w:tcPr>
          <w:p w14:paraId="4BD58447" w14:textId="77777777" w:rsidR="00B540E8" w:rsidRDefault="00000000">
            <w:r>
              <w:rPr>
                <w:b/>
              </w:rPr>
              <w:t>Purpose</w:t>
            </w:r>
          </w:p>
        </w:tc>
        <w:tc>
          <w:tcPr>
            <w:tcW w:w="1500" w:type="dxa"/>
            <w:shd w:val="clear" w:color="auto" w:fill="DCE6F1"/>
          </w:tcPr>
          <w:p w14:paraId="594084E3" w14:textId="77777777" w:rsidR="00B540E8" w:rsidRDefault="00000000">
            <w:r>
              <w:rPr>
                <w:b/>
              </w:rPr>
              <w:t>Status</w:t>
            </w:r>
          </w:p>
        </w:tc>
      </w:tr>
      <w:tr w:rsidR="00B540E8" w14:paraId="7070A8C2" w14:textId="77777777">
        <w:trPr>
          <w:cantSplit/>
        </w:trPr>
        <w:tc>
          <w:tcPr>
            <w:tcW w:w="2150" w:type="dxa"/>
          </w:tcPr>
          <w:p w14:paraId="23E0ACF9" w14:textId="77777777" w:rsidR="00B540E8" w:rsidRDefault="00000000">
            <w:r>
              <w:t>Cost Management Reader</w:t>
            </w:r>
          </w:p>
        </w:tc>
        <w:tc>
          <w:tcPr>
            <w:tcW w:w="2700" w:type="dxa"/>
          </w:tcPr>
          <w:p w14:paraId="7D5887DF" w14:textId="77777777" w:rsidR="00B540E8" w:rsidRDefault="00000000">
            <w:r>
              <w:t>Resource group(s) that contain the Sentinel / Log Analytics resources. Subscription scope only if the costs cannot be isolated at resource-group level.</w:t>
            </w:r>
          </w:p>
        </w:tc>
        <w:tc>
          <w:tcPr>
            <w:tcW w:w="3586" w:type="dxa"/>
          </w:tcPr>
          <w:p w14:paraId="486177CA" w14:textId="77777777" w:rsidR="00B540E8" w:rsidRDefault="00000000">
            <w:r>
              <w:t>Call the Cost Management Query API to read daily cost and usage quantity for Sentinel and Log Analytics, matching the cost data shown in Cost Analysis.</w:t>
            </w:r>
          </w:p>
        </w:tc>
        <w:tc>
          <w:tcPr>
            <w:tcW w:w="1500" w:type="dxa"/>
          </w:tcPr>
          <w:p w14:paraId="5E3D4AEF" w14:textId="77777777" w:rsidR="00B540E8" w:rsidRDefault="00000000">
            <w:r>
              <w:t>Required</w:t>
            </w:r>
          </w:p>
        </w:tc>
      </w:tr>
      <w:tr w:rsidR="00B540E8" w14:paraId="737F5881" w14:textId="77777777">
        <w:trPr>
          <w:cantSplit/>
        </w:trPr>
        <w:tc>
          <w:tcPr>
            <w:tcW w:w="2150" w:type="dxa"/>
          </w:tcPr>
          <w:p w14:paraId="2D0716EF" w14:textId="77777777" w:rsidR="00B540E8" w:rsidRDefault="00000000">
            <w:r>
              <w:t>Billing profile reader (or the equivalent reader role for the agreement type)</w:t>
            </w:r>
          </w:p>
        </w:tc>
        <w:tc>
          <w:tcPr>
            <w:tcW w:w="2700" w:type="dxa"/>
          </w:tcPr>
          <w:p w14:paraId="04079D6E" w14:textId="77777777" w:rsidR="00B540E8" w:rsidRDefault="00000000">
            <w:r>
              <w:t>The specific billing profile only, not the whole billing account.</w:t>
            </w:r>
          </w:p>
        </w:tc>
        <w:tc>
          <w:tcPr>
            <w:tcW w:w="3586" w:type="dxa"/>
          </w:tcPr>
          <w:p w14:paraId="332F26D4" w14:textId="77777777" w:rsidR="00B540E8" w:rsidRDefault="00000000">
            <w:r>
              <w:t>Call the Price Sheet API to read unit prices for Sentinel and Log Analytics meters, if the cost query does not show the commitment tier and overage separately.</w:t>
            </w:r>
          </w:p>
        </w:tc>
        <w:tc>
          <w:tcPr>
            <w:tcW w:w="1500" w:type="dxa"/>
          </w:tcPr>
          <w:p w14:paraId="32F170C1" w14:textId="77777777" w:rsidR="00B540E8" w:rsidRDefault="00000000">
            <w:r>
              <w:t>Conditional: only if testing shows it is needed</w:t>
            </w:r>
          </w:p>
        </w:tc>
      </w:tr>
      <w:tr w:rsidR="00B540E8" w14:paraId="51695BC2" w14:textId="77777777">
        <w:trPr>
          <w:cantSplit/>
        </w:trPr>
        <w:tc>
          <w:tcPr>
            <w:tcW w:w="2150" w:type="dxa"/>
          </w:tcPr>
          <w:p w14:paraId="77733622" w14:textId="77777777" w:rsidR="00B540E8" w:rsidRDefault="00000000">
            <w:r>
              <w:t>Reader</w:t>
            </w:r>
          </w:p>
        </w:tc>
        <w:tc>
          <w:tcPr>
            <w:tcW w:w="2700" w:type="dxa"/>
          </w:tcPr>
          <w:p w14:paraId="19F0BE80" w14:textId="77777777" w:rsidR="00B540E8" w:rsidRDefault="00000000">
            <w:r>
              <w:t>The same resource group(s) as Cost Management Reader.</w:t>
            </w:r>
          </w:p>
        </w:tc>
        <w:tc>
          <w:tcPr>
            <w:tcW w:w="3586" w:type="dxa"/>
          </w:tcPr>
          <w:p w14:paraId="43C8E9A0" w14:textId="77777777" w:rsidR="00B540E8" w:rsidRDefault="00000000">
            <w:r>
              <w:t>Read resource metadata (for example resource names and IDs), only if needed to filter the cost data to the correct resources.</w:t>
            </w:r>
          </w:p>
        </w:tc>
        <w:tc>
          <w:tcPr>
            <w:tcW w:w="1500" w:type="dxa"/>
          </w:tcPr>
          <w:p w14:paraId="0DB770A6" w14:textId="77777777" w:rsidR="00B540E8" w:rsidRDefault="00000000">
            <w:r>
              <w:t>Conditional: only if testing shows it is needed</w:t>
            </w:r>
          </w:p>
        </w:tc>
      </w:tr>
    </w:tbl>
    <w:p w14:paraId="51F1F7F1" w14:textId="77777777" w:rsidR="00B540E8" w:rsidRDefault="00000000">
      <w:pPr>
        <w:pStyle w:val="Heading2"/>
      </w:pPr>
      <w:r>
        <w:t>4.1 What Cost Management Reader allows</w:t>
      </w:r>
    </w:p>
    <w:p w14:paraId="4AC1C9EB" w14:textId="77777777" w:rsidR="00B540E8" w:rsidRDefault="00000000">
      <w:pPr>
        <w:pStyle w:val="ListBullet"/>
      </w:pPr>
      <w:r>
        <w:rPr>
          <w:b/>
        </w:rPr>
        <w:t xml:space="preserve">Allows: </w:t>
      </w:r>
      <w:r>
        <w:t>View cost and usage data, Cost Analysis, and cost configuration such as budgets and exports, within the assigned scope.</w:t>
      </w:r>
    </w:p>
    <w:p w14:paraId="076C0F65" w14:textId="77777777" w:rsidR="00B540E8" w:rsidRDefault="00000000">
      <w:pPr>
        <w:pStyle w:val="ListBullet"/>
      </w:pPr>
      <w:r>
        <w:rPr>
          <w:b/>
        </w:rPr>
        <w:t xml:space="preserve">Does not allow: </w:t>
      </w:r>
      <w:r>
        <w:t>Create, change or delete resources, budgets, exports or billing settings; view data outside the assigned scope; access the contents of resources such as virtual machines, databases, logs or secrets.</w:t>
      </w:r>
    </w:p>
    <w:p w14:paraId="5797530E" w14:textId="77777777" w:rsidR="00B540E8" w:rsidRDefault="00000000">
      <w:pPr>
        <w:pStyle w:val="Heading2"/>
      </w:pPr>
      <w:r>
        <w:t>4.2 Staged assignment</w:t>
      </w:r>
    </w:p>
    <w:p w14:paraId="635A3738" w14:textId="77777777" w:rsidR="00B540E8" w:rsidRDefault="00000000">
      <w:pPr>
        <w:spacing w:before="80" w:after="80"/>
      </w:pPr>
      <w:r>
        <w:t>Cost Management Reader is assigned and tested first. The conditional roles are requested only if the actual API response shows they are necessary. The role, scope, date and approver are recorded for each assignment.</w:t>
      </w:r>
    </w:p>
    <w:p w14:paraId="17055835" w14:textId="77777777" w:rsidR="00B540E8" w:rsidRDefault="00000000">
      <w:pPr>
        <w:pStyle w:val="Heading2"/>
      </w:pPr>
      <w:r>
        <w:t>4.3 Permissions not requested</w:t>
      </w:r>
    </w:p>
    <w:p w14:paraId="43159C35" w14:textId="77777777" w:rsidR="00B540E8" w:rsidRDefault="00000000">
      <w:pPr>
        <w:spacing w:before="80" w:after="80"/>
      </w:pPr>
      <w:r>
        <w:t>Owner, Contributor, Cost Management Contributor, billing account owner, tenant-wide directory roles, and any permission that can write, change or delete anything.</w:t>
      </w:r>
    </w:p>
    <w:p w14:paraId="2F166483" w14:textId="77777777" w:rsidR="00B540E8" w:rsidRDefault="00000000">
      <w:pPr>
        <w:pStyle w:val="Heading1"/>
      </w:pPr>
      <w:r>
        <w:t>5. Data We Intend to Retrieve</w:t>
      </w:r>
    </w:p>
    <w:p w14:paraId="091AC578" w14:textId="77777777" w:rsidR="00B540E8" w:rsidRDefault="00000000">
      <w:pPr>
        <w:spacing w:before="80" w:after="80"/>
      </w:pPr>
      <w:r>
        <w:t>Only cost and usage figures for Microsoft Sentinel and Log Analytics will be retrieved. The data is used to find out how the commitment tier charge, the overage charge and the daily benefit allowance appear in the real billing data, so that the report calculation can be implemented correctly.</w:t>
      </w:r>
    </w:p>
    <w:p w14:paraId="631631D5" w14:textId="77777777" w:rsidR="00B540E8" w:rsidRDefault="00000000">
      <w:pPr>
        <w:pStyle w:val="Heading2"/>
      </w:pPr>
      <w:r>
        <w:t>5.1 Data sets</w:t>
      </w:r>
    </w:p>
    <w:p w14:paraId="70EC7B9E" w14:textId="77777777" w:rsidR="0007140D" w:rsidRPr="0007140D" w:rsidRDefault="0007140D" w:rsidP="0007140D"/>
    <w:tbl>
      <w:tblPr>
        <w:tblStyle w:val="TableGrid"/>
        <w:tblW w:w="9936" w:type="dxa"/>
        <w:tblLayout w:type="fixed"/>
        <w:tblCellMar>
          <w:top w:w="50" w:type="dxa"/>
          <w:left w:w="100" w:type="dxa"/>
          <w:bottom w:w="50" w:type="dxa"/>
          <w:right w:w="100" w:type="dxa"/>
        </w:tblCellMar>
        <w:tblLook w:val="04A0" w:firstRow="1" w:lastRow="0" w:firstColumn="1" w:lastColumn="0" w:noHBand="0" w:noVBand="1"/>
      </w:tblPr>
      <w:tblGrid>
        <w:gridCol w:w="1850"/>
        <w:gridCol w:w="2100"/>
        <w:gridCol w:w="2700"/>
        <w:gridCol w:w="3286"/>
      </w:tblGrid>
      <w:tr w:rsidR="00B540E8" w14:paraId="5258D572" w14:textId="77777777">
        <w:trPr>
          <w:cantSplit/>
          <w:tblHeader/>
        </w:trPr>
        <w:tc>
          <w:tcPr>
            <w:tcW w:w="1850" w:type="dxa"/>
            <w:shd w:val="clear" w:color="auto" w:fill="DCE6F1"/>
          </w:tcPr>
          <w:p w14:paraId="65829CC8" w14:textId="77777777" w:rsidR="00B540E8" w:rsidRDefault="00000000">
            <w:r>
              <w:rPr>
                <w:b/>
              </w:rPr>
              <w:t>Data set</w:t>
            </w:r>
          </w:p>
        </w:tc>
        <w:tc>
          <w:tcPr>
            <w:tcW w:w="2100" w:type="dxa"/>
            <w:shd w:val="clear" w:color="auto" w:fill="DCE6F1"/>
          </w:tcPr>
          <w:p w14:paraId="5EC58DC7" w14:textId="77777777" w:rsidR="00B540E8" w:rsidRDefault="00000000">
            <w:r>
              <w:rPr>
                <w:b/>
              </w:rPr>
              <w:t>Source</w:t>
            </w:r>
          </w:p>
        </w:tc>
        <w:tc>
          <w:tcPr>
            <w:tcW w:w="2700" w:type="dxa"/>
            <w:shd w:val="clear" w:color="auto" w:fill="DCE6F1"/>
          </w:tcPr>
          <w:p w14:paraId="5BDD056D" w14:textId="77777777" w:rsidR="00B540E8" w:rsidRDefault="00000000">
            <w:r>
              <w:rPr>
                <w:b/>
              </w:rPr>
              <w:t>Fields retrieved</w:t>
            </w:r>
          </w:p>
        </w:tc>
        <w:tc>
          <w:tcPr>
            <w:tcW w:w="3286" w:type="dxa"/>
            <w:shd w:val="clear" w:color="auto" w:fill="DCE6F1"/>
          </w:tcPr>
          <w:p w14:paraId="49260349" w14:textId="77777777" w:rsidR="00B540E8" w:rsidRDefault="00000000">
            <w:r>
              <w:rPr>
                <w:b/>
              </w:rPr>
              <w:t>Purpose and scope</w:t>
            </w:r>
          </w:p>
        </w:tc>
      </w:tr>
      <w:tr w:rsidR="00B540E8" w14:paraId="7028990D" w14:textId="77777777">
        <w:trPr>
          <w:cantSplit/>
        </w:trPr>
        <w:tc>
          <w:tcPr>
            <w:tcW w:w="1850" w:type="dxa"/>
          </w:tcPr>
          <w:p w14:paraId="35014CA8" w14:textId="77777777" w:rsidR="00B540E8" w:rsidRDefault="00000000">
            <w:r>
              <w:t>Daily actual cost by meter</w:t>
            </w:r>
          </w:p>
        </w:tc>
        <w:tc>
          <w:tcPr>
            <w:tcW w:w="2100" w:type="dxa"/>
          </w:tcPr>
          <w:p w14:paraId="0DE6A57F" w14:textId="77777777" w:rsidR="00B540E8" w:rsidRDefault="00000000">
            <w:r>
              <w:t>Cost Management Query API (actual cost, daily granularity)</w:t>
            </w:r>
          </w:p>
        </w:tc>
        <w:tc>
          <w:tcPr>
            <w:tcW w:w="2700" w:type="dxa"/>
          </w:tcPr>
          <w:p w14:paraId="6467B228" w14:textId="77777777" w:rsidR="00B540E8" w:rsidRDefault="00000000">
            <w:r>
              <w:t>Usage date, meter category, meter, charge type, pricing model, cost, currency</w:t>
            </w:r>
          </w:p>
        </w:tc>
        <w:tc>
          <w:tcPr>
            <w:tcW w:w="3286" w:type="dxa"/>
          </w:tcPr>
          <w:p w14:paraId="792A8B22" w14:textId="77777777" w:rsidR="00B540E8" w:rsidRDefault="00000000">
            <w:r>
              <w:t>Shows how the daily charge is broken down for Sentinel and Log Analytics in the approved resource group(s).</w:t>
            </w:r>
          </w:p>
        </w:tc>
      </w:tr>
      <w:tr w:rsidR="00B540E8" w14:paraId="44AAED3E" w14:textId="77777777">
        <w:trPr>
          <w:cantSplit/>
        </w:trPr>
        <w:tc>
          <w:tcPr>
            <w:tcW w:w="1850" w:type="dxa"/>
          </w:tcPr>
          <w:p w14:paraId="608471BF" w14:textId="77777777" w:rsidR="00B540E8" w:rsidRDefault="00000000">
            <w:r>
              <w:lastRenderedPageBreak/>
              <w:t>Usage quantity by meter</w:t>
            </w:r>
          </w:p>
        </w:tc>
        <w:tc>
          <w:tcPr>
            <w:tcW w:w="2100" w:type="dxa"/>
          </w:tcPr>
          <w:p w14:paraId="540C8720" w14:textId="77777777" w:rsidR="00B540E8" w:rsidRDefault="00000000">
            <w:r>
              <w:t>Cost Management Query API (usage quantity aggregate)</w:t>
            </w:r>
          </w:p>
        </w:tc>
        <w:tc>
          <w:tcPr>
            <w:tcW w:w="2700" w:type="dxa"/>
          </w:tcPr>
          <w:p w14:paraId="7FA8AF30" w14:textId="77777777" w:rsidR="00B540E8" w:rsidRDefault="00000000">
            <w:r>
              <w:t>Usage date, meter, usage quantity</w:t>
            </w:r>
          </w:p>
        </w:tc>
        <w:tc>
          <w:tcPr>
            <w:tcW w:w="3286" w:type="dxa"/>
          </w:tcPr>
          <w:p w14:paraId="0555B91B" w14:textId="77777777" w:rsidR="00B540E8" w:rsidRDefault="00000000">
            <w:r>
              <w:t>Same scope. Checks whether commitment tier, overage and benefit-related meters are visible as quantities, and whether the daily benefit allowance can be identified.</w:t>
            </w:r>
          </w:p>
        </w:tc>
      </w:tr>
      <w:tr w:rsidR="00B540E8" w14:paraId="665D9145" w14:textId="77777777">
        <w:trPr>
          <w:cantSplit/>
        </w:trPr>
        <w:tc>
          <w:tcPr>
            <w:tcW w:w="1850" w:type="dxa"/>
          </w:tcPr>
          <w:p w14:paraId="6C5C3258" w14:textId="77777777" w:rsidR="00B540E8" w:rsidRDefault="00000000">
            <w:r>
              <w:t>Cost by resource</w:t>
            </w:r>
          </w:p>
        </w:tc>
        <w:tc>
          <w:tcPr>
            <w:tcW w:w="2100" w:type="dxa"/>
          </w:tcPr>
          <w:p w14:paraId="28045D78" w14:textId="77777777" w:rsidR="00B540E8" w:rsidRDefault="00000000">
            <w:r>
              <w:t>Cost Management Query API (grouped by resource ID)</w:t>
            </w:r>
          </w:p>
        </w:tc>
        <w:tc>
          <w:tcPr>
            <w:tcW w:w="2700" w:type="dxa"/>
          </w:tcPr>
          <w:p w14:paraId="4A82960A" w14:textId="77777777" w:rsidR="00B540E8" w:rsidRDefault="00000000">
            <w:r>
              <w:t>Usage date, resource ID, cost</w:t>
            </w:r>
          </w:p>
        </w:tc>
        <w:tc>
          <w:tcPr>
            <w:tcW w:w="3286" w:type="dxa"/>
          </w:tcPr>
          <w:p w14:paraId="0EC2E87C" w14:textId="77777777" w:rsidR="00B540E8" w:rsidRDefault="00000000">
            <w:r>
              <w:t>Used once to confirm the returned costs belong to the Sentinel / Log Analytics resources, and to see how Log Analytics is reported separately.</w:t>
            </w:r>
          </w:p>
        </w:tc>
      </w:tr>
      <w:tr w:rsidR="00B540E8" w14:paraId="6D2FC632" w14:textId="77777777">
        <w:trPr>
          <w:cantSplit/>
        </w:trPr>
        <w:tc>
          <w:tcPr>
            <w:tcW w:w="1850" w:type="dxa"/>
          </w:tcPr>
          <w:p w14:paraId="2E9AF50F" w14:textId="77777777" w:rsidR="00B540E8" w:rsidRDefault="00000000">
            <w:r>
              <w:t>Price sheet (conditional)</w:t>
            </w:r>
          </w:p>
        </w:tc>
        <w:tc>
          <w:tcPr>
            <w:tcW w:w="2100" w:type="dxa"/>
          </w:tcPr>
          <w:p w14:paraId="09B816FF" w14:textId="77777777" w:rsidR="00B540E8" w:rsidRDefault="00000000">
            <w:r>
              <w:t>Price Sheet API at the billing-profile scope</w:t>
            </w:r>
          </w:p>
        </w:tc>
        <w:tc>
          <w:tcPr>
            <w:tcW w:w="2700" w:type="dxa"/>
          </w:tcPr>
          <w:p w14:paraId="7656E03E" w14:textId="77777777" w:rsidR="00B540E8" w:rsidRDefault="00000000">
            <w:r>
              <w:t>Meter ID, meter name, meter category, unit of measure, unit price, included quantity, currency, effective dates</w:t>
            </w:r>
          </w:p>
        </w:tc>
        <w:tc>
          <w:tcPr>
            <w:tcW w:w="3286" w:type="dxa"/>
          </w:tcPr>
          <w:p w14:paraId="7DE59FC8" w14:textId="77777777" w:rsidR="00B540E8" w:rsidRDefault="00000000">
            <w:r>
              <w:t>Only Sentinel and Log Analytics meters. Used to identify the commitment tier fee and the overage rate as separate priced items, if the cost data does not separate them.</w:t>
            </w:r>
          </w:p>
        </w:tc>
      </w:tr>
    </w:tbl>
    <w:p w14:paraId="5CD366D2" w14:textId="77777777" w:rsidR="00B540E8" w:rsidRDefault="00000000">
      <w:pPr>
        <w:pStyle w:val="Heading2"/>
      </w:pPr>
      <w:r>
        <w:t>5.2 Example cost request</w:t>
      </w:r>
    </w:p>
    <w:p w14:paraId="351C6D77" w14:textId="77777777" w:rsidR="00B540E8" w:rsidRDefault="00000000">
      <w:pPr>
        <w:spacing w:before="80" w:after="80"/>
      </w:pPr>
      <w:r>
        <w:t>The first test call is a read-only request scoped to the approved resource group, covering a recent completed period:</w:t>
      </w:r>
    </w:p>
    <w:p w14:paraId="1EA04CA4" w14:textId="77777777" w:rsidR="00B540E8" w:rsidRDefault="00000000">
      <w:pPr>
        <w:shd w:val="clear" w:color="auto" w:fill="F2F2F2"/>
        <w:spacing w:after="0" w:line="240" w:lineRule="auto"/>
        <w:ind w:left="120"/>
      </w:pPr>
      <w:r>
        <w:rPr>
          <w:rFonts w:ascii="Courier New" w:hAnsi="Courier New" w:cs="Courier New"/>
          <w:sz w:val="17"/>
        </w:rPr>
        <w:t>POST https://management.azure.com/subscriptions/&lt;subscription-id&gt;/resourceGroups/&lt;resource-group&gt;/providers/Microsoft.CostManagement/query?api-version=2025-03-01</w:t>
      </w:r>
    </w:p>
    <w:p w14:paraId="06A90453" w14:textId="77777777" w:rsidR="00B540E8" w:rsidRDefault="00B540E8">
      <w:pPr>
        <w:spacing w:after="60"/>
      </w:pPr>
    </w:p>
    <w:p w14:paraId="1D17A857" w14:textId="77777777" w:rsidR="00B540E8" w:rsidRDefault="00000000">
      <w:pPr>
        <w:shd w:val="clear" w:color="auto" w:fill="F2F2F2"/>
        <w:spacing w:after="0" w:line="240" w:lineRule="auto"/>
        <w:ind w:left="120"/>
      </w:pPr>
      <w:r>
        <w:rPr>
          <w:rFonts w:ascii="Courier New" w:hAnsi="Courier New" w:cs="Courier New"/>
          <w:sz w:val="17"/>
        </w:rPr>
        <w:t>{</w:t>
      </w:r>
    </w:p>
    <w:p w14:paraId="2FA1D052" w14:textId="77777777" w:rsidR="00B540E8" w:rsidRDefault="00000000">
      <w:pPr>
        <w:shd w:val="clear" w:color="auto" w:fill="F2F2F2"/>
        <w:spacing w:after="0" w:line="240" w:lineRule="auto"/>
        <w:ind w:left="120"/>
      </w:pPr>
      <w:r>
        <w:rPr>
          <w:rFonts w:ascii="Courier New" w:hAnsi="Courier New" w:cs="Courier New"/>
          <w:sz w:val="17"/>
        </w:rPr>
        <w:t xml:space="preserve">  "type": "</w:t>
      </w:r>
      <w:proofErr w:type="spellStart"/>
      <w:r>
        <w:rPr>
          <w:rFonts w:ascii="Courier New" w:hAnsi="Courier New" w:cs="Courier New"/>
          <w:sz w:val="17"/>
        </w:rPr>
        <w:t>ActualCost</w:t>
      </w:r>
      <w:proofErr w:type="spellEnd"/>
      <w:r>
        <w:rPr>
          <w:rFonts w:ascii="Courier New" w:hAnsi="Courier New" w:cs="Courier New"/>
          <w:sz w:val="17"/>
        </w:rPr>
        <w:t>",</w:t>
      </w:r>
    </w:p>
    <w:p w14:paraId="6DC1B4E6" w14:textId="77777777" w:rsidR="00B540E8" w:rsidRDefault="00000000">
      <w:pPr>
        <w:shd w:val="clear" w:color="auto" w:fill="F2F2F2"/>
        <w:spacing w:after="0" w:line="240" w:lineRule="auto"/>
        <w:ind w:left="120"/>
      </w:pPr>
      <w:r>
        <w:rPr>
          <w:rFonts w:ascii="Courier New" w:hAnsi="Courier New" w:cs="Courier New"/>
          <w:sz w:val="17"/>
        </w:rPr>
        <w:t xml:space="preserve">  "timeframe": "Custom",</w:t>
      </w:r>
    </w:p>
    <w:p w14:paraId="3B45D6F6" w14:textId="77777777" w:rsidR="00B540E8" w:rsidRDefault="00000000">
      <w:pPr>
        <w:shd w:val="clear" w:color="auto" w:fill="F2F2F2"/>
        <w:spacing w:after="0" w:line="240" w:lineRule="auto"/>
        <w:ind w:left="120"/>
      </w:pPr>
      <w:r>
        <w:rPr>
          <w:rFonts w:ascii="Courier New" w:hAnsi="Courier New" w:cs="Courier New"/>
          <w:sz w:val="17"/>
        </w:rPr>
        <w:t xml:space="preserve">  "</w:t>
      </w:r>
      <w:proofErr w:type="spellStart"/>
      <w:r>
        <w:rPr>
          <w:rFonts w:ascii="Courier New" w:hAnsi="Courier New" w:cs="Courier New"/>
          <w:sz w:val="17"/>
        </w:rPr>
        <w:t>timePeriod</w:t>
      </w:r>
      <w:proofErr w:type="spellEnd"/>
      <w:r>
        <w:rPr>
          <w:rFonts w:ascii="Courier New" w:hAnsi="Courier New" w:cs="Courier New"/>
          <w:sz w:val="17"/>
        </w:rPr>
        <w:t xml:space="preserve">": </w:t>
      </w:r>
      <w:proofErr w:type="gramStart"/>
      <w:r>
        <w:rPr>
          <w:rFonts w:ascii="Courier New" w:hAnsi="Courier New" w:cs="Courier New"/>
          <w:sz w:val="17"/>
        </w:rPr>
        <w:t>{ "</w:t>
      </w:r>
      <w:proofErr w:type="gramEnd"/>
      <w:r>
        <w:rPr>
          <w:rFonts w:ascii="Courier New" w:hAnsi="Courier New" w:cs="Courier New"/>
          <w:sz w:val="17"/>
        </w:rPr>
        <w:t>from": "&lt;start-date&gt;", "to": "&lt;end-date&gt;</w:t>
      </w:r>
      <w:proofErr w:type="gramStart"/>
      <w:r>
        <w:rPr>
          <w:rFonts w:ascii="Courier New" w:hAnsi="Courier New" w:cs="Courier New"/>
          <w:sz w:val="17"/>
        </w:rPr>
        <w:t>" }</w:t>
      </w:r>
      <w:proofErr w:type="gramEnd"/>
      <w:r>
        <w:rPr>
          <w:rFonts w:ascii="Courier New" w:hAnsi="Courier New" w:cs="Courier New"/>
          <w:sz w:val="17"/>
        </w:rPr>
        <w:t>,</w:t>
      </w:r>
    </w:p>
    <w:p w14:paraId="01547B81" w14:textId="77777777" w:rsidR="00B540E8" w:rsidRDefault="00000000">
      <w:pPr>
        <w:shd w:val="clear" w:color="auto" w:fill="F2F2F2"/>
        <w:spacing w:after="0" w:line="240" w:lineRule="auto"/>
        <w:ind w:left="120"/>
      </w:pPr>
      <w:r>
        <w:rPr>
          <w:rFonts w:ascii="Courier New" w:hAnsi="Courier New" w:cs="Courier New"/>
          <w:sz w:val="17"/>
        </w:rPr>
        <w:t xml:space="preserve">  "dataset": {</w:t>
      </w:r>
    </w:p>
    <w:p w14:paraId="2112B911" w14:textId="77777777" w:rsidR="00B540E8" w:rsidRDefault="00000000">
      <w:pPr>
        <w:shd w:val="clear" w:color="auto" w:fill="F2F2F2"/>
        <w:spacing w:after="0" w:line="240" w:lineRule="auto"/>
        <w:ind w:left="120"/>
      </w:pPr>
      <w:r>
        <w:rPr>
          <w:rFonts w:ascii="Courier New" w:hAnsi="Courier New" w:cs="Courier New"/>
          <w:sz w:val="17"/>
        </w:rPr>
        <w:t xml:space="preserve">    "granularity": "Daily",</w:t>
      </w:r>
    </w:p>
    <w:p w14:paraId="6652734D" w14:textId="77777777" w:rsidR="00B540E8" w:rsidRDefault="00000000">
      <w:pPr>
        <w:shd w:val="clear" w:color="auto" w:fill="F2F2F2"/>
        <w:spacing w:after="0" w:line="240" w:lineRule="auto"/>
        <w:ind w:left="120"/>
      </w:pPr>
      <w:r>
        <w:rPr>
          <w:rFonts w:ascii="Courier New" w:hAnsi="Courier New" w:cs="Courier New"/>
          <w:sz w:val="17"/>
        </w:rPr>
        <w:t xml:space="preserve">    "aggregation": {</w:t>
      </w:r>
    </w:p>
    <w:p w14:paraId="041E4A2C" w14:textId="77777777" w:rsidR="00B540E8" w:rsidRDefault="00000000">
      <w:pPr>
        <w:shd w:val="clear" w:color="auto" w:fill="F2F2F2"/>
        <w:spacing w:after="0" w:line="240" w:lineRule="auto"/>
        <w:ind w:left="120"/>
      </w:pPr>
      <w:r>
        <w:rPr>
          <w:rFonts w:ascii="Courier New" w:hAnsi="Courier New" w:cs="Courier New"/>
          <w:sz w:val="17"/>
        </w:rPr>
        <w:t xml:space="preserve">      "</w:t>
      </w:r>
      <w:proofErr w:type="spellStart"/>
      <w:r>
        <w:rPr>
          <w:rFonts w:ascii="Courier New" w:hAnsi="Courier New" w:cs="Courier New"/>
          <w:sz w:val="17"/>
        </w:rPr>
        <w:t>totalCost</w:t>
      </w:r>
      <w:proofErr w:type="spellEnd"/>
      <w:r>
        <w:rPr>
          <w:rFonts w:ascii="Courier New" w:hAnsi="Courier New" w:cs="Courier New"/>
          <w:sz w:val="17"/>
        </w:rPr>
        <w:t xml:space="preserve">": </w:t>
      </w:r>
      <w:proofErr w:type="gramStart"/>
      <w:r>
        <w:rPr>
          <w:rFonts w:ascii="Courier New" w:hAnsi="Courier New" w:cs="Courier New"/>
          <w:sz w:val="17"/>
        </w:rPr>
        <w:t>{ "</w:t>
      </w:r>
      <w:proofErr w:type="gramEnd"/>
      <w:r>
        <w:rPr>
          <w:rFonts w:ascii="Courier New" w:hAnsi="Courier New" w:cs="Courier New"/>
          <w:sz w:val="17"/>
        </w:rPr>
        <w:t>name": "Cost", "function": "Sum</w:t>
      </w:r>
      <w:proofErr w:type="gramStart"/>
      <w:r>
        <w:rPr>
          <w:rFonts w:ascii="Courier New" w:hAnsi="Courier New" w:cs="Courier New"/>
          <w:sz w:val="17"/>
        </w:rPr>
        <w:t>" }</w:t>
      </w:r>
      <w:proofErr w:type="gramEnd"/>
      <w:r>
        <w:rPr>
          <w:rFonts w:ascii="Courier New" w:hAnsi="Courier New" w:cs="Courier New"/>
          <w:sz w:val="17"/>
        </w:rPr>
        <w:t>,</w:t>
      </w:r>
    </w:p>
    <w:p w14:paraId="19103914" w14:textId="77777777" w:rsidR="00B540E8" w:rsidRDefault="00000000">
      <w:pPr>
        <w:shd w:val="clear" w:color="auto" w:fill="F2F2F2"/>
        <w:spacing w:after="0" w:line="240" w:lineRule="auto"/>
        <w:ind w:left="120"/>
      </w:pPr>
      <w:r>
        <w:rPr>
          <w:rFonts w:ascii="Courier New" w:hAnsi="Courier New" w:cs="Courier New"/>
          <w:sz w:val="17"/>
        </w:rPr>
        <w:t xml:space="preserve">      "</w:t>
      </w:r>
      <w:proofErr w:type="spellStart"/>
      <w:r>
        <w:rPr>
          <w:rFonts w:ascii="Courier New" w:hAnsi="Courier New" w:cs="Courier New"/>
          <w:sz w:val="17"/>
        </w:rPr>
        <w:t>totalQuantity</w:t>
      </w:r>
      <w:proofErr w:type="spellEnd"/>
      <w:r>
        <w:rPr>
          <w:rFonts w:ascii="Courier New" w:hAnsi="Courier New" w:cs="Courier New"/>
          <w:sz w:val="17"/>
        </w:rPr>
        <w:t xml:space="preserve">": </w:t>
      </w:r>
      <w:proofErr w:type="gramStart"/>
      <w:r>
        <w:rPr>
          <w:rFonts w:ascii="Courier New" w:hAnsi="Courier New" w:cs="Courier New"/>
          <w:sz w:val="17"/>
        </w:rPr>
        <w:t>{ "</w:t>
      </w:r>
      <w:proofErr w:type="gramEnd"/>
      <w:r>
        <w:rPr>
          <w:rFonts w:ascii="Courier New" w:hAnsi="Courier New" w:cs="Courier New"/>
          <w:sz w:val="17"/>
        </w:rPr>
        <w:t>name": "</w:t>
      </w:r>
      <w:proofErr w:type="spellStart"/>
      <w:r>
        <w:rPr>
          <w:rFonts w:ascii="Courier New" w:hAnsi="Courier New" w:cs="Courier New"/>
          <w:sz w:val="17"/>
        </w:rPr>
        <w:t>UsageQuantity</w:t>
      </w:r>
      <w:proofErr w:type="spellEnd"/>
      <w:r>
        <w:rPr>
          <w:rFonts w:ascii="Courier New" w:hAnsi="Courier New" w:cs="Courier New"/>
          <w:sz w:val="17"/>
        </w:rPr>
        <w:t>", "function": "Sum</w:t>
      </w:r>
      <w:proofErr w:type="gramStart"/>
      <w:r>
        <w:rPr>
          <w:rFonts w:ascii="Courier New" w:hAnsi="Courier New" w:cs="Courier New"/>
          <w:sz w:val="17"/>
        </w:rPr>
        <w:t>" }</w:t>
      </w:r>
      <w:proofErr w:type="gramEnd"/>
    </w:p>
    <w:p w14:paraId="1E6A657F" w14:textId="77777777" w:rsidR="00B540E8" w:rsidRDefault="00000000">
      <w:pPr>
        <w:shd w:val="clear" w:color="auto" w:fill="F2F2F2"/>
        <w:spacing w:after="0" w:line="240" w:lineRule="auto"/>
        <w:ind w:left="120"/>
      </w:pPr>
      <w:r>
        <w:rPr>
          <w:rFonts w:ascii="Courier New" w:hAnsi="Courier New" w:cs="Courier New"/>
          <w:sz w:val="17"/>
        </w:rPr>
        <w:t xml:space="preserve">    },</w:t>
      </w:r>
    </w:p>
    <w:p w14:paraId="72C47993" w14:textId="77777777" w:rsidR="00B540E8" w:rsidRDefault="00000000">
      <w:pPr>
        <w:shd w:val="clear" w:color="auto" w:fill="F2F2F2"/>
        <w:spacing w:after="0" w:line="240" w:lineRule="auto"/>
        <w:ind w:left="120"/>
      </w:pPr>
      <w:r>
        <w:rPr>
          <w:rFonts w:ascii="Courier New" w:hAnsi="Courier New" w:cs="Courier New"/>
          <w:sz w:val="17"/>
        </w:rPr>
        <w:t xml:space="preserve">    "grouping": [</w:t>
      </w:r>
    </w:p>
    <w:p w14:paraId="7678DE55" w14:textId="77777777" w:rsidR="00B540E8" w:rsidRDefault="00000000">
      <w:pPr>
        <w:shd w:val="clear" w:color="auto" w:fill="F2F2F2"/>
        <w:spacing w:after="0" w:line="240" w:lineRule="auto"/>
        <w:ind w:left="120"/>
      </w:pPr>
      <w:r>
        <w:rPr>
          <w:rFonts w:ascii="Courier New" w:hAnsi="Courier New" w:cs="Courier New"/>
          <w:sz w:val="17"/>
        </w:rPr>
        <w:t xml:space="preserve">      </w:t>
      </w:r>
      <w:proofErr w:type="gramStart"/>
      <w:r>
        <w:rPr>
          <w:rFonts w:ascii="Courier New" w:hAnsi="Courier New" w:cs="Courier New"/>
          <w:sz w:val="17"/>
        </w:rPr>
        <w:t>{ "</w:t>
      </w:r>
      <w:proofErr w:type="gramEnd"/>
      <w:r>
        <w:rPr>
          <w:rFonts w:ascii="Courier New" w:hAnsi="Courier New" w:cs="Courier New"/>
          <w:sz w:val="17"/>
        </w:rPr>
        <w:t>name": "</w:t>
      </w:r>
      <w:proofErr w:type="spellStart"/>
      <w:r>
        <w:rPr>
          <w:rFonts w:ascii="Courier New" w:hAnsi="Courier New" w:cs="Courier New"/>
          <w:sz w:val="17"/>
        </w:rPr>
        <w:t>MeterCategory</w:t>
      </w:r>
      <w:proofErr w:type="spellEnd"/>
      <w:r>
        <w:rPr>
          <w:rFonts w:ascii="Courier New" w:hAnsi="Courier New" w:cs="Courier New"/>
          <w:sz w:val="17"/>
        </w:rPr>
        <w:t>", "type": "Dimension</w:t>
      </w:r>
      <w:proofErr w:type="gramStart"/>
      <w:r>
        <w:rPr>
          <w:rFonts w:ascii="Courier New" w:hAnsi="Courier New" w:cs="Courier New"/>
          <w:sz w:val="17"/>
        </w:rPr>
        <w:t>" }</w:t>
      </w:r>
      <w:proofErr w:type="gramEnd"/>
      <w:r>
        <w:rPr>
          <w:rFonts w:ascii="Courier New" w:hAnsi="Courier New" w:cs="Courier New"/>
          <w:sz w:val="17"/>
        </w:rPr>
        <w:t>,</w:t>
      </w:r>
    </w:p>
    <w:p w14:paraId="15F64C4E" w14:textId="77777777" w:rsidR="00B540E8" w:rsidRDefault="00000000">
      <w:pPr>
        <w:shd w:val="clear" w:color="auto" w:fill="F2F2F2"/>
        <w:spacing w:after="0" w:line="240" w:lineRule="auto"/>
        <w:ind w:left="120"/>
      </w:pPr>
      <w:r>
        <w:rPr>
          <w:rFonts w:ascii="Courier New" w:hAnsi="Courier New" w:cs="Courier New"/>
          <w:sz w:val="17"/>
        </w:rPr>
        <w:t xml:space="preserve">      </w:t>
      </w:r>
      <w:proofErr w:type="gramStart"/>
      <w:r>
        <w:rPr>
          <w:rFonts w:ascii="Courier New" w:hAnsi="Courier New" w:cs="Courier New"/>
          <w:sz w:val="17"/>
        </w:rPr>
        <w:t>{ "</w:t>
      </w:r>
      <w:proofErr w:type="gramEnd"/>
      <w:r>
        <w:rPr>
          <w:rFonts w:ascii="Courier New" w:hAnsi="Courier New" w:cs="Courier New"/>
          <w:sz w:val="17"/>
        </w:rPr>
        <w:t>name": "Meter", "type": "Dimension</w:t>
      </w:r>
      <w:proofErr w:type="gramStart"/>
      <w:r>
        <w:rPr>
          <w:rFonts w:ascii="Courier New" w:hAnsi="Courier New" w:cs="Courier New"/>
          <w:sz w:val="17"/>
        </w:rPr>
        <w:t>" }</w:t>
      </w:r>
      <w:proofErr w:type="gramEnd"/>
      <w:r>
        <w:rPr>
          <w:rFonts w:ascii="Courier New" w:hAnsi="Courier New" w:cs="Courier New"/>
          <w:sz w:val="17"/>
        </w:rPr>
        <w:t>,</w:t>
      </w:r>
    </w:p>
    <w:p w14:paraId="24DA15B1" w14:textId="77777777" w:rsidR="00B540E8" w:rsidRDefault="00000000">
      <w:pPr>
        <w:shd w:val="clear" w:color="auto" w:fill="F2F2F2"/>
        <w:spacing w:after="0" w:line="240" w:lineRule="auto"/>
        <w:ind w:left="120"/>
      </w:pPr>
      <w:r>
        <w:rPr>
          <w:rFonts w:ascii="Courier New" w:hAnsi="Courier New" w:cs="Courier New"/>
          <w:sz w:val="17"/>
        </w:rPr>
        <w:t xml:space="preserve">      </w:t>
      </w:r>
      <w:proofErr w:type="gramStart"/>
      <w:r>
        <w:rPr>
          <w:rFonts w:ascii="Courier New" w:hAnsi="Courier New" w:cs="Courier New"/>
          <w:sz w:val="17"/>
        </w:rPr>
        <w:t>{ "</w:t>
      </w:r>
      <w:proofErr w:type="gramEnd"/>
      <w:r>
        <w:rPr>
          <w:rFonts w:ascii="Courier New" w:hAnsi="Courier New" w:cs="Courier New"/>
          <w:sz w:val="17"/>
        </w:rPr>
        <w:t>name": "</w:t>
      </w:r>
      <w:proofErr w:type="spellStart"/>
      <w:r>
        <w:rPr>
          <w:rFonts w:ascii="Courier New" w:hAnsi="Courier New" w:cs="Courier New"/>
          <w:sz w:val="17"/>
        </w:rPr>
        <w:t>ChargeType</w:t>
      </w:r>
      <w:proofErr w:type="spellEnd"/>
      <w:r>
        <w:rPr>
          <w:rFonts w:ascii="Courier New" w:hAnsi="Courier New" w:cs="Courier New"/>
          <w:sz w:val="17"/>
        </w:rPr>
        <w:t>", "type": "Dimension</w:t>
      </w:r>
      <w:proofErr w:type="gramStart"/>
      <w:r>
        <w:rPr>
          <w:rFonts w:ascii="Courier New" w:hAnsi="Courier New" w:cs="Courier New"/>
          <w:sz w:val="17"/>
        </w:rPr>
        <w:t>" }</w:t>
      </w:r>
      <w:proofErr w:type="gramEnd"/>
      <w:r>
        <w:rPr>
          <w:rFonts w:ascii="Courier New" w:hAnsi="Courier New" w:cs="Courier New"/>
          <w:sz w:val="17"/>
        </w:rPr>
        <w:t>,</w:t>
      </w:r>
    </w:p>
    <w:p w14:paraId="5D7EFA78" w14:textId="77777777" w:rsidR="00B540E8" w:rsidRDefault="00000000">
      <w:pPr>
        <w:shd w:val="clear" w:color="auto" w:fill="F2F2F2"/>
        <w:spacing w:after="0" w:line="240" w:lineRule="auto"/>
        <w:ind w:left="120"/>
      </w:pPr>
      <w:r>
        <w:rPr>
          <w:rFonts w:ascii="Courier New" w:hAnsi="Courier New" w:cs="Courier New"/>
          <w:sz w:val="17"/>
        </w:rPr>
        <w:t xml:space="preserve">      </w:t>
      </w:r>
      <w:proofErr w:type="gramStart"/>
      <w:r>
        <w:rPr>
          <w:rFonts w:ascii="Courier New" w:hAnsi="Courier New" w:cs="Courier New"/>
          <w:sz w:val="17"/>
        </w:rPr>
        <w:t>{ "</w:t>
      </w:r>
      <w:proofErr w:type="gramEnd"/>
      <w:r>
        <w:rPr>
          <w:rFonts w:ascii="Courier New" w:hAnsi="Courier New" w:cs="Courier New"/>
          <w:sz w:val="17"/>
        </w:rPr>
        <w:t>name": "</w:t>
      </w:r>
      <w:proofErr w:type="spellStart"/>
      <w:r>
        <w:rPr>
          <w:rFonts w:ascii="Courier New" w:hAnsi="Courier New" w:cs="Courier New"/>
          <w:sz w:val="17"/>
        </w:rPr>
        <w:t>PricingModel</w:t>
      </w:r>
      <w:proofErr w:type="spellEnd"/>
      <w:r>
        <w:rPr>
          <w:rFonts w:ascii="Courier New" w:hAnsi="Courier New" w:cs="Courier New"/>
          <w:sz w:val="17"/>
        </w:rPr>
        <w:t>", "type": "Dimension</w:t>
      </w:r>
      <w:proofErr w:type="gramStart"/>
      <w:r>
        <w:rPr>
          <w:rFonts w:ascii="Courier New" w:hAnsi="Courier New" w:cs="Courier New"/>
          <w:sz w:val="17"/>
        </w:rPr>
        <w:t>" }</w:t>
      </w:r>
      <w:proofErr w:type="gramEnd"/>
    </w:p>
    <w:p w14:paraId="6B5BBF42" w14:textId="77777777" w:rsidR="00B540E8" w:rsidRDefault="00000000">
      <w:pPr>
        <w:shd w:val="clear" w:color="auto" w:fill="F2F2F2"/>
        <w:spacing w:after="0" w:line="240" w:lineRule="auto"/>
        <w:ind w:left="120"/>
      </w:pPr>
      <w:r>
        <w:rPr>
          <w:rFonts w:ascii="Courier New" w:hAnsi="Courier New" w:cs="Courier New"/>
          <w:sz w:val="17"/>
        </w:rPr>
        <w:t xml:space="preserve">    ]</w:t>
      </w:r>
    </w:p>
    <w:p w14:paraId="39C535DF" w14:textId="77777777" w:rsidR="00B540E8" w:rsidRDefault="00000000">
      <w:pPr>
        <w:shd w:val="clear" w:color="auto" w:fill="F2F2F2"/>
        <w:spacing w:after="0" w:line="240" w:lineRule="auto"/>
        <w:ind w:left="120"/>
      </w:pPr>
      <w:r>
        <w:rPr>
          <w:rFonts w:ascii="Courier New" w:hAnsi="Courier New" w:cs="Courier New"/>
          <w:sz w:val="17"/>
        </w:rPr>
        <w:t xml:space="preserve">  }</w:t>
      </w:r>
    </w:p>
    <w:p w14:paraId="5DB07F41" w14:textId="77777777" w:rsidR="00B540E8" w:rsidRDefault="00000000">
      <w:pPr>
        <w:shd w:val="clear" w:color="auto" w:fill="F2F2F2"/>
        <w:spacing w:after="0" w:line="240" w:lineRule="auto"/>
        <w:ind w:left="120"/>
      </w:pPr>
      <w:r>
        <w:rPr>
          <w:rFonts w:ascii="Courier New" w:hAnsi="Courier New" w:cs="Courier New"/>
          <w:sz w:val="17"/>
        </w:rPr>
        <w:t>}</w:t>
      </w:r>
    </w:p>
    <w:p w14:paraId="570ED93F" w14:textId="77777777" w:rsidR="00B540E8" w:rsidRDefault="00B540E8">
      <w:pPr>
        <w:spacing w:after="60"/>
      </w:pPr>
    </w:p>
    <w:p w14:paraId="6FB130A8" w14:textId="77777777" w:rsidR="00B540E8" w:rsidRDefault="00000000">
      <w:pPr>
        <w:pStyle w:val="ListBullet"/>
      </w:pPr>
      <w:r>
        <w:rPr>
          <w:b/>
        </w:rPr>
        <w:t xml:space="preserve">Type: </w:t>
      </w:r>
      <w:r>
        <w:t>Actual cost, as billed and as shown in Cost Analysis.</w:t>
      </w:r>
    </w:p>
    <w:p w14:paraId="7BA49703" w14:textId="77777777" w:rsidR="00B540E8" w:rsidRDefault="00000000">
      <w:pPr>
        <w:pStyle w:val="ListBullet"/>
      </w:pPr>
      <w:r>
        <w:rPr>
          <w:b/>
        </w:rPr>
        <w:t xml:space="preserve">Period: </w:t>
      </w:r>
      <w:r>
        <w:t>A recent completed period (for example the last 30 to 90 days), at daily granularity.</w:t>
      </w:r>
    </w:p>
    <w:p w14:paraId="74424333" w14:textId="77777777" w:rsidR="00B540E8" w:rsidRDefault="00000000">
      <w:pPr>
        <w:pStyle w:val="ListBullet"/>
      </w:pPr>
      <w:r>
        <w:rPr>
          <w:b/>
        </w:rPr>
        <w:t xml:space="preserve">Aggregation: </w:t>
      </w:r>
      <w:r>
        <w:t>Total cost and total usage quantity per day, per meter.</w:t>
      </w:r>
    </w:p>
    <w:p w14:paraId="2D18F822" w14:textId="77777777" w:rsidR="00B540E8" w:rsidRDefault="00000000">
      <w:pPr>
        <w:pStyle w:val="ListBullet"/>
      </w:pPr>
      <w:r>
        <w:rPr>
          <w:b/>
        </w:rPr>
        <w:t xml:space="preserve">Grouping: </w:t>
      </w:r>
      <w:r>
        <w:t>Meter category, meter, charge type and pricing model, so that commitment tier, overage and benefit lines can be told apart if Azure reports them separately.</w:t>
      </w:r>
    </w:p>
    <w:p w14:paraId="31F40CE4" w14:textId="77777777" w:rsidR="00B540E8" w:rsidRDefault="00000000">
      <w:pPr>
        <w:pStyle w:val="ListBullet"/>
      </w:pPr>
      <w:r>
        <w:rPr>
          <w:b/>
        </w:rPr>
        <w:t xml:space="preserve">Filtering: </w:t>
      </w:r>
      <w:r>
        <w:t>No category filter is applied in the first call, so that the exact category names used for Sentinel and Log Analytics can be confirmed from the response. Later calls are filtered to those categories only.</w:t>
      </w:r>
    </w:p>
    <w:p w14:paraId="7A9F46D0" w14:textId="77777777" w:rsidR="00B540E8" w:rsidRDefault="00000000">
      <w:pPr>
        <w:pStyle w:val="Heading2"/>
      </w:pPr>
      <w:r>
        <w:t>5.3 Fields in the response</w:t>
      </w:r>
    </w:p>
    <w:p w14:paraId="4B6C9E69" w14:textId="77777777" w:rsidR="00B540E8" w:rsidRDefault="00000000">
      <w:pPr>
        <w:spacing w:before="80" w:after="80"/>
      </w:pPr>
      <w:r>
        <w:t>The API returns a list of column definitions and a list of rows, and each row is read by position against the columns.</w:t>
      </w:r>
    </w:p>
    <w:tbl>
      <w:tblPr>
        <w:tblStyle w:val="TableGrid"/>
        <w:tblW w:w="9936" w:type="dxa"/>
        <w:tblLayout w:type="fixed"/>
        <w:tblCellMar>
          <w:top w:w="50" w:type="dxa"/>
          <w:left w:w="100" w:type="dxa"/>
          <w:bottom w:w="50" w:type="dxa"/>
          <w:right w:w="100" w:type="dxa"/>
        </w:tblCellMar>
        <w:tblLook w:val="04A0" w:firstRow="1" w:lastRow="0" w:firstColumn="1" w:lastColumn="0" w:noHBand="0" w:noVBand="1"/>
      </w:tblPr>
      <w:tblGrid>
        <w:gridCol w:w="1700"/>
        <w:gridCol w:w="3900"/>
        <w:gridCol w:w="4336"/>
      </w:tblGrid>
      <w:tr w:rsidR="00B540E8" w14:paraId="7E9C2CDE" w14:textId="77777777">
        <w:trPr>
          <w:cantSplit/>
          <w:tblHeader/>
        </w:trPr>
        <w:tc>
          <w:tcPr>
            <w:tcW w:w="1700" w:type="dxa"/>
            <w:shd w:val="clear" w:color="auto" w:fill="DCE6F1"/>
          </w:tcPr>
          <w:p w14:paraId="2105FDEF" w14:textId="77777777" w:rsidR="00B540E8" w:rsidRDefault="00000000">
            <w:r>
              <w:rPr>
                <w:b/>
              </w:rPr>
              <w:lastRenderedPageBreak/>
              <w:t>Field</w:t>
            </w:r>
          </w:p>
        </w:tc>
        <w:tc>
          <w:tcPr>
            <w:tcW w:w="3900" w:type="dxa"/>
            <w:shd w:val="clear" w:color="auto" w:fill="DCE6F1"/>
          </w:tcPr>
          <w:p w14:paraId="7DEB80DA" w14:textId="77777777" w:rsidR="00B540E8" w:rsidRDefault="00000000">
            <w:r>
              <w:rPr>
                <w:b/>
              </w:rPr>
              <w:t>Meaning</w:t>
            </w:r>
          </w:p>
        </w:tc>
        <w:tc>
          <w:tcPr>
            <w:tcW w:w="4336" w:type="dxa"/>
            <w:shd w:val="clear" w:color="auto" w:fill="DCE6F1"/>
          </w:tcPr>
          <w:p w14:paraId="4EBB32E4" w14:textId="77777777" w:rsidR="00B540E8" w:rsidRDefault="00000000">
            <w:r>
              <w:rPr>
                <w:b/>
              </w:rPr>
              <w:t>Why it is needed</w:t>
            </w:r>
          </w:p>
        </w:tc>
      </w:tr>
      <w:tr w:rsidR="00B540E8" w14:paraId="44F5D83B" w14:textId="77777777">
        <w:trPr>
          <w:cantSplit/>
        </w:trPr>
        <w:tc>
          <w:tcPr>
            <w:tcW w:w="1700" w:type="dxa"/>
          </w:tcPr>
          <w:p w14:paraId="48722AE6" w14:textId="77777777" w:rsidR="00B540E8" w:rsidRDefault="00000000">
            <w:proofErr w:type="spellStart"/>
            <w:r>
              <w:rPr>
                <w:b/>
              </w:rPr>
              <w:t>UsageDate</w:t>
            </w:r>
            <w:proofErr w:type="spellEnd"/>
          </w:p>
        </w:tc>
        <w:tc>
          <w:tcPr>
            <w:tcW w:w="3900" w:type="dxa"/>
          </w:tcPr>
          <w:p w14:paraId="5EE482E8" w14:textId="77777777" w:rsidR="00B540E8" w:rsidRDefault="00000000">
            <w:r>
              <w:t>The day the usage was incurred.</w:t>
            </w:r>
          </w:p>
        </w:tc>
        <w:tc>
          <w:tcPr>
            <w:tcW w:w="4336" w:type="dxa"/>
          </w:tcPr>
          <w:p w14:paraId="7F7EF7D0" w14:textId="77777777" w:rsidR="00B540E8" w:rsidRDefault="00000000">
            <w:r>
              <w:t>Aligns cost with daily ingestion volume in the report.</w:t>
            </w:r>
          </w:p>
        </w:tc>
      </w:tr>
      <w:tr w:rsidR="00B540E8" w14:paraId="74D7AB67" w14:textId="77777777">
        <w:trPr>
          <w:cantSplit/>
        </w:trPr>
        <w:tc>
          <w:tcPr>
            <w:tcW w:w="1700" w:type="dxa"/>
          </w:tcPr>
          <w:p w14:paraId="2675180A" w14:textId="77777777" w:rsidR="00B540E8" w:rsidRDefault="00000000">
            <w:proofErr w:type="spellStart"/>
            <w:r>
              <w:rPr>
                <w:b/>
              </w:rPr>
              <w:t>MeterCategory</w:t>
            </w:r>
            <w:proofErr w:type="spellEnd"/>
          </w:p>
        </w:tc>
        <w:tc>
          <w:tcPr>
            <w:tcW w:w="3900" w:type="dxa"/>
          </w:tcPr>
          <w:p w14:paraId="752811D8" w14:textId="77777777" w:rsidR="00B540E8" w:rsidRDefault="00000000">
            <w:r>
              <w:t>The Azure service category the charge belongs to.</w:t>
            </w:r>
          </w:p>
        </w:tc>
        <w:tc>
          <w:tcPr>
            <w:tcW w:w="4336" w:type="dxa"/>
          </w:tcPr>
          <w:p w14:paraId="1D417FFC" w14:textId="77777777" w:rsidR="00B540E8" w:rsidRDefault="00000000">
            <w:r>
              <w:t>Separates Sentinel and Log Analytics, and confirms the category names used.</w:t>
            </w:r>
          </w:p>
        </w:tc>
      </w:tr>
      <w:tr w:rsidR="00B540E8" w14:paraId="756178FB" w14:textId="77777777">
        <w:trPr>
          <w:cantSplit/>
        </w:trPr>
        <w:tc>
          <w:tcPr>
            <w:tcW w:w="1700" w:type="dxa"/>
          </w:tcPr>
          <w:p w14:paraId="10D78BDA" w14:textId="77777777" w:rsidR="00B540E8" w:rsidRDefault="00000000">
            <w:r>
              <w:rPr>
                <w:b/>
              </w:rPr>
              <w:t>Meter</w:t>
            </w:r>
          </w:p>
        </w:tc>
        <w:tc>
          <w:tcPr>
            <w:tcW w:w="3900" w:type="dxa"/>
          </w:tcPr>
          <w:p w14:paraId="381CE05F" w14:textId="77777777" w:rsidR="00B540E8" w:rsidRDefault="00000000">
            <w:r>
              <w:t>The specific billing meter (for example a commitment tier or benefit meter).</w:t>
            </w:r>
          </w:p>
        </w:tc>
        <w:tc>
          <w:tcPr>
            <w:tcW w:w="4336" w:type="dxa"/>
          </w:tcPr>
          <w:p w14:paraId="46D85C80" w14:textId="77777777" w:rsidR="00B540E8" w:rsidRDefault="00000000">
            <w:r>
              <w:t>Shows whether the commitment tier, overage and benefit are separate meters.</w:t>
            </w:r>
          </w:p>
        </w:tc>
      </w:tr>
      <w:tr w:rsidR="00B540E8" w14:paraId="2407739B" w14:textId="77777777">
        <w:trPr>
          <w:cantSplit/>
        </w:trPr>
        <w:tc>
          <w:tcPr>
            <w:tcW w:w="1700" w:type="dxa"/>
          </w:tcPr>
          <w:p w14:paraId="376B3743" w14:textId="77777777" w:rsidR="00B540E8" w:rsidRDefault="00000000">
            <w:proofErr w:type="spellStart"/>
            <w:r>
              <w:rPr>
                <w:b/>
              </w:rPr>
              <w:t>ChargeType</w:t>
            </w:r>
            <w:proofErr w:type="spellEnd"/>
          </w:p>
        </w:tc>
        <w:tc>
          <w:tcPr>
            <w:tcW w:w="3900" w:type="dxa"/>
          </w:tcPr>
          <w:p w14:paraId="2733C568" w14:textId="77777777" w:rsidR="00B540E8" w:rsidRDefault="00000000">
            <w:r>
              <w:t>The kind of charge, such as usage or purchase.</w:t>
            </w:r>
          </w:p>
        </w:tc>
        <w:tc>
          <w:tcPr>
            <w:tcW w:w="4336" w:type="dxa"/>
          </w:tcPr>
          <w:p w14:paraId="0828E5E0" w14:textId="77777777" w:rsidR="00B540E8" w:rsidRDefault="00000000">
            <w:r>
              <w:t>Helps distinguish a fixed commitment charge from consumption charges.</w:t>
            </w:r>
          </w:p>
        </w:tc>
      </w:tr>
      <w:tr w:rsidR="00B540E8" w14:paraId="5C3CFE9A" w14:textId="77777777">
        <w:trPr>
          <w:cantSplit/>
        </w:trPr>
        <w:tc>
          <w:tcPr>
            <w:tcW w:w="1700" w:type="dxa"/>
          </w:tcPr>
          <w:p w14:paraId="4CEAC1BF" w14:textId="77777777" w:rsidR="00B540E8" w:rsidRDefault="00000000">
            <w:proofErr w:type="spellStart"/>
            <w:r>
              <w:rPr>
                <w:b/>
              </w:rPr>
              <w:t>PricingModel</w:t>
            </w:r>
            <w:proofErr w:type="spellEnd"/>
          </w:p>
        </w:tc>
        <w:tc>
          <w:tcPr>
            <w:tcW w:w="3900" w:type="dxa"/>
          </w:tcPr>
          <w:p w14:paraId="65179E51" w14:textId="77777777" w:rsidR="00B540E8" w:rsidRDefault="00000000">
            <w:r>
              <w:t>How the charge is priced, such as on-demand or reservation.</w:t>
            </w:r>
          </w:p>
        </w:tc>
        <w:tc>
          <w:tcPr>
            <w:tcW w:w="4336" w:type="dxa"/>
          </w:tcPr>
          <w:p w14:paraId="562172C6" w14:textId="77777777" w:rsidR="00B540E8" w:rsidRDefault="00000000">
            <w:r>
              <w:t>Cross-checks whether a line is a commitment or pay-as-you-go charge.</w:t>
            </w:r>
          </w:p>
        </w:tc>
      </w:tr>
      <w:tr w:rsidR="00B540E8" w14:paraId="6612E497" w14:textId="77777777">
        <w:trPr>
          <w:cantSplit/>
        </w:trPr>
        <w:tc>
          <w:tcPr>
            <w:tcW w:w="1700" w:type="dxa"/>
          </w:tcPr>
          <w:p w14:paraId="2B0050A2" w14:textId="77777777" w:rsidR="00B540E8" w:rsidRDefault="00000000">
            <w:r>
              <w:rPr>
                <w:b/>
              </w:rPr>
              <w:t>Cost</w:t>
            </w:r>
          </w:p>
        </w:tc>
        <w:tc>
          <w:tcPr>
            <w:tcW w:w="3900" w:type="dxa"/>
          </w:tcPr>
          <w:p w14:paraId="462225E7" w14:textId="77777777" w:rsidR="00B540E8" w:rsidRDefault="00000000">
            <w:r>
              <w:t>The cost of the line for that day.</w:t>
            </w:r>
          </w:p>
        </w:tc>
        <w:tc>
          <w:tcPr>
            <w:tcW w:w="4336" w:type="dxa"/>
          </w:tcPr>
          <w:p w14:paraId="2714DA99" w14:textId="77777777" w:rsidR="00B540E8" w:rsidRDefault="00000000">
            <w:r>
              <w:t>Provides the billed amount to reconcile against the report calculation.</w:t>
            </w:r>
          </w:p>
        </w:tc>
      </w:tr>
      <w:tr w:rsidR="00B540E8" w14:paraId="6905633B" w14:textId="77777777">
        <w:trPr>
          <w:cantSplit/>
        </w:trPr>
        <w:tc>
          <w:tcPr>
            <w:tcW w:w="1700" w:type="dxa"/>
          </w:tcPr>
          <w:p w14:paraId="7DD859DB" w14:textId="77777777" w:rsidR="00B540E8" w:rsidRDefault="00000000">
            <w:proofErr w:type="spellStart"/>
            <w:r>
              <w:rPr>
                <w:b/>
              </w:rPr>
              <w:t>UsageQuantity</w:t>
            </w:r>
            <w:proofErr w:type="spellEnd"/>
          </w:p>
        </w:tc>
        <w:tc>
          <w:tcPr>
            <w:tcW w:w="3900" w:type="dxa"/>
          </w:tcPr>
          <w:p w14:paraId="6FFC2110" w14:textId="77777777" w:rsidR="00B540E8" w:rsidRDefault="00000000">
            <w:r>
              <w:t>The quantity consumed for that meter that day.</w:t>
            </w:r>
          </w:p>
        </w:tc>
        <w:tc>
          <w:tcPr>
            <w:tcW w:w="4336" w:type="dxa"/>
          </w:tcPr>
          <w:p w14:paraId="368D626B" w14:textId="77777777" w:rsidR="00B540E8" w:rsidRDefault="00000000">
            <w:r>
              <w:t>Used to test whether overage volume and the daily benefit allowance can be identified.</w:t>
            </w:r>
          </w:p>
        </w:tc>
      </w:tr>
      <w:tr w:rsidR="00B540E8" w14:paraId="471E4FD3" w14:textId="77777777">
        <w:trPr>
          <w:cantSplit/>
        </w:trPr>
        <w:tc>
          <w:tcPr>
            <w:tcW w:w="1700" w:type="dxa"/>
          </w:tcPr>
          <w:p w14:paraId="0EBCCFC3" w14:textId="77777777" w:rsidR="00B540E8" w:rsidRDefault="00000000">
            <w:r>
              <w:rPr>
                <w:b/>
              </w:rPr>
              <w:t>Currency</w:t>
            </w:r>
          </w:p>
        </w:tc>
        <w:tc>
          <w:tcPr>
            <w:tcW w:w="3900" w:type="dxa"/>
          </w:tcPr>
          <w:p w14:paraId="7C7B32F2" w14:textId="77777777" w:rsidR="00B540E8" w:rsidRDefault="00000000">
            <w:r>
              <w:t>The currency of the cost values.</w:t>
            </w:r>
          </w:p>
        </w:tc>
        <w:tc>
          <w:tcPr>
            <w:tcW w:w="4336" w:type="dxa"/>
          </w:tcPr>
          <w:p w14:paraId="1D5E5637" w14:textId="77777777" w:rsidR="00B540E8" w:rsidRDefault="00000000">
            <w:r>
              <w:t>Ensures costs are reported and compared in the correct currency.</w:t>
            </w:r>
          </w:p>
        </w:tc>
      </w:tr>
    </w:tbl>
    <w:p w14:paraId="70E9354E" w14:textId="77777777" w:rsidR="00B540E8" w:rsidRDefault="00000000">
      <w:pPr>
        <w:pStyle w:val="Heading2"/>
      </w:pPr>
      <w:r>
        <w:t>5.4 Questions the data will answer</w:t>
      </w:r>
    </w:p>
    <w:p w14:paraId="3DAEE181" w14:textId="77777777" w:rsidR="00B540E8" w:rsidRDefault="00000000">
      <w:pPr>
        <w:pStyle w:val="ListBullet"/>
      </w:pPr>
      <w:r>
        <w:t>Are the commitment tier charge and the overage charge identifiable as separate items, or is only one combined daily charge returned?</w:t>
      </w:r>
    </w:p>
    <w:p w14:paraId="790DE88D" w14:textId="77777777" w:rsidR="00B540E8" w:rsidRDefault="00000000">
      <w:pPr>
        <w:pStyle w:val="ListBullet"/>
      </w:pPr>
      <w:r>
        <w:t>Is the daily benefit allowance visible (for example through the usage quantity of benefit-related meters), or does it have to be maintained separately?</w:t>
      </w:r>
    </w:p>
    <w:p w14:paraId="259F6F7F" w14:textId="77777777" w:rsidR="00B540E8" w:rsidRDefault="00000000">
      <w:pPr>
        <w:pStyle w:val="ListBullet"/>
      </w:pPr>
      <w:r>
        <w:t>Are Sentinel and Log Analytics costs returned as separate lines, and under which meter category names?</w:t>
      </w:r>
    </w:p>
    <w:p w14:paraId="708521CB" w14:textId="77777777" w:rsidR="00B540E8" w:rsidRDefault="00000000">
      <w:pPr>
        <w:pStyle w:val="ListBullet"/>
      </w:pPr>
      <w:r>
        <w:t>Do the totals returned match the Cost Analysis view for the same scope and dates?</w:t>
      </w:r>
    </w:p>
    <w:p w14:paraId="3E6E4D9A" w14:textId="77777777" w:rsidR="00B540E8" w:rsidRDefault="00000000">
      <w:pPr>
        <w:pStyle w:val="ListBullet"/>
      </w:pPr>
      <w:r>
        <w:t>Is price sheet data needed to obtain the commitment tier fee and the overage rate as separate values?</w:t>
      </w:r>
    </w:p>
    <w:p w14:paraId="28A3D34E" w14:textId="77777777" w:rsidR="00B540E8" w:rsidRDefault="00000000">
      <w:pPr>
        <w:pStyle w:val="Heading2"/>
      </w:pPr>
      <w:r>
        <w:t>5.5 Frequency and volume</w:t>
      </w:r>
    </w:p>
    <w:p w14:paraId="2FEE2051" w14:textId="77777777" w:rsidR="00B540E8" w:rsidRDefault="00000000">
      <w:pPr>
        <w:spacing w:before="80" w:after="80"/>
      </w:pPr>
      <w:r>
        <w:t>Initial testing: a small number of read-only calls covering a recent completed period. Once the approach is confirmed: a scheduled retrieval (weekly or monthly), with a few calls per run. Azure cost data can take several hours to appear and the API is rate limited, so request volume is low and retry handling is included.</w:t>
      </w:r>
    </w:p>
    <w:p w14:paraId="77D750CE" w14:textId="24F8DB59" w:rsidR="00B540E8" w:rsidRDefault="00B540E8">
      <w:pPr>
        <w:spacing w:before="80" w:after="80"/>
      </w:pPr>
    </w:p>
    <w:sectPr w:rsidR="00B540E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7234883">
    <w:abstractNumId w:val="8"/>
  </w:num>
  <w:num w:numId="2" w16cid:durableId="1775898951">
    <w:abstractNumId w:val="6"/>
  </w:num>
  <w:num w:numId="3" w16cid:durableId="1144080871">
    <w:abstractNumId w:val="5"/>
  </w:num>
  <w:num w:numId="4" w16cid:durableId="137502057">
    <w:abstractNumId w:val="4"/>
  </w:num>
  <w:num w:numId="5" w16cid:durableId="863598807">
    <w:abstractNumId w:val="7"/>
  </w:num>
  <w:num w:numId="6" w16cid:durableId="934674974">
    <w:abstractNumId w:val="3"/>
  </w:num>
  <w:num w:numId="7" w16cid:durableId="1738237308">
    <w:abstractNumId w:val="2"/>
  </w:num>
  <w:num w:numId="8" w16cid:durableId="1948925691">
    <w:abstractNumId w:val="1"/>
  </w:num>
  <w:num w:numId="9" w16cid:durableId="434516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40D"/>
    <w:rsid w:val="0015074B"/>
    <w:rsid w:val="0029639D"/>
    <w:rsid w:val="00326F90"/>
    <w:rsid w:val="00776F2D"/>
    <w:rsid w:val="00906F45"/>
    <w:rsid w:val="009910F9"/>
    <w:rsid w:val="009F36A6"/>
    <w:rsid w:val="00A7216B"/>
    <w:rsid w:val="00AA1D8D"/>
    <w:rsid w:val="00B43B10"/>
    <w:rsid w:val="00B47730"/>
    <w:rsid w:val="00B540E8"/>
    <w:rsid w:val="00CB0664"/>
    <w:rsid w:val="00F21B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F58895"/>
  <w14:defaultImageDpi w14:val="300"/>
  <w15:docId w15:val="{8B14EE8F-546A-4D86-BB34-EBA36A531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4</Pages>
  <Words>1515</Words>
  <Characters>8637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Raj Singh</dc:creator>
  <cp:keywords/>
  <dc:description>generated by python-docx</dc:description>
  <cp:lastModifiedBy>Yash Raj Singh</cp:lastModifiedBy>
  <cp:revision>3</cp:revision>
  <dcterms:created xsi:type="dcterms:W3CDTF">2026-10-19T11:44:00Z</dcterms:created>
  <dcterms:modified xsi:type="dcterms:W3CDTF">2026-10-19T12:47:00Z</dcterms:modified>
  <cp:category/>
</cp:coreProperties>
</file>