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84790" w14:textId="77777777" w:rsidR="00E54B4E" w:rsidRDefault="00E54B4E">
      <w:pPr>
        <w:spacing w:before="2400"/>
      </w:pPr>
    </w:p>
    <w:p w14:paraId="0ED54C6D" w14:textId="4E073B68" w:rsidR="00E54B4E" w:rsidRDefault="00000000" w:rsidP="00EF0601">
      <w:pPr>
        <w:spacing w:before="200" w:after="100"/>
        <w:jc w:val="center"/>
      </w:pPr>
      <w:r>
        <w:rPr>
          <w:b/>
          <w:bCs/>
          <w:color w:val="1F3864"/>
          <w:sz w:val="56"/>
          <w:szCs w:val="56"/>
        </w:rPr>
        <w:t>Microsoft Defender Threat Intelligence (</w:t>
      </w:r>
      <w:r w:rsidR="009D3908">
        <w:rPr>
          <w:b/>
          <w:bCs/>
          <w:color w:val="1F3864"/>
          <w:sz w:val="56"/>
          <w:szCs w:val="56"/>
        </w:rPr>
        <w:t>MD</w:t>
      </w:r>
      <w:r>
        <w:rPr>
          <w:b/>
          <w:bCs/>
          <w:color w:val="1F3864"/>
          <w:sz w:val="56"/>
          <w:szCs w:val="56"/>
        </w:rPr>
        <w:t>TI)</w:t>
      </w:r>
      <w:r>
        <w:br w:type="page"/>
      </w:r>
    </w:p>
    <w:p w14:paraId="27E19F15" w14:textId="67CD42BA" w:rsidR="00E54B4E" w:rsidRDefault="00000000" w:rsidP="000F538C">
      <w:pPr>
        <w:pStyle w:val="Heading1"/>
        <w:tabs>
          <w:tab w:val="left" w:pos="5747"/>
        </w:tabs>
      </w:pPr>
      <w:bookmarkStart w:id="0" w:name="_Toc235805601"/>
      <w:r>
        <w:lastRenderedPageBreak/>
        <w:t>Contents</w:t>
      </w:r>
      <w:bookmarkEnd w:id="0"/>
      <w:r w:rsidR="000F538C">
        <w:tab/>
      </w:r>
    </w:p>
    <w:sdt>
      <w:sdtPr>
        <w:alias w:val="Contents"/>
        <w:id w:val="-215514227"/>
      </w:sdtPr>
      <w:sdtContent>
        <w:p w14:paraId="531C6CB1" w14:textId="46DD7D88" w:rsidR="00F533DE"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5805601" w:history="1">
            <w:r w:rsidR="00F533DE" w:rsidRPr="008D144C">
              <w:rPr>
                <w:rStyle w:val="Hyperlink"/>
                <w:noProof/>
              </w:rPr>
              <w:t>Contents</w:t>
            </w:r>
            <w:r w:rsidR="00F533DE">
              <w:rPr>
                <w:noProof/>
              </w:rPr>
              <w:tab/>
            </w:r>
            <w:r w:rsidR="00F533DE">
              <w:rPr>
                <w:noProof/>
              </w:rPr>
              <w:fldChar w:fldCharType="begin"/>
            </w:r>
            <w:r w:rsidR="00F533DE">
              <w:rPr>
                <w:noProof/>
              </w:rPr>
              <w:instrText xml:space="preserve"> PAGEREF _Toc235805601 \h </w:instrText>
            </w:r>
            <w:r w:rsidR="00F533DE">
              <w:rPr>
                <w:noProof/>
              </w:rPr>
            </w:r>
            <w:r w:rsidR="00F533DE">
              <w:rPr>
                <w:noProof/>
              </w:rPr>
              <w:fldChar w:fldCharType="separate"/>
            </w:r>
            <w:r w:rsidR="00F533DE">
              <w:rPr>
                <w:noProof/>
              </w:rPr>
              <w:t>2</w:t>
            </w:r>
            <w:r w:rsidR="00F533DE">
              <w:rPr>
                <w:noProof/>
              </w:rPr>
              <w:fldChar w:fldCharType="end"/>
            </w:r>
          </w:hyperlink>
        </w:p>
        <w:p w14:paraId="0482964D" w14:textId="52FAE0F6" w:rsidR="00F533DE" w:rsidRDefault="00F533D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05602" w:history="1">
            <w:r w:rsidRPr="008D144C">
              <w:rPr>
                <w:rStyle w:val="Hyperlink"/>
                <w:noProof/>
              </w:rPr>
              <w:t>Version Control</w:t>
            </w:r>
            <w:r>
              <w:rPr>
                <w:noProof/>
              </w:rPr>
              <w:tab/>
            </w:r>
            <w:r>
              <w:rPr>
                <w:noProof/>
              </w:rPr>
              <w:fldChar w:fldCharType="begin"/>
            </w:r>
            <w:r>
              <w:rPr>
                <w:noProof/>
              </w:rPr>
              <w:instrText xml:space="preserve"> PAGEREF _Toc235805602 \h </w:instrText>
            </w:r>
            <w:r>
              <w:rPr>
                <w:noProof/>
              </w:rPr>
            </w:r>
            <w:r>
              <w:rPr>
                <w:noProof/>
              </w:rPr>
              <w:fldChar w:fldCharType="separate"/>
            </w:r>
            <w:r>
              <w:rPr>
                <w:noProof/>
              </w:rPr>
              <w:t>3</w:t>
            </w:r>
            <w:r>
              <w:rPr>
                <w:noProof/>
              </w:rPr>
              <w:fldChar w:fldCharType="end"/>
            </w:r>
          </w:hyperlink>
        </w:p>
        <w:p w14:paraId="20CCACD7" w14:textId="5BEFFAB1" w:rsidR="00F533DE" w:rsidRDefault="00F533D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05603" w:history="1">
            <w:r w:rsidRPr="008D144C">
              <w:rPr>
                <w:rStyle w:val="Hyperlink"/>
                <w:noProof/>
              </w:rPr>
              <w:t>Executive Summary</w:t>
            </w:r>
            <w:r>
              <w:rPr>
                <w:noProof/>
              </w:rPr>
              <w:tab/>
            </w:r>
            <w:r>
              <w:rPr>
                <w:noProof/>
              </w:rPr>
              <w:fldChar w:fldCharType="begin"/>
            </w:r>
            <w:r>
              <w:rPr>
                <w:noProof/>
              </w:rPr>
              <w:instrText xml:space="preserve"> PAGEREF _Toc235805603 \h </w:instrText>
            </w:r>
            <w:r>
              <w:rPr>
                <w:noProof/>
              </w:rPr>
            </w:r>
            <w:r>
              <w:rPr>
                <w:noProof/>
              </w:rPr>
              <w:fldChar w:fldCharType="separate"/>
            </w:r>
            <w:r>
              <w:rPr>
                <w:noProof/>
              </w:rPr>
              <w:t>4</w:t>
            </w:r>
            <w:r>
              <w:rPr>
                <w:noProof/>
              </w:rPr>
              <w:fldChar w:fldCharType="end"/>
            </w:r>
          </w:hyperlink>
        </w:p>
        <w:p w14:paraId="670F75AA" w14:textId="335DCC94" w:rsidR="00F533DE" w:rsidRDefault="00F533D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05604" w:history="1">
            <w:r w:rsidRPr="008D144C">
              <w:rPr>
                <w:rStyle w:val="Hyperlink"/>
                <w:noProof/>
              </w:rPr>
              <w:t>Discovery Goals</w:t>
            </w:r>
            <w:r>
              <w:rPr>
                <w:noProof/>
              </w:rPr>
              <w:tab/>
            </w:r>
            <w:r>
              <w:rPr>
                <w:noProof/>
              </w:rPr>
              <w:fldChar w:fldCharType="begin"/>
            </w:r>
            <w:r>
              <w:rPr>
                <w:noProof/>
              </w:rPr>
              <w:instrText xml:space="preserve"> PAGEREF _Toc235805604 \h </w:instrText>
            </w:r>
            <w:r>
              <w:rPr>
                <w:noProof/>
              </w:rPr>
            </w:r>
            <w:r>
              <w:rPr>
                <w:noProof/>
              </w:rPr>
              <w:fldChar w:fldCharType="separate"/>
            </w:r>
            <w:r>
              <w:rPr>
                <w:noProof/>
              </w:rPr>
              <w:t>4</w:t>
            </w:r>
            <w:r>
              <w:rPr>
                <w:noProof/>
              </w:rPr>
              <w:fldChar w:fldCharType="end"/>
            </w:r>
          </w:hyperlink>
        </w:p>
        <w:p w14:paraId="5721F87D" w14:textId="6DBC35EF" w:rsidR="00F533DE" w:rsidRDefault="00F533D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05605" w:history="1">
            <w:r w:rsidRPr="008D144C">
              <w:rPr>
                <w:rStyle w:val="Hyperlink"/>
                <w:noProof/>
              </w:rPr>
              <w:t>Prerequisites</w:t>
            </w:r>
            <w:r>
              <w:rPr>
                <w:noProof/>
              </w:rPr>
              <w:tab/>
            </w:r>
            <w:r>
              <w:rPr>
                <w:noProof/>
              </w:rPr>
              <w:fldChar w:fldCharType="begin"/>
            </w:r>
            <w:r>
              <w:rPr>
                <w:noProof/>
              </w:rPr>
              <w:instrText xml:space="preserve"> PAGEREF _Toc235805605 \h </w:instrText>
            </w:r>
            <w:r>
              <w:rPr>
                <w:noProof/>
              </w:rPr>
            </w:r>
            <w:r>
              <w:rPr>
                <w:noProof/>
              </w:rPr>
              <w:fldChar w:fldCharType="separate"/>
            </w:r>
            <w:r>
              <w:rPr>
                <w:noProof/>
              </w:rPr>
              <w:t>5</w:t>
            </w:r>
            <w:r>
              <w:rPr>
                <w:noProof/>
              </w:rPr>
              <w:fldChar w:fldCharType="end"/>
            </w:r>
          </w:hyperlink>
        </w:p>
        <w:p w14:paraId="4D46A54E" w14:textId="5DC295D0" w:rsidR="00F533DE" w:rsidRDefault="00F533D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05606" w:history="1">
            <w:r w:rsidRPr="008D144C">
              <w:rPr>
                <w:rStyle w:val="Hyperlink"/>
                <w:noProof/>
              </w:rPr>
              <w:t>Configuration</w:t>
            </w:r>
            <w:r>
              <w:rPr>
                <w:noProof/>
              </w:rPr>
              <w:tab/>
            </w:r>
            <w:r>
              <w:rPr>
                <w:noProof/>
              </w:rPr>
              <w:fldChar w:fldCharType="begin"/>
            </w:r>
            <w:r>
              <w:rPr>
                <w:noProof/>
              </w:rPr>
              <w:instrText xml:space="preserve"> PAGEREF _Toc235805606 \h </w:instrText>
            </w:r>
            <w:r>
              <w:rPr>
                <w:noProof/>
              </w:rPr>
            </w:r>
            <w:r>
              <w:rPr>
                <w:noProof/>
              </w:rPr>
              <w:fldChar w:fldCharType="separate"/>
            </w:r>
            <w:r>
              <w:rPr>
                <w:noProof/>
              </w:rPr>
              <w:t>6</w:t>
            </w:r>
            <w:r>
              <w:rPr>
                <w:noProof/>
              </w:rPr>
              <w:fldChar w:fldCharType="end"/>
            </w:r>
          </w:hyperlink>
        </w:p>
        <w:p w14:paraId="2A408FA2" w14:textId="73863040" w:rsidR="00F533DE" w:rsidRDefault="00F533D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05607" w:history="1">
            <w:r w:rsidRPr="008D144C">
              <w:rPr>
                <w:rStyle w:val="Hyperlink"/>
                <w:noProof/>
              </w:rPr>
              <w:t>1. What is Defender for TI?</w:t>
            </w:r>
            <w:r>
              <w:rPr>
                <w:noProof/>
              </w:rPr>
              <w:tab/>
            </w:r>
            <w:r>
              <w:rPr>
                <w:noProof/>
              </w:rPr>
              <w:fldChar w:fldCharType="begin"/>
            </w:r>
            <w:r>
              <w:rPr>
                <w:noProof/>
              </w:rPr>
              <w:instrText xml:space="preserve"> PAGEREF _Toc235805607 \h </w:instrText>
            </w:r>
            <w:r>
              <w:rPr>
                <w:noProof/>
              </w:rPr>
            </w:r>
            <w:r>
              <w:rPr>
                <w:noProof/>
              </w:rPr>
              <w:fldChar w:fldCharType="separate"/>
            </w:r>
            <w:r>
              <w:rPr>
                <w:noProof/>
              </w:rPr>
              <w:t>7</w:t>
            </w:r>
            <w:r>
              <w:rPr>
                <w:noProof/>
              </w:rPr>
              <w:fldChar w:fldCharType="end"/>
            </w:r>
          </w:hyperlink>
        </w:p>
        <w:p w14:paraId="09D2FBB8" w14:textId="6246A1C9" w:rsidR="00F533DE" w:rsidRDefault="00F533D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05608" w:history="1">
            <w:r w:rsidRPr="008D144C">
              <w:rPr>
                <w:rStyle w:val="Hyperlink"/>
                <w:noProof/>
              </w:rPr>
              <w:t>2.  Implementation</w:t>
            </w:r>
            <w:r>
              <w:rPr>
                <w:noProof/>
              </w:rPr>
              <w:tab/>
            </w:r>
            <w:r>
              <w:rPr>
                <w:noProof/>
              </w:rPr>
              <w:fldChar w:fldCharType="begin"/>
            </w:r>
            <w:r>
              <w:rPr>
                <w:noProof/>
              </w:rPr>
              <w:instrText xml:space="preserve"> PAGEREF _Toc235805608 \h </w:instrText>
            </w:r>
            <w:r>
              <w:rPr>
                <w:noProof/>
              </w:rPr>
            </w:r>
            <w:r>
              <w:rPr>
                <w:noProof/>
              </w:rPr>
              <w:fldChar w:fldCharType="separate"/>
            </w:r>
            <w:r>
              <w:rPr>
                <w:noProof/>
              </w:rPr>
              <w:t>8</w:t>
            </w:r>
            <w:r>
              <w:rPr>
                <w:noProof/>
              </w:rPr>
              <w:fldChar w:fldCharType="end"/>
            </w:r>
          </w:hyperlink>
        </w:p>
        <w:p w14:paraId="7E0F685A" w14:textId="4A91AC13" w:rsidR="00F533DE" w:rsidRDefault="00F533D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05609" w:history="1">
            <w:r w:rsidRPr="008D144C">
              <w:rPr>
                <w:rStyle w:val="Hyperlink"/>
                <w:noProof/>
              </w:rPr>
              <w:t>Phase 1 — Planning and Licensing</w:t>
            </w:r>
            <w:r>
              <w:rPr>
                <w:noProof/>
              </w:rPr>
              <w:tab/>
            </w:r>
            <w:r>
              <w:rPr>
                <w:noProof/>
              </w:rPr>
              <w:fldChar w:fldCharType="begin"/>
            </w:r>
            <w:r>
              <w:rPr>
                <w:noProof/>
              </w:rPr>
              <w:instrText xml:space="preserve"> PAGEREF _Toc235805609 \h </w:instrText>
            </w:r>
            <w:r>
              <w:rPr>
                <w:noProof/>
              </w:rPr>
            </w:r>
            <w:r>
              <w:rPr>
                <w:noProof/>
              </w:rPr>
              <w:fldChar w:fldCharType="separate"/>
            </w:r>
            <w:r>
              <w:rPr>
                <w:noProof/>
              </w:rPr>
              <w:t>8</w:t>
            </w:r>
            <w:r>
              <w:rPr>
                <w:noProof/>
              </w:rPr>
              <w:fldChar w:fldCharType="end"/>
            </w:r>
          </w:hyperlink>
        </w:p>
        <w:p w14:paraId="302352D6" w14:textId="2E8E58C0" w:rsidR="00F533DE" w:rsidRDefault="00F533D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05610" w:history="1">
            <w:r w:rsidRPr="008D144C">
              <w:rPr>
                <w:rStyle w:val="Hyperlink"/>
                <w:noProof/>
              </w:rPr>
              <w:t>Phase 2 — Access and RBAC</w:t>
            </w:r>
            <w:r>
              <w:rPr>
                <w:noProof/>
              </w:rPr>
              <w:tab/>
            </w:r>
            <w:r>
              <w:rPr>
                <w:noProof/>
              </w:rPr>
              <w:fldChar w:fldCharType="begin"/>
            </w:r>
            <w:r>
              <w:rPr>
                <w:noProof/>
              </w:rPr>
              <w:instrText xml:space="preserve"> PAGEREF _Toc235805610 \h </w:instrText>
            </w:r>
            <w:r>
              <w:rPr>
                <w:noProof/>
              </w:rPr>
            </w:r>
            <w:r>
              <w:rPr>
                <w:noProof/>
              </w:rPr>
              <w:fldChar w:fldCharType="separate"/>
            </w:r>
            <w:r>
              <w:rPr>
                <w:noProof/>
              </w:rPr>
              <w:t>8</w:t>
            </w:r>
            <w:r>
              <w:rPr>
                <w:noProof/>
              </w:rPr>
              <w:fldChar w:fldCharType="end"/>
            </w:r>
          </w:hyperlink>
        </w:p>
        <w:p w14:paraId="562DA53F" w14:textId="73694F98" w:rsidR="00F533DE" w:rsidRDefault="00F533D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05611" w:history="1">
            <w:r w:rsidRPr="008D144C">
              <w:rPr>
                <w:rStyle w:val="Hyperlink"/>
                <w:noProof/>
              </w:rPr>
              <w:t>Phase 3 — Portal Configuration</w:t>
            </w:r>
            <w:r>
              <w:rPr>
                <w:noProof/>
              </w:rPr>
              <w:tab/>
            </w:r>
            <w:r>
              <w:rPr>
                <w:noProof/>
              </w:rPr>
              <w:fldChar w:fldCharType="begin"/>
            </w:r>
            <w:r>
              <w:rPr>
                <w:noProof/>
              </w:rPr>
              <w:instrText xml:space="preserve"> PAGEREF _Toc235805611 \h </w:instrText>
            </w:r>
            <w:r>
              <w:rPr>
                <w:noProof/>
              </w:rPr>
            </w:r>
            <w:r>
              <w:rPr>
                <w:noProof/>
              </w:rPr>
              <w:fldChar w:fldCharType="separate"/>
            </w:r>
            <w:r>
              <w:rPr>
                <w:noProof/>
              </w:rPr>
              <w:t>8</w:t>
            </w:r>
            <w:r>
              <w:rPr>
                <w:noProof/>
              </w:rPr>
              <w:fldChar w:fldCharType="end"/>
            </w:r>
          </w:hyperlink>
        </w:p>
        <w:p w14:paraId="302942FF" w14:textId="12F92662" w:rsidR="00F533DE" w:rsidRDefault="00F533D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05612" w:history="1">
            <w:r w:rsidRPr="008D144C">
              <w:rPr>
                <w:rStyle w:val="Hyperlink"/>
                <w:noProof/>
              </w:rPr>
              <w:t>Phase 4 — Platform Integration</w:t>
            </w:r>
            <w:r>
              <w:rPr>
                <w:noProof/>
              </w:rPr>
              <w:tab/>
            </w:r>
            <w:r>
              <w:rPr>
                <w:noProof/>
              </w:rPr>
              <w:fldChar w:fldCharType="begin"/>
            </w:r>
            <w:r>
              <w:rPr>
                <w:noProof/>
              </w:rPr>
              <w:instrText xml:space="preserve"> PAGEREF _Toc235805612 \h </w:instrText>
            </w:r>
            <w:r>
              <w:rPr>
                <w:noProof/>
              </w:rPr>
            </w:r>
            <w:r>
              <w:rPr>
                <w:noProof/>
              </w:rPr>
              <w:fldChar w:fldCharType="separate"/>
            </w:r>
            <w:r>
              <w:rPr>
                <w:noProof/>
              </w:rPr>
              <w:t>8</w:t>
            </w:r>
            <w:r>
              <w:rPr>
                <w:noProof/>
              </w:rPr>
              <w:fldChar w:fldCharType="end"/>
            </w:r>
          </w:hyperlink>
        </w:p>
        <w:p w14:paraId="39FBF3B3" w14:textId="37026B30" w:rsidR="00F533DE" w:rsidRDefault="00F533D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05613" w:history="1">
            <w:r w:rsidRPr="008D144C">
              <w:rPr>
                <w:rStyle w:val="Hyperlink"/>
                <w:noProof/>
              </w:rPr>
              <w:t>Phase 5 — Validation</w:t>
            </w:r>
            <w:r>
              <w:rPr>
                <w:noProof/>
              </w:rPr>
              <w:tab/>
            </w:r>
            <w:r>
              <w:rPr>
                <w:noProof/>
              </w:rPr>
              <w:fldChar w:fldCharType="begin"/>
            </w:r>
            <w:r>
              <w:rPr>
                <w:noProof/>
              </w:rPr>
              <w:instrText xml:space="preserve"> PAGEREF _Toc235805613 \h </w:instrText>
            </w:r>
            <w:r>
              <w:rPr>
                <w:noProof/>
              </w:rPr>
            </w:r>
            <w:r>
              <w:rPr>
                <w:noProof/>
              </w:rPr>
              <w:fldChar w:fldCharType="separate"/>
            </w:r>
            <w:r>
              <w:rPr>
                <w:noProof/>
              </w:rPr>
              <w:t>9</w:t>
            </w:r>
            <w:r>
              <w:rPr>
                <w:noProof/>
              </w:rPr>
              <w:fldChar w:fldCharType="end"/>
            </w:r>
          </w:hyperlink>
        </w:p>
        <w:p w14:paraId="11C0E34F" w14:textId="36881E43" w:rsidR="00F533DE" w:rsidRDefault="00F533D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05614" w:history="1">
            <w:r w:rsidRPr="008D144C">
              <w:rPr>
                <w:rStyle w:val="Hyperlink"/>
                <w:noProof/>
              </w:rPr>
              <w:t>Phase 6 — Operationalize</w:t>
            </w:r>
            <w:r>
              <w:rPr>
                <w:noProof/>
              </w:rPr>
              <w:tab/>
            </w:r>
            <w:r>
              <w:rPr>
                <w:noProof/>
              </w:rPr>
              <w:fldChar w:fldCharType="begin"/>
            </w:r>
            <w:r>
              <w:rPr>
                <w:noProof/>
              </w:rPr>
              <w:instrText xml:space="preserve"> PAGEREF _Toc235805614 \h </w:instrText>
            </w:r>
            <w:r>
              <w:rPr>
                <w:noProof/>
              </w:rPr>
            </w:r>
            <w:r>
              <w:rPr>
                <w:noProof/>
              </w:rPr>
              <w:fldChar w:fldCharType="separate"/>
            </w:r>
            <w:r>
              <w:rPr>
                <w:noProof/>
              </w:rPr>
              <w:t>9</w:t>
            </w:r>
            <w:r>
              <w:rPr>
                <w:noProof/>
              </w:rPr>
              <w:fldChar w:fldCharType="end"/>
            </w:r>
          </w:hyperlink>
        </w:p>
        <w:p w14:paraId="2FDD19E7" w14:textId="0A8409E7" w:rsidR="00F533DE" w:rsidRDefault="00F533D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05615" w:history="1">
            <w:r w:rsidRPr="008D144C">
              <w:rPr>
                <w:rStyle w:val="Hyperlink"/>
                <w:noProof/>
              </w:rPr>
              <w:t>3. Architecture</w:t>
            </w:r>
            <w:r>
              <w:rPr>
                <w:noProof/>
              </w:rPr>
              <w:tab/>
            </w:r>
            <w:r>
              <w:rPr>
                <w:noProof/>
              </w:rPr>
              <w:fldChar w:fldCharType="begin"/>
            </w:r>
            <w:r>
              <w:rPr>
                <w:noProof/>
              </w:rPr>
              <w:instrText xml:space="preserve"> PAGEREF _Toc235805615 \h </w:instrText>
            </w:r>
            <w:r>
              <w:rPr>
                <w:noProof/>
              </w:rPr>
            </w:r>
            <w:r>
              <w:rPr>
                <w:noProof/>
              </w:rPr>
              <w:fldChar w:fldCharType="separate"/>
            </w:r>
            <w:r>
              <w:rPr>
                <w:noProof/>
              </w:rPr>
              <w:t>9</w:t>
            </w:r>
            <w:r>
              <w:rPr>
                <w:noProof/>
              </w:rPr>
              <w:fldChar w:fldCharType="end"/>
            </w:r>
          </w:hyperlink>
        </w:p>
        <w:p w14:paraId="50378257" w14:textId="74633535" w:rsidR="00F533DE" w:rsidRDefault="00F533D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05616" w:history="1">
            <w:r w:rsidRPr="008D144C">
              <w:rPr>
                <w:rStyle w:val="Hyperlink"/>
                <w:noProof/>
              </w:rPr>
              <w:t>How Defender TI Works</w:t>
            </w:r>
            <w:r>
              <w:rPr>
                <w:noProof/>
              </w:rPr>
              <w:tab/>
            </w:r>
            <w:r>
              <w:rPr>
                <w:noProof/>
              </w:rPr>
              <w:fldChar w:fldCharType="begin"/>
            </w:r>
            <w:r>
              <w:rPr>
                <w:noProof/>
              </w:rPr>
              <w:instrText xml:space="preserve"> PAGEREF _Toc235805616 \h </w:instrText>
            </w:r>
            <w:r>
              <w:rPr>
                <w:noProof/>
              </w:rPr>
            </w:r>
            <w:r>
              <w:rPr>
                <w:noProof/>
              </w:rPr>
              <w:fldChar w:fldCharType="separate"/>
            </w:r>
            <w:r>
              <w:rPr>
                <w:noProof/>
              </w:rPr>
              <w:t>9</w:t>
            </w:r>
            <w:r>
              <w:rPr>
                <w:noProof/>
              </w:rPr>
              <w:fldChar w:fldCharType="end"/>
            </w:r>
          </w:hyperlink>
        </w:p>
        <w:p w14:paraId="7C90321F" w14:textId="0ACC846B" w:rsidR="00F533DE" w:rsidRDefault="00F533D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05617" w:history="1">
            <w:r>
              <w:rPr>
                <w:noProof/>
              </w:rPr>
              <w:tab/>
            </w:r>
            <w:r>
              <w:rPr>
                <w:noProof/>
              </w:rPr>
              <w:fldChar w:fldCharType="begin"/>
            </w:r>
            <w:r>
              <w:rPr>
                <w:noProof/>
              </w:rPr>
              <w:instrText xml:space="preserve"> PAGEREF _Toc235805617 \h </w:instrText>
            </w:r>
            <w:r>
              <w:rPr>
                <w:noProof/>
              </w:rPr>
            </w:r>
            <w:r>
              <w:rPr>
                <w:noProof/>
              </w:rPr>
              <w:fldChar w:fldCharType="separate"/>
            </w:r>
            <w:r>
              <w:rPr>
                <w:noProof/>
              </w:rPr>
              <w:t>9</w:t>
            </w:r>
            <w:r>
              <w:rPr>
                <w:noProof/>
              </w:rPr>
              <w:fldChar w:fldCharType="end"/>
            </w:r>
          </w:hyperlink>
        </w:p>
        <w:p w14:paraId="42DFCC64" w14:textId="70480674" w:rsidR="00F533DE" w:rsidRDefault="00F533D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05618" w:history="1">
            <w:r w:rsidRPr="008D144C">
              <w:rPr>
                <w:rStyle w:val="Hyperlink"/>
                <w:noProof/>
              </w:rPr>
              <w:t>4. Discovery</w:t>
            </w:r>
            <w:r>
              <w:rPr>
                <w:noProof/>
              </w:rPr>
              <w:tab/>
            </w:r>
            <w:r>
              <w:rPr>
                <w:noProof/>
              </w:rPr>
              <w:fldChar w:fldCharType="begin"/>
            </w:r>
            <w:r>
              <w:rPr>
                <w:noProof/>
              </w:rPr>
              <w:instrText xml:space="preserve"> PAGEREF _Toc235805618 \h </w:instrText>
            </w:r>
            <w:r>
              <w:rPr>
                <w:noProof/>
              </w:rPr>
            </w:r>
            <w:r>
              <w:rPr>
                <w:noProof/>
              </w:rPr>
              <w:fldChar w:fldCharType="separate"/>
            </w:r>
            <w:r>
              <w:rPr>
                <w:noProof/>
              </w:rPr>
              <w:t>10</w:t>
            </w:r>
            <w:r>
              <w:rPr>
                <w:noProof/>
              </w:rPr>
              <w:fldChar w:fldCharType="end"/>
            </w:r>
          </w:hyperlink>
        </w:p>
        <w:p w14:paraId="1EB0FF5B" w14:textId="475C89B2" w:rsidR="00F533DE" w:rsidRDefault="00F533D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05619" w:history="1">
            <w:r w:rsidRPr="008D144C">
              <w:rPr>
                <w:rStyle w:val="Hyperlink"/>
                <w:noProof/>
              </w:rPr>
              <w:t>External Attack Surface Discovery</w:t>
            </w:r>
            <w:r>
              <w:rPr>
                <w:noProof/>
              </w:rPr>
              <w:tab/>
            </w:r>
            <w:r>
              <w:rPr>
                <w:noProof/>
              </w:rPr>
              <w:fldChar w:fldCharType="begin"/>
            </w:r>
            <w:r>
              <w:rPr>
                <w:noProof/>
              </w:rPr>
              <w:instrText xml:space="preserve"> PAGEREF _Toc235805619 \h </w:instrText>
            </w:r>
            <w:r>
              <w:rPr>
                <w:noProof/>
              </w:rPr>
            </w:r>
            <w:r>
              <w:rPr>
                <w:noProof/>
              </w:rPr>
              <w:fldChar w:fldCharType="separate"/>
            </w:r>
            <w:r>
              <w:rPr>
                <w:noProof/>
              </w:rPr>
              <w:t>10</w:t>
            </w:r>
            <w:r>
              <w:rPr>
                <w:noProof/>
              </w:rPr>
              <w:fldChar w:fldCharType="end"/>
            </w:r>
          </w:hyperlink>
        </w:p>
        <w:p w14:paraId="07411689" w14:textId="691AA3C7" w:rsidR="00F533DE" w:rsidRDefault="00F533D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05620" w:history="1">
            <w:r w:rsidRPr="008D144C">
              <w:rPr>
                <w:rStyle w:val="Hyperlink"/>
                <w:noProof/>
              </w:rPr>
              <w:t>Threat Intelligence Discovery</w:t>
            </w:r>
            <w:r>
              <w:rPr>
                <w:noProof/>
              </w:rPr>
              <w:tab/>
            </w:r>
            <w:r>
              <w:rPr>
                <w:noProof/>
              </w:rPr>
              <w:fldChar w:fldCharType="begin"/>
            </w:r>
            <w:r>
              <w:rPr>
                <w:noProof/>
              </w:rPr>
              <w:instrText xml:space="preserve"> PAGEREF _Toc235805620 \h </w:instrText>
            </w:r>
            <w:r>
              <w:rPr>
                <w:noProof/>
              </w:rPr>
            </w:r>
            <w:r>
              <w:rPr>
                <w:noProof/>
              </w:rPr>
              <w:fldChar w:fldCharType="separate"/>
            </w:r>
            <w:r>
              <w:rPr>
                <w:noProof/>
              </w:rPr>
              <w:t>10</w:t>
            </w:r>
            <w:r>
              <w:rPr>
                <w:noProof/>
              </w:rPr>
              <w:fldChar w:fldCharType="end"/>
            </w:r>
          </w:hyperlink>
        </w:p>
        <w:p w14:paraId="670A3C64" w14:textId="21D3420B" w:rsidR="00F533DE" w:rsidRDefault="00F533D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05621" w:history="1">
            <w:r w:rsidRPr="008D144C">
              <w:rPr>
                <w:rStyle w:val="Hyperlink"/>
                <w:noProof/>
              </w:rPr>
              <w:t>Discovery Data Sets Summary</w:t>
            </w:r>
            <w:r>
              <w:rPr>
                <w:noProof/>
              </w:rPr>
              <w:tab/>
            </w:r>
            <w:r>
              <w:rPr>
                <w:noProof/>
              </w:rPr>
              <w:fldChar w:fldCharType="begin"/>
            </w:r>
            <w:r>
              <w:rPr>
                <w:noProof/>
              </w:rPr>
              <w:instrText xml:space="preserve"> PAGEREF _Toc235805621 \h </w:instrText>
            </w:r>
            <w:r>
              <w:rPr>
                <w:noProof/>
              </w:rPr>
            </w:r>
            <w:r>
              <w:rPr>
                <w:noProof/>
              </w:rPr>
              <w:fldChar w:fldCharType="separate"/>
            </w:r>
            <w:r>
              <w:rPr>
                <w:noProof/>
              </w:rPr>
              <w:t>11</w:t>
            </w:r>
            <w:r>
              <w:rPr>
                <w:noProof/>
              </w:rPr>
              <w:fldChar w:fldCharType="end"/>
            </w:r>
          </w:hyperlink>
        </w:p>
        <w:p w14:paraId="0EBBB221" w14:textId="5903CE03" w:rsidR="00F533DE" w:rsidRDefault="00F533D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05622" w:history="1">
            <w:r w:rsidRPr="008D144C">
              <w:rPr>
                <w:rStyle w:val="Hyperlink"/>
                <w:noProof/>
              </w:rPr>
              <w:t>5. Reporting</w:t>
            </w:r>
            <w:r>
              <w:rPr>
                <w:noProof/>
              </w:rPr>
              <w:tab/>
            </w:r>
            <w:r>
              <w:rPr>
                <w:noProof/>
              </w:rPr>
              <w:fldChar w:fldCharType="begin"/>
            </w:r>
            <w:r>
              <w:rPr>
                <w:noProof/>
              </w:rPr>
              <w:instrText xml:space="preserve"> PAGEREF _Toc235805622 \h </w:instrText>
            </w:r>
            <w:r>
              <w:rPr>
                <w:noProof/>
              </w:rPr>
            </w:r>
            <w:r>
              <w:rPr>
                <w:noProof/>
              </w:rPr>
              <w:fldChar w:fldCharType="separate"/>
            </w:r>
            <w:r>
              <w:rPr>
                <w:noProof/>
              </w:rPr>
              <w:t>11</w:t>
            </w:r>
            <w:r>
              <w:rPr>
                <w:noProof/>
              </w:rPr>
              <w:fldChar w:fldCharType="end"/>
            </w:r>
          </w:hyperlink>
        </w:p>
        <w:p w14:paraId="51AD61BF" w14:textId="4CF57AEB" w:rsidR="00F533DE" w:rsidRDefault="00F533D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05623" w:history="1">
            <w:r w:rsidRPr="008D144C">
              <w:rPr>
                <w:rStyle w:val="Hyperlink"/>
                <w:noProof/>
              </w:rPr>
              <w:t>Native Reporting</w:t>
            </w:r>
            <w:r>
              <w:rPr>
                <w:noProof/>
              </w:rPr>
              <w:tab/>
            </w:r>
            <w:r>
              <w:rPr>
                <w:noProof/>
              </w:rPr>
              <w:fldChar w:fldCharType="begin"/>
            </w:r>
            <w:r>
              <w:rPr>
                <w:noProof/>
              </w:rPr>
              <w:instrText xml:space="preserve"> PAGEREF _Toc235805623 \h </w:instrText>
            </w:r>
            <w:r>
              <w:rPr>
                <w:noProof/>
              </w:rPr>
            </w:r>
            <w:r>
              <w:rPr>
                <w:noProof/>
              </w:rPr>
              <w:fldChar w:fldCharType="separate"/>
            </w:r>
            <w:r>
              <w:rPr>
                <w:noProof/>
              </w:rPr>
              <w:t>11</w:t>
            </w:r>
            <w:r>
              <w:rPr>
                <w:noProof/>
              </w:rPr>
              <w:fldChar w:fldCharType="end"/>
            </w:r>
          </w:hyperlink>
        </w:p>
        <w:p w14:paraId="038BBA5A" w14:textId="4BA959C0" w:rsidR="00F533DE" w:rsidRDefault="00F533D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05624" w:history="1">
            <w:r w:rsidRPr="008D144C">
              <w:rPr>
                <w:rStyle w:val="Hyperlink"/>
                <w:noProof/>
              </w:rPr>
              <w:t>Integrated Reporting via Sentinel and Defender XDR</w:t>
            </w:r>
            <w:r>
              <w:rPr>
                <w:noProof/>
              </w:rPr>
              <w:tab/>
            </w:r>
            <w:r>
              <w:rPr>
                <w:noProof/>
              </w:rPr>
              <w:fldChar w:fldCharType="begin"/>
            </w:r>
            <w:r>
              <w:rPr>
                <w:noProof/>
              </w:rPr>
              <w:instrText xml:space="preserve"> PAGEREF _Toc235805624 \h </w:instrText>
            </w:r>
            <w:r>
              <w:rPr>
                <w:noProof/>
              </w:rPr>
            </w:r>
            <w:r>
              <w:rPr>
                <w:noProof/>
              </w:rPr>
              <w:fldChar w:fldCharType="separate"/>
            </w:r>
            <w:r>
              <w:rPr>
                <w:noProof/>
              </w:rPr>
              <w:t>12</w:t>
            </w:r>
            <w:r>
              <w:rPr>
                <w:noProof/>
              </w:rPr>
              <w:fldChar w:fldCharType="end"/>
            </w:r>
          </w:hyperlink>
        </w:p>
        <w:p w14:paraId="2278B9A2" w14:textId="7B576FB2" w:rsidR="00F533DE" w:rsidRDefault="00F533D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05625" w:history="1">
            <w:r w:rsidRPr="008D144C">
              <w:rPr>
                <w:rStyle w:val="Hyperlink"/>
                <w:noProof/>
              </w:rPr>
              <w:t>6. Best Practices</w:t>
            </w:r>
            <w:r>
              <w:rPr>
                <w:noProof/>
              </w:rPr>
              <w:tab/>
            </w:r>
            <w:r>
              <w:rPr>
                <w:noProof/>
              </w:rPr>
              <w:fldChar w:fldCharType="begin"/>
            </w:r>
            <w:r>
              <w:rPr>
                <w:noProof/>
              </w:rPr>
              <w:instrText xml:space="preserve"> PAGEREF _Toc235805625 \h </w:instrText>
            </w:r>
            <w:r>
              <w:rPr>
                <w:noProof/>
              </w:rPr>
            </w:r>
            <w:r>
              <w:rPr>
                <w:noProof/>
              </w:rPr>
              <w:fldChar w:fldCharType="separate"/>
            </w:r>
            <w:r>
              <w:rPr>
                <w:noProof/>
              </w:rPr>
              <w:t>12</w:t>
            </w:r>
            <w:r>
              <w:rPr>
                <w:noProof/>
              </w:rPr>
              <w:fldChar w:fldCharType="end"/>
            </w:r>
          </w:hyperlink>
        </w:p>
        <w:p w14:paraId="0C763267" w14:textId="12AD0E55" w:rsidR="00F533DE" w:rsidRDefault="00F533D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05626" w:history="1">
            <w:r w:rsidRPr="008D144C">
              <w:rPr>
                <w:rStyle w:val="Hyperlink"/>
                <w:noProof/>
              </w:rPr>
              <w:t>7. Business Value</w:t>
            </w:r>
            <w:r>
              <w:rPr>
                <w:noProof/>
              </w:rPr>
              <w:tab/>
            </w:r>
            <w:r>
              <w:rPr>
                <w:noProof/>
              </w:rPr>
              <w:fldChar w:fldCharType="begin"/>
            </w:r>
            <w:r>
              <w:rPr>
                <w:noProof/>
              </w:rPr>
              <w:instrText xml:space="preserve"> PAGEREF _Toc235805626 \h </w:instrText>
            </w:r>
            <w:r>
              <w:rPr>
                <w:noProof/>
              </w:rPr>
            </w:r>
            <w:r>
              <w:rPr>
                <w:noProof/>
              </w:rPr>
              <w:fldChar w:fldCharType="separate"/>
            </w:r>
            <w:r>
              <w:rPr>
                <w:noProof/>
              </w:rPr>
              <w:t>13</w:t>
            </w:r>
            <w:r>
              <w:rPr>
                <w:noProof/>
              </w:rPr>
              <w:fldChar w:fldCharType="end"/>
            </w:r>
          </w:hyperlink>
        </w:p>
        <w:p w14:paraId="2D7855E3" w14:textId="185C4C2D" w:rsidR="00F533DE" w:rsidRDefault="00F533D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05627" w:history="1">
            <w:r w:rsidRPr="008D144C">
              <w:rPr>
                <w:rStyle w:val="Hyperlink"/>
                <w:noProof/>
              </w:rPr>
              <w:t>Conclusion</w:t>
            </w:r>
            <w:r>
              <w:rPr>
                <w:noProof/>
              </w:rPr>
              <w:tab/>
            </w:r>
            <w:r>
              <w:rPr>
                <w:noProof/>
              </w:rPr>
              <w:fldChar w:fldCharType="begin"/>
            </w:r>
            <w:r>
              <w:rPr>
                <w:noProof/>
              </w:rPr>
              <w:instrText xml:space="preserve"> PAGEREF _Toc235805627 \h </w:instrText>
            </w:r>
            <w:r>
              <w:rPr>
                <w:noProof/>
              </w:rPr>
            </w:r>
            <w:r>
              <w:rPr>
                <w:noProof/>
              </w:rPr>
              <w:fldChar w:fldCharType="separate"/>
            </w:r>
            <w:r>
              <w:rPr>
                <w:noProof/>
              </w:rPr>
              <w:t>13</w:t>
            </w:r>
            <w:r>
              <w:rPr>
                <w:noProof/>
              </w:rPr>
              <w:fldChar w:fldCharType="end"/>
            </w:r>
          </w:hyperlink>
        </w:p>
        <w:p w14:paraId="7C83AF57" w14:textId="4B9C1493" w:rsidR="00F533DE" w:rsidRDefault="00F533D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05628" w:history="1">
            <w:r w:rsidRPr="008D144C">
              <w:rPr>
                <w:rStyle w:val="Hyperlink"/>
                <w:noProof/>
              </w:rPr>
              <w:t>Implementation Considerations for Future Deployments</w:t>
            </w:r>
            <w:r>
              <w:rPr>
                <w:noProof/>
              </w:rPr>
              <w:tab/>
            </w:r>
            <w:r>
              <w:rPr>
                <w:noProof/>
              </w:rPr>
              <w:fldChar w:fldCharType="begin"/>
            </w:r>
            <w:r>
              <w:rPr>
                <w:noProof/>
              </w:rPr>
              <w:instrText xml:space="preserve"> PAGEREF _Toc235805628 \h </w:instrText>
            </w:r>
            <w:r>
              <w:rPr>
                <w:noProof/>
              </w:rPr>
            </w:r>
            <w:r>
              <w:rPr>
                <w:noProof/>
              </w:rPr>
              <w:fldChar w:fldCharType="separate"/>
            </w:r>
            <w:r>
              <w:rPr>
                <w:noProof/>
              </w:rPr>
              <w:t>13</w:t>
            </w:r>
            <w:r>
              <w:rPr>
                <w:noProof/>
              </w:rPr>
              <w:fldChar w:fldCharType="end"/>
            </w:r>
          </w:hyperlink>
        </w:p>
        <w:p w14:paraId="62EAA08D" w14:textId="2A631715" w:rsidR="00F533DE" w:rsidRDefault="00F533D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05629" w:history="1">
            <w:r w:rsidRPr="008D144C">
              <w:rPr>
                <w:rStyle w:val="Hyperlink"/>
                <w:noProof/>
              </w:rPr>
              <w:t>Appendix</w:t>
            </w:r>
            <w:r>
              <w:rPr>
                <w:noProof/>
              </w:rPr>
              <w:tab/>
            </w:r>
            <w:r>
              <w:rPr>
                <w:noProof/>
              </w:rPr>
              <w:fldChar w:fldCharType="begin"/>
            </w:r>
            <w:r>
              <w:rPr>
                <w:noProof/>
              </w:rPr>
              <w:instrText xml:space="preserve"> PAGEREF _Toc235805629 \h </w:instrText>
            </w:r>
            <w:r>
              <w:rPr>
                <w:noProof/>
              </w:rPr>
            </w:r>
            <w:r>
              <w:rPr>
                <w:noProof/>
              </w:rPr>
              <w:fldChar w:fldCharType="separate"/>
            </w:r>
            <w:r>
              <w:rPr>
                <w:noProof/>
              </w:rPr>
              <w:t>14</w:t>
            </w:r>
            <w:r>
              <w:rPr>
                <w:noProof/>
              </w:rPr>
              <w:fldChar w:fldCharType="end"/>
            </w:r>
          </w:hyperlink>
        </w:p>
        <w:p w14:paraId="5E1E3C7A" w14:textId="665FF87B" w:rsidR="00F533DE" w:rsidRDefault="00F533D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05630" w:history="1">
            <w:r w:rsidRPr="008D144C">
              <w:rPr>
                <w:rStyle w:val="Hyperlink"/>
                <w:noProof/>
              </w:rPr>
              <w:t>Reference Links</w:t>
            </w:r>
            <w:r>
              <w:rPr>
                <w:noProof/>
              </w:rPr>
              <w:tab/>
            </w:r>
            <w:r>
              <w:rPr>
                <w:noProof/>
              </w:rPr>
              <w:fldChar w:fldCharType="begin"/>
            </w:r>
            <w:r>
              <w:rPr>
                <w:noProof/>
              </w:rPr>
              <w:instrText xml:space="preserve"> PAGEREF _Toc235805630 \h </w:instrText>
            </w:r>
            <w:r>
              <w:rPr>
                <w:noProof/>
              </w:rPr>
            </w:r>
            <w:r>
              <w:rPr>
                <w:noProof/>
              </w:rPr>
              <w:fldChar w:fldCharType="separate"/>
            </w:r>
            <w:r>
              <w:rPr>
                <w:noProof/>
              </w:rPr>
              <w:t>14</w:t>
            </w:r>
            <w:r>
              <w:rPr>
                <w:noProof/>
              </w:rPr>
              <w:fldChar w:fldCharType="end"/>
            </w:r>
          </w:hyperlink>
        </w:p>
        <w:p w14:paraId="7614117B" w14:textId="49030CCE" w:rsidR="0094781A" w:rsidRDefault="00000000" w:rsidP="0094781A">
          <w:r>
            <w:lastRenderedPageBreak/>
            <w:fldChar w:fldCharType="end"/>
          </w:r>
        </w:p>
      </w:sdtContent>
    </w:sdt>
    <w:p w14:paraId="045AD121" w14:textId="77777777" w:rsidR="0094781A" w:rsidRDefault="0094781A" w:rsidP="0094781A"/>
    <w:p w14:paraId="147421E3" w14:textId="2BBCE18E" w:rsidR="0094781A" w:rsidRDefault="00000000" w:rsidP="0094781A">
      <w:pPr>
        <w:pStyle w:val="Heading1"/>
      </w:pPr>
      <w:bookmarkStart w:id="1" w:name="_Toc235805602"/>
      <w:r>
        <w:t>Version Contro</w:t>
      </w:r>
      <w:r w:rsidR="0094781A">
        <w:t>l</w:t>
      </w:r>
      <w:bookmarkEnd w:id="1"/>
    </w:p>
    <w:tbl>
      <w:tblPr>
        <w:tblW w:w="97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103"/>
        <w:gridCol w:w="1419"/>
        <w:gridCol w:w="2522"/>
        <w:gridCol w:w="2333"/>
        <w:gridCol w:w="2333"/>
      </w:tblGrid>
      <w:tr w:rsidR="00660903" w14:paraId="09388723" w14:textId="605BFB4A" w:rsidTr="00660903">
        <w:tblPrEx>
          <w:tblCellMar>
            <w:top w:w="0" w:type="dxa"/>
            <w:bottom w:w="0" w:type="dxa"/>
          </w:tblCellMar>
        </w:tblPrEx>
        <w:trPr>
          <w:trHeight w:val="273"/>
          <w:tblHeader/>
        </w:trPr>
        <w:tc>
          <w:tcPr>
            <w:tcW w:w="1103" w:type="dxa"/>
            <w:shd w:val="clear" w:color="auto" w:fill="1F3864"/>
            <w:tcMar>
              <w:top w:w="100" w:type="dxa"/>
              <w:left w:w="120" w:type="dxa"/>
              <w:bottom w:w="100" w:type="dxa"/>
              <w:right w:w="120" w:type="dxa"/>
            </w:tcMar>
            <w:vAlign w:val="center"/>
          </w:tcPr>
          <w:p w14:paraId="7758C64B" w14:textId="77777777" w:rsidR="00660903" w:rsidRDefault="00660903">
            <w:r>
              <w:rPr>
                <w:b/>
                <w:bCs/>
                <w:color w:val="FFFFFF"/>
                <w:sz w:val="20"/>
                <w:szCs w:val="20"/>
              </w:rPr>
              <w:t>Version</w:t>
            </w:r>
          </w:p>
        </w:tc>
        <w:tc>
          <w:tcPr>
            <w:tcW w:w="1419" w:type="dxa"/>
            <w:shd w:val="clear" w:color="auto" w:fill="1F3864"/>
            <w:tcMar>
              <w:top w:w="100" w:type="dxa"/>
              <w:left w:w="120" w:type="dxa"/>
              <w:bottom w:w="100" w:type="dxa"/>
              <w:right w:w="120" w:type="dxa"/>
            </w:tcMar>
            <w:vAlign w:val="center"/>
          </w:tcPr>
          <w:p w14:paraId="23BC33C4" w14:textId="77777777" w:rsidR="00660903" w:rsidRDefault="00660903">
            <w:r>
              <w:rPr>
                <w:b/>
                <w:bCs/>
                <w:color w:val="FFFFFF"/>
                <w:sz w:val="20"/>
                <w:szCs w:val="20"/>
              </w:rPr>
              <w:t>Date</w:t>
            </w:r>
          </w:p>
        </w:tc>
        <w:tc>
          <w:tcPr>
            <w:tcW w:w="2522" w:type="dxa"/>
            <w:shd w:val="clear" w:color="auto" w:fill="1F3864"/>
            <w:tcMar>
              <w:top w:w="100" w:type="dxa"/>
              <w:left w:w="120" w:type="dxa"/>
              <w:bottom w:w="100" w:type="dxa"/>
              <w:right w:w="120" w:type="dxa"/>
            </w:tcMar>
            <w:vAlign w:val="center"/>
          </w:tcPr>
          <w:p w14:paraId="061ABE3F" w14:textId="77777777" w:rsidR="00660903" w:rsidRDefault="00660903">
            <w:r>
              <w:rPr>
                <w:b/>
                <w:bCs/>
                <w:color w:val="FFFFFF"/>
                <w:sz w:val="20"/>
                <w:szCs w:val="20"/>
              </w:rPr>
              <w:t>Author</w:t>
            </w:r>
          </w:p>
        </w:tc>
        <w:tc>
          <w:tcPr>
            <w:tcW w:w="2333" w:type="dxa"/>
            <w:shd w:val="clear" w:color="auto" w:fill="1F3864"/>
            <w:tcMar>
              <w:top w:w="100" w:type="dxa"/>
              <w:left w:w="120" w:type="dxa"/>
              <w:bottom w:w="100" w:type="dxa"/>
              <w:right w:w="120" w:type="dxa"/>
            </w:tcMar>
            <w:vAlign w:val="center"/>
          </w:tcPr>
          <w:p w14:paraId="4B013AC5" w14:textId="11D33336" w:rsidR="00660903" w:rsidRPr="00660903" w:rsidRDefault="00660903">
            <w:pPr>
              <w:rPr>
                <w:b/>
                <w:bCs/>
                <w:sz w:val="20"/>
                <w:szCs w:val="20"/>
              </w:rPr>
            </w:pPr>
            <w:r w:rsidRPr="00660903">
              <w:rPr>
                <w:b/>
                <w:bCs/>
                <w:sz w:val="20"/>
                <w:szCs w:val="20"/>
              </w:rPr>
              <w:t>Reviewer Comments</w:t>
            </w:r>
          </w:p>
        </w:tc>
        <w:tc>
          <w:tcPr>
            <w:tcW w:w="2333" w:type="dxa"/>
            <w:shd w:val="clear" w:color="auto" w:fill="1F3864"/>
          </w:tcPr>
          <w:p w14:paraId="43C43779" w14:textId="7C440348" w:rsidR="00660903" w:rsidRPr="00660903" w:rsidRDefault="00660903">
            <w:pPr>
              <w:rPr>
                <w:b/>
                <w:bCs/>
                <w:sz w:val="20"/>
                <w:szCs w:val="20"/>
              </w:rPr>
            </w:pPr>
            <w:r>
              <w:t xml:space="preserve">  </w:t>
            </w:r>
            <w:r w:rsidRPr="00660903">
              <w:rPr>
                <w:b/>
                <w:bCs/>
                <w:sz w:val="20"/>
                <w:szCs w:val="20"/>
              </w:rPr>
              <w:t>Status</w:t>
            </w:r>
          </w:p>
        </w:tc>
      </w:tr>
      <w:tr w:rsidR="00660903" w14:paraId="5A6D1D27" w14:textId="599104E2" w:rsidTr="00660903">
        <w:tblPrEx>
          <w:tblCellMar>
            <w:top w:w="0" w:type="dxa"/>
            <w:bottom w:w="0" w:type="dxa"/>
          </w:tblCellMar>
        </w:tblPrEx>
        <w:trPr>
          <w:trHeight w:val="261"/>
        </w:trPr>
        <w:tc>
          <w:tcPr>
            <w:tcW w:w="1103" w:type="dxa"/>
            <w:shd w:val="clear" w:color="auto" w:fill="FFFFFF"/>
            <w:tcMar>
              <w:top w:w="90" w:type="dxa"/>
              <w:left w:w="120" w:type="dxa"/>
              <w:bottom w:w="90" w:type="dxa"/>
              <w:right w:w="120" w:type="dxa"/>
            </w:tcMar>
            <w:vAlign w:val="center"/>
          </w:tcPr>
          <w:p w14:paraId="58A50EF3" w14:textId="77777777" w:rsidR="00660903" w:rsidRDefault="00660903">
            <w:r>
              <w:rPr>
                <w:sz w:val="20"/>
                <w:szCs w:val="20"/>
              </w:rPr>
              <w:t>1.0</w:t>
            </w:r>
          </w:p>
        </w:tc>
        <w:tc>
          <w:tcPr>
            <w:tcW w:w="1419" w:type="dxa"/>
            <w:shd w:val="clear" w:color="auto" w:fill="FFFFFF"/>
            <w:tcMar>
              <w:top w:w="90" w:type="dxa"/>
              <w:left w:w="120" w:type="dxa"/>
              <w:bottom w:w="90" w:type="dxa"/>
              <w:right w:w="120" w:type="dxa"/>
            </w:tcMar>
            <w:vAlign w:val="center"/>
          </w:tcPr>
          <w:p w14:paraId="4F3B53D2" w14:textId="77777777" w:rsidR="00660903" w:rsidRDefault="00660903">
            <w:r>
              <w:rPr>
                <w:sz w:val="20"/>
                <w:szCs w:val="20"/>
              </w:rPr>
              <w:t>24-Jul-2026</w:t>
            </w:r>
          </w:p>
        </w:tc>
        <w:tc>
          <w:tcPr>
            <w:tcW w:w="2522" w:type="dxa"/>
            <w:shd w:val="clear" w:color="auto" w:fill="FFFFFF"/>
            <w:tcMar>
              <w:top w:w="90" w:type="dxa"/>
              <w:left w:w="120" w:type="dxa"/>
              <w:bottom w:w="90" w:type="dxa"/>
              <w:right w:w="120" w:type="dxa"/>
            </w:tcMar>
            <w:vAlign w:val="center"/>
          </w:tcPr>
          <w:p w14:paraId="320B8D6F" w14:textId="5CCD6315" w:rsidR="00660903" w:rsidRDefault="00660903">
            <w:r>
              <w:rPr>
                <w:sz w:val="20"/>
                <w:szCs w:val="20"/>
              </w:rPr>
              <w:t>Samik Roy</w:t>
            </w:r>
          </w:p>
        </w:tc>
        <w:tc>
          <w:tcPr>
            <w:tcW w:w="2333" w:type="dxa"/>
            <w:shd w:val="clear" w:color="auto" w:fill="FFFFFF"/>
            <w:tcMar>
              <w:top w:w="90" w:type="dxa"/>
              <w:left w:w="120" w:type="dxa"/>
              <w:bottom w:w="90" w:type="dxa"/>
              <w:right w:w="120" w:type="dxa"/>
            </w:tcMar>
            <w:vAlign w:val="center"/>
          </w:tcPr>
          <w:p w14:paraId="003DB59E" w14:textId="308013E2" w:rsidR="00660903" w:rsidRDefault="00660903">
            <w:r>
              <w:rPr>
                <w:sz w:val="20"/>
                <w:szCs w:val="20"/>
              </w:rPr>
              <w:t>Initial draft</w:t>
            </w:r>
          </w:p>
        </w:tc>
        <w:tc>
          <w:tcPr>
            <w:tcW w:w="2333" w:type="dxa"/>
            <w:shd w:val="clear" w:color="auto" w:fill="FFFFFF"/>
          </w:tcPr>
          <w:p w14:paraId="2B752978" w14:textId="6B5324AA" w:rsidR="00660903" w:rsidRDefault="00660903">
            <w:pPr>
              <w:rPr>
                <w:sz w:val="20"/>
                <w:szCs w:val="20"/>
              </w:rPr>
            </w:pPr>
            <w:r>
              <w:rPr>
                <w:sz w:val="20"/>
                <w:szCs w:val="20"/>
              </w:rPr>
              <w:t xml:space="preserve"> </w:t>
            </w:r>
          </w:p>
        </w:tc>
      </w:tr>
    </w:tbl>
    <w:p w14:paraId="27044833" w14:textId="583ED18C" w:rsidR="00E54B4E" w:rsidRDefault="00000000">
      <w:r>
        <w:br w:type="page"/>
      </w:r>
    </w:p>
    <w:p w14:paraId="6A528505" w14:textId="583ED18C" w:rsidR="00E54B4E" w:rsidRDefault="00000000">
      <w:pPr>
        <w:pStyle w:val="Heading1"/>
        <w:spacing w:before="400"/>
      </w:pPr>
      <w:bookmarkStart w:id="2" w:name="_Toc235805603"/>
      <w:r>
        <w:lastRenderedPageBreak/>
        <w:t>Executive Summary</w:t>
      </w:r>
      <w:bookmarkEnd w:id="2"/>
    </w:p>
    <w:p w14:paraId="7AC60F5E" w14:textId="77777777" w:rsidR="00E54B4E" w:rsidRDefault="00000000">
      <w:pPr>
        <w:spacing w:after="160"/>
      </w:pPr>
      <w:r>
        <w:t>Microsoft Defender Threat Intelligence (Defender TI) is a threat intelligence and infrastructure-analysis platform within the Microsoft Defender ecosystem. It centralizes internet-wide data sets (passive DNS, WHOIS, SSL certificates, detonation results, and more), enriches them with Microsoft's proprietary reputation scoring and analyst insights, and presents them through the Intel Explorer experience in the Microsoft Defender portal. Defender TI streamlines triage, incident response, threat hunting, and vulnerability management by removing the need for analysts to pivot across disconnected, third-party data repositories.</w:t>
      </w:r>
    </w:p>
    <w:p w14:paraId="521B1190" w14:textId="77777777" w:rsidR="00735877" w:rsidRDefault="00000000" w:rsidP="00735877">
      <w:pPr>
        <w:spacing w:after="160"/>
      </w:pPr>
      <w:r>
        <w:t>This report documents Defender TI as a discovery deliverable: what the product is, its prerequisites, how it is configured and implemented end-to-end, its underlying architecture, how it discovers external attack surface and threat intelligence, its reporting capabilities, and recommended best practices. It is intended to support technical evaluation and to serve as a reusable reference for future customer deployments.</w:t>
      </w:r>
    </w:p>
    <w:p w14:paraId="24A3309C" w14:textId="77777777" w:rsidR="00735877" w:rsidRDefault="00735877" w:rsidP="00735877">
      <w:pPr>
        <w:spacing w:after="160"/>
      </w:pPr>
    </w:p>
    <w:p w14:paraId="2546ED2C" w14:textId="77777777" w:rsidR="00735877" w:rsidRDefault="00735877" w:rsidP="00735877">
      <w:pPr>
        <w:pStyle w:val="Heading1"/>
      </w:pPr>
      <w:bookmarkStart w:id="3" w:name="_Toc235805604"/>
      <w:r>
        <w:t>Discovery Goals</w:t>
      </w:r>
      <w:bookmarkEnd w:id="3"/>
    </w:p>
    <w:p w14:paraId="2D0580C9" w14:textId="77777777" w:rsidR="00735877" w:rsidRDefault="00735877" w:rsidP="00735877">
      <w:pPr>
        <w:spacing w:after="160"/>
      </w:pPr>
    </w:p>
    <w:p w14:paraId="403DE631" w14:textId="4728FAFC" w:rsidR="00735877" w:rsidRDefault="00735877" w:rsidP="00735877">
      <w:pPr>
        <w:spacing w:after="160"/>
      </w:pPr>
      <w:r>
        <w:t>The goals of this discovery are:</w:t>
      </w:r>
    </w:p>
    <w:p w14:paraId="21B4CE8D" w14:textId="77777777" w:rsidR="00735877" w:rsidRDefault="00735877" w:rsidP="00735877">
      <w:pPr>
        <w:pStyle w:val="ListParagraph"/>
        <w:numPr>
          <w:ilvl w:val="0"/>
          <w:numId w:val="5"/>
        </w:numPr>
        <w:spacing w:after="160"/>
      </w:pPr>
      <w:r>
        <w:t>Explain what Microsoft Defender Threat Intelligence (Defender TI) is and how it fits within the Microsoft Defender ecosystem</w:t>
      </w:r>
    </w:p>
    <w:p w14:paraId="2B872A05" w14:textId="56370EA5" w:rsidR="00735877" w:rsidRDefault="00735877" w:rsidP="00735877">
      <w:pPr>
        <w:pStyle w:val="ListParagraph"/>
        <w:numPr>
          <w:ilvl w:val="0"/>
          <w:numId w:val="5"/>
        </w:numPr>
        <w:spacing w:after="160"/>
      </w:pPr>
      <w:r>
        <w:t>Describe the steps to implement Defender TI, including all prerequisites, required roles, and licensing</w:t>
      </w:r>
    </w:p>
    <w:p w14:paraId="7B63D236" w14:textId="77777777" w:rsidR="00735877" w:rsidRDefault="00735877" w:rsidP="00735877">
      <w:pPr>
        <w:pStyle w:val="ListParagraph"/>
        <w:numPr>
          <w:ilvl w:val="0"/>
          <w:numId w:val="5"/>
        </w:numPr>
        <w:spacing w:after="160"/>
      </w:pPr>
      <w:r>
        <w:t>Articulate the strategic benefits that Defender TI offers, including:</w:t>
      </w:r>
    </w:p>
    <w:p w14:paraId="3F845E00" w14:textId="77777777" w:rsidR="00735877" w:rsidRDefault="00735877" w:rsidP="00735877">
      <w:pPr>
        <w:pStyle w:val="ListParagraph"/>
        <w:numPr>
          <w:ilvl w:val="0"/>
          <w:numId w:val="7"/>
        </w:numPr>
        <w:spacing w:after="160"/>
      </w:pPr>
      <w:r>
        <w:t>Faster triage and investigation through consolidated threat data</w:t>
      </w:r>
    </w:p>
    <w:p w14:paraId="5416ED8E" w14:textId="77777777" w:rsidR="00735877" w:rsidRDefault="00735877" w:rsidP="00735877">
      <w:pPr>
        <w:pStyle w:val="ListParagraph"/>
        <w:numPr>
          <w:ilvl w:val="0"/>
          <w:numId w:val="7"/>
        </w:numPr>
        <w:spacing w:after="160"/>
      </w:pPr>
      <w:r>
        <w:t>Improved threat hunting without requiring additional dedicated staff</w:t>
      </w:r>
    </w:p>
    <w:p w14:paraId="0EA44C56" w14:textId="77777777" w:rsidR="00735877" w:rsidRDefault="00735877" w:rsidP="00735877">
      <w:pPr>
        <w:pStyle w:val="ListParagraph"/>
        <w:numPr>
          <w:ilvl w:val="0"/>
          <w:numId w:val="7"/>
        </w:numPr>
        <w:spacing w:after="160"/>
      </w:pPr>
      <w:r>
        <w:t>Reduced reliance on disconnected, third-party intelligence sources</w:t>
      </w:r>
    </w:p>
    <w:p w14:paraId="50113A5C" w14:textId="77777777" w:rsidR="00735877" w:rsidRDefault="00735877" w:rsidP="00735877">
      <w:pPr>
        <w:pStyle w:val="ListParagraph"/>
        <w:numPr>
          <w:ilvl w:val="0"/>
          <w:numId w:val="5"/>
        </w:numPr>
        <w:spacing w:after="160"/>
      </w:pPr>
      <w:r>
        <w:t>List the most valuable use cases that will be facilitated by Defender TI</w:t>
      </w:r>
    </w:p>
    <w:p w14:paraId="6234DD47" w14:textId="3FF8C153" w:rsidR="00735877" w:rsidRDefault="00735877" w:rsidP="00735877">
      <w:pPr>
        <w:pStyle w:val="ListParagraph"/>
        <w:numPr>
          <w:ilvl w:val="0"/>
          <w:numId w:val="5"/>
        </w:numPr>
        <w:spacing w:after="160"/>
      </w:pPr>
      <w:r>
        <w:t>Proposal for Defender TI deployment, including architecture and integration with Microsoft Sentinel and Microsoft Defender XDR</w:t>
      </w:r>
    </w:p>
    <w:p w14:paraId="1D248838" w14:textId="6EF3D6C0" w:rsidR="00E54B4E" w:rsidRDefault="00735877" w:rsidP="000F538C">
      <w:pPr>
        <w:pStyle w:val="Heading1"/>
      </w:pPr>
      <w:r>
        <w:lastRenderedPageBreak/>
        <w:br/>
      </w:r>
      <w:bookmarkStart w:id="4" w:name="_Toc235805605"/>
      <w:r w:rsidR="00000000">
        <w:t>Prerequisite</w:t>
      </w:r>
      <w:r w:rsidR="0094781A">
        <w:t>s</w:t>
      </w:r>
      <w:bookmarkEnd w:id="4"/>
    </w:p>
    <w:p w14:paraId="1D8A9A92" w14:textId="77777777" w:rsidR="00E54B4E" w:rsidRDefault="00000000">
      <w:pPr>
        <w:spacing w:after="160"/>
      </w:pPr>
      <w:r>
        <w:t>The following prerequisites should be validated before beginning configuration.</w:t>
      </w:r>
    </w:p>
    <w:p w14:paraId="0605D4A0" w14:textId="3CB3466E" w:rsidR="00E40F8D" w:rsidRPr="00E40F8D" w:rsidRDefault="00000000" w:rsidP="00E40F8D">
      <w:pPr>
        <w:rPr>
          <w:b/>
          <w:bCs/>
          <w:sz w:val="24"/>
          <w:szCs w:val="24"/>
        </w:rPr>
      </w:pPr>
      <w:r w:rsidRPr="00E40F8D">
        <w:rPr>
          <w:b/>
          <w:bCs/>
          <w:sz w:val="24"/>
          <w:szCs w:val="24"/>
        </w:rPr>
        <w:t>Microsoft Defender XDR</w:t>
      </w:r>
    </w:p>
    <w:p w14:paraId="07D09DBA" w14:textId="77777777" w:rsidR="00E54B4E" w:rsidRDefault="00000000">
      <w:pPr>
        <w:spacing w:after="160"/>
      </w:pPr>
      <w:r>
        <w:t>The tenant must be onboarded to Microsoft Defender XDR (accessible via the unified Microsoft Defender portal at security.microsoft.com). Defender TI's Intel Explorer experience is surfaced inside this portal, and its indicators integrate with Defender XDR's incident and hunting experiences.</w:t>
      </w:r>
    </w:p>
    <w:p w14:paraId="489FFCD5" w14:textId="77777777" w:rsidR="00E40F8D" w:rsidRDefault="00E40F8D">
      <w:pPr>
        <w:spacing w:after="160"/>
      </w:pPr>
    </w:p>
    <w:p w14:paraId="74AB5430" w14:textId="44A1B5A3" w:rsidR="00E40F8D" w:rsidRPr="00E40F8D" w:rsidRDefault="00000000" w:rsidP="00E40F8D">
      <w:pPr>
        <w:rPr>
          <w:b/>
          <w:bCs/>
          <w:sz w:val="24"/>
          <w:szCs w:val="24"/>
        </w:rPr>
      </w:pPr>
      <w:r w:rsidRPr="00E40F8D">
        <w:rPr>
          <w:b/>
          <w:bCs/>
          <w:sz w:val="24"/>
          <w:szCs w:val="24"/>
        </w:rPr>
        <w:t>Required Licenses</w:t>
      </w:r>
    </w:p>
    <w:p w14:paraId="3A2257C8" w14:textId="77777777" w:rsidR="00E01508" w:rsidRDefault="00E01508" w:rsidP="00E01508">
      <w:pPr>
        <w:pStyle w:val="ListParagraph"/>
        <w:numPr>
          <w:ilvl w:val="0"/>
          <w:numId w:val="9"/>
        </w:numPr>
        <w:spacing w:after="80"/>
      </w:pPr>
      <w:r>
        <w:t>Standalone MDTI licensing is being retired. As of October 1, 2025, MDTI was removed from the Microsoft Product Terms as a separately purchasable SKU, and by August 1, 2026, standalone MDTI access ends entirely — there is no longer a dedicated MDTI license to buy.</w:t>
      </w:r>
    </w:p>
    <w:p w14:paraId="528E7536" w14:textId="77777777" w:rsidR="00E01508" w:rsidRDefault="00E01508" w:rsidP="00E01508">
      <w:pPr>
        <w:pStyle w:val="ListParagraph"/>
        <w:numPr>
          <w:ilvl w:val="0"/>
          <w:numId w:val="9"/>
        </w:numPr>
        <w:spacing w:after="80"/>
      </w:pPr>
      <w:r>
        <w:t xml:space="preserve">Post-transition access comes through Microsoft Defender or Microsoft Sentinel licensing. After August 1, 2026, MDTI capabilities are accessed purely via an active Microsoft Defender or Microsoft Sentinel license — not a separate product. (Third-party sources suggest this is included in Microsoft 365 E5 security at no extra cost, with E3 customers potentially needing to upgrade — but this specific E3/E5 breakdown should be confirmed directly with your Microsoft licensing rep, as it isn't explicitly stated in Microsoft's own Message </w:t>
      </w:r>
      <w:proofErr w:type="spellStart"/>
      <w:r>
        <w:t>Center</w:t>
      </w:r>
      <w:proofErr w:type="spellEnd"/>
      <w:r>
        <w:t xml:space="preserve"> post.)</w:t>
      </w:r>
    </w:p>
    <w:p w14:paraId="0833769D" w14:textId="3E33857D" w:rsidR="00E40F8D" w:rsidRDefault="00E01508" w:rsidP="00E01508">
      <w:pPr>
        <w:pStyle w:val="ListParagraph"/>
        <w:numPr>
          <w:ilvl w:val="0"/>
          <w:numId w:val="9"/>
        </w:numPr>
        <w:spacing w:after="80"/>
      </w:pPr>
      <w:r>
        <w:t>Sentinel ingestion is now free by default. As of August 2025, all MDTI data is published via the free Sentinel connector (the old paid "Premium connector + API license" model is being phased out), with new Threat Analytics APIs replacing the retired MDTI APIs — though standard Sentinel data ingestion/storage costs may still apply.</w:t>
      </w:r>
    </w:p>
    <w:p w14:paraId="5937D345" w14:textId="77777777" w:rsidR="00E01508" w:rsidRDefault="00E01508" w:rsidP="00E01508">
      <w:pPr>
        <w:pStyle w:val="ListParagraph"/>
        <w:spacing w:after="80"/>
        <w:ind w:left="920"/>
      </w:pPr>
    </w:p>
    <w:p w14:paraId="66FA7798" w14:textId="0AC21997" w:rsidR="00E40F8D" w:rsidRPr="00E40F8D" w:rsidRDefault="00000000" w:rsidP="00E40F8D">
      <w:pPr>
        <w:rPr>
          <w:b/>
          <w:bCs/>
          <w:sz w:val="24"/>
          <w:szCs w:val="24"/>
        </w:rPr>
      </w:pPr>
      <w:r w:rsidRPr="00E40F8D">
        <w:rPr>
          <w:b/>
          <w:bCs/>
          <w:sz w:val="24"/>
          <w:szCs w:val="24"/>
        </w:rPr>
        <w:t>Azure Permissions</w:t>
      </w:r>
    </w:p>
    <w:p w14:paraId="358CCD65" w14:textId="77777777" w:rsidR="00E54B4E" w:rsidRDefault="00000000">
      <w:pPr>
        <w:spacing w:after="160"/>
      </w:pPr>
      <w:r>
        <w:t>Where Defender TI intelligence is ingested into Microsoft Sentinel, the deploying account requires sufficient Azure RBAC permissions on the target Log Analytics workspace/Sentinel workspace — typically Microsoft Sentinel Contributor or workspace Owner/Contributor — to enable data connectors and configure analytics rules.</w:t>
      </w:r>
    </w:p>
    <w:p w14:paraId="1CEE0049" w14:textId="77777777" w:rsidR="00E40F8D" w:rsidRDefault="00E40F8D">
      <w:pPr>
        <w:spacing w:after="160"/>
      </w:pPr>
    </w:p>
    <w:p w14:paraId="75B073CE" w14:textId="77777777" w:rsidR="00E54B4E" w:rsidRPr="00E40F8D" w:rsidRDefault="00000000" w:rsidP="00E40F8D">
      <w:pPr>
        <w:rPr>
          <w:b/>
          <w:bCs/>
          <w:sz w:val="24"/>
          <w:szCs w:val="24"/>
        </w:rPr>
      </w:pPr>
      <w:r w:rsidRPr="00E40F8D">
        <w:rPr>
          <w:b/>
          <w:bCs/>
          <w:sz w:val="24"/>
          <w:szCs w:val="24"/>
        </w:rPr>
        <w:t>Microsoft Security Portal</w:t>
      </w:r>
    </w:p>
    <w:p w14:paraId="0D57970E" w14:textId="77777777" w:rsidR="00E54B4E" w:rsidRDefault="00000000">
      <w:pPr>
        <w:spacing w:after="160"/>
      </w:pPr>
      <w:r>
        <w:t>Administrative and analyst access is performed through the Microsoft Defender portal (security.microsoft.com). Depending on edition, some Defender TI capabilities have historically also been accessible via a dedicated portal (ti.defender.microsoft.com) for Standard/Community edition sign-in.</w:t>
      </w:r>
    </w:p>
    <w:p w14:paraId="4621766D" w14:textId="77777777" w:rsidR="00E92C22" w:rsidRDefault="00E92C22">
      <w:pPr>
        <w:spacing w:after="160"/>
      </w:pPr>
    </w:p>
    <w:p w14:paraId="1906C880" w14:textId="77777777" w:rsidR="00E92C22" w:rsidRDefault="00E92C22">
      <w:pPr>
        <w:spacing w:after="160"/>
      </w:pPr>
    </w:p>
    <w:p w14:paraId="2445C331" w14:textId="77777777" w:rsidR="00E92C22" w:rsidRDefault="00E92C22">
      <w:pPr>
        <w:spacing w:after="160"/>
      </w:pPr>
    </w:p>
    <w:p w14:paraId="5E9B258E" w14:textId="77777777" w:rsidR="00E92C22" w:rsidRDefault="00E92C22">
      <w:pPr>
        <w:spacing w:after="160"/>
      </w:pPr>
    </w:p>
    <w:p w14:paraId="011ED195" w14:textId="77777777" w:rsidR="00E92C22" w:rsidRDefault="00E92C22">
      <w:pPr>
        <w:spacing w:after="160"/>
      </w:pPr>
    </w:p>
    <w:p w14:paraId="744AB93E" w14:textId="77777777" w:rsidR="00E54B4E" w:rsidRDefault="00000000" w:rsidP="00E40F8D">
      <w:pPr>
        <w:rPr>
          <w:b/>
          <w:bCs/>
          <w:sz w:val="24"/>
          <w:szCs w:val="24"/>
        </w:rPr>
      </w:pPr>
      <w:r w:rsidRPr="00E40F8D">
        <w:rPr>
          <w:b/>
          <w:bCs/>
          <w:sz w:val="24"/>
          <w:szCs w:val="24"/>
        </w:rPr>
        <w:t>Required Roles</w:t>
      </w:r>
    </w:p>
    <w:p w14:paraId="5EBB3FEB" w14:textId="77777777" w:rsidR="00E40F8D" w:rsidRPr="00E40F8D" w:rsidRDefault="00E40F8D" w:rsidP="00E40F8D">
      <w:pPr>
        <w:rPr>
          <w:b/>
          <w:bCs/>
          <w:sz w:val="24"/>
          <w:szCs w:val="24"/>
        </w:rPr>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2400"/>
        <w:gridCol w:w="4560"/>
      </w:tblGrid>
      <w:tr w:rsidR="00E54B4E" w14:paraId="4D8849FF" w14:textId="77777777">
        <w:tblPrEx>
          <w:tblCellMar>
            <w:top w:w="0" w:type="dxa"/>
            <w:bottom w:w="0" w:type="dxa"/>
          </w:tblCellMar>
        </w:tblPrEx>
        <w:trPr>
          <w:tblHeader/>
        </w:trPr>
        <w:tc>
          <w:tcPr>
            <w:tcW w:w="2400" w:type="dxa"/>
            <w:shd w:val="clear" w:color="auto" w:fill="1F3864"/>
            <w:tcMar>
              <w:top w:w="100" w:type="dxa"/>
              <w:left w:w="120" w:type="dxa"/>
              <w:bottom w:w="100" w:type="dxa"/>
              <w:right w:w="120" w:type="dxa"/>
            </w:tcMar>
            <w:vAlign w:val="center"/>
          </w:tcPr>
          <w:p w14:paraId="71B17276" w14:textId="77777777" w:rsidR="00E54B4E" w:rsidRDefault="00000000">
            <w:r>
              <w:rPr>
                <w:b/>
                <w:bCs/>
                <w:color w:val="FFFFFF"/>
                <w:sz w:val="20"/>
                <w:szCs w:val="20"/>
              </w:rPr>
              <w:t>Role</w:t>
            </w:r>
          </w:p>
        </w:tc>
        <w:tc>
          <w:tcPr>
            <w:tcW w:w="2400" w:type="dxa"/>
            <w:shd w:val="clear" w:color="auto" w:fill="1F3864"/>
            <w:tcMar>
              <w:top w:w="100" w:type="dxa"/>
              <w:left w:w="120" w:type="dxa"/>
              <w:bottom w:w="100" w:type="dxa"/>
              <w:right w:w="120" w:type="dxa"/>
            </w:tcMar>
            <w:vAlign w:val="center"/>
          </w:tcPr>
          <w:p w14:paraId="3F810B48" w14:textId="77777777" w:rsidR="00E54B4E" w:rsidRDefault="00000000">
            <w:r>
              <w:rPr>
                <w:b/>
                <w:bCs/>
                <w:color w:val="FFFFFF"/>
                <w:sz w:val="20"/>
                <w:szCs w:val="20"/>
              </w:rPr>
              <w:t>Scope</w:t>
            </w:r>
          </w:p>
        </w:tc>
        <w:tc>
          <w:tcPr>
            <w:tcW w:w="4560" w:type="dxa"/>
            <w:shd w:val="clear" w:color="auto" w:fill="1F3864"/>
            <w:tcMar>
              <w:top w:w="100" w:type="dxa"/>
              <w:left w:w="120" w:type="dxa"/>
              <w:bottom w:w="100" w:type="dxa"/>
              <w:right w:w="120" w:type="dxa"/>
            </w:tcMar>
            <w:vAlign w:val="center"/>
          </w:tcPr>
          <w:p w14:paraId="549AB115" w14:textId="77777777" w:rsidR="00E54B4E" w:rsidRDefault="00000000">
            <w:r>
              <w:rPr>
                <w:b/>
                <w:bCs/>
                <w:color w:val="FFFFFF"/>
                <w:sz w:val="20"/>
                <w:szCs w:val="20"/>
              </w:rPr>
              <w:t>Purpose</w:t>
            </w:r>
          </w:p>
        </w:tc>
      </w:tr>
      <w:tr w:rsidR="00E54B4E" w14:paraId="73A34CFC"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008B8D8A" w14:textId="77777777" w:rsidR="00E54B4E" w:rsidRDefault="00000000">
            <w:r>
              <w:rPr>
                <w:sz w:val="20"/>
                <w:szCs w:val="20"/>
              </w:rPr>
              <w:t>Global Administrator</w:t>
            </w:r>
          </w:p>
        </w:tc>
        <w:tc>
          <w:tcPr>
            <w:tcW w:w="2400" w:type="dxa"/>
            <w:shd w:val="clear" w:color="auto" w:fill="FFFFFF"/>
            <w:tcMar>
              <w:top w:w="90" w:type="dxa"/>
              <w:left w:w="120" w:type="dxa"/>
              <w:bottom w:w="90" w:type="dxa"/>
              <w:right w:w="120" w:type="dxa"/>
            </w:tcMar>
            <w:vAlign w:val="center"/>
          </w:tcPr>
          <w:p w14:paraId="04C188B4" w14:textId="77777777" w:rsidR="00E54B4E" w:rsidRDefault="00000000">
            <w:r>
              <w:rPr>
                <w:sz w:val="20"/>
                <w:szCs w:val="20"/>
              </w:rPr>
              <w:t>Microsoft Entra ID (tenant-wide)</w:t>
            </w:r>
          </w:p>
        </w:tc>
        <w:tc>
          <w:tcPr>
            <w:tcW w:w="4560" w:type="dxa"/>
            <w:shd w:val="clear" w:color="auto" w:fill="FFFFFF"/>
            <w:tcMar>
              <w:top w:w="90" w:type="dxa"/>
              <w:left w:w="120" w:type="dxa"/>
              <w:bottom w:w="90" w:type="dxa"/>
              <w:right w:w="120" w:type="dxa"/>
            </w:tcMar>
            <w:vAlign w:val="center"/>
          </w:tcPr>
          <w:p w14:paraId="0FA62342" w14:textId="77777777" w:rsidR="00E54B4E" w:rsidRDefault="00000000">
            <w:r>
              <w:rPr>
                <w:sz w:val="20"/>
                <w:szCs w:val="20"/>
              </w:rPr>
              <w:t>Full administrative access; can assign Premium licenses and manage tenant-wide settings.</w:t>
            </w:r>
          </w:p>
        </w:tc>
      </w:tr>
      <w:tr w:rsidR="00E54B4E" w14:paraId="77D3F1BA" w14:textId="77777777">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5ACD4E59" w14:textId="77777777" w:rsidR="00E54B4E" w:rsidRDefault="00000000">
            <w:r>
              <w:rPr>
                <w:sz w:val="20"/>
                <w:szCs w:val="20"/>
              </w:rPr>
              <w:t>Security Administrator</w:t>
            </w:r>
          </w:p>
        </w:tc>
        <w:tc>
          <w:tcPr>
            <w:tcW w:w="2400" w:type="dxa"/>
            <w:shd w:val="clear" w:color="auto" w:fill="F2F2F2"/>
            <w:tcMar>
              <w:top w:w="90" w:type="dxa"/>
              <w:left w:w="120" w:type="dxa"/>
              <w:bottom w:w="90" w:type="dxa"/>
              <w:right w:w="120" w:type="dxa"/>
            </w:tcMar>
            <w:vAlign w:val="center"/>
          </w:tcPr>
          <w:p w14:paraId="1143807B" w14:textId="77777777" w:rsidR="00E54B4E" w:rsidRDefault="00000000">
            <w:r>
              <w:rPr>
                <w:sz w:val="20"/>
                <w:szCs w:val="20"/>
              </w:rPr>
              <w:t>Microsoft Entra ID</w:t>
            </w:r>
          </w:p>
        </w:tc>
        <w:tc>
          <w:tcPr>
            <w:tcW w:w="4560" w:type="dxa"/>
            <w:shd w:val="clear" w:color="auto" w:fill="F2F2F2"/>
            <w:tcMar>
              <w:top w:w="90" w:type="dxa"/>
              <w:left w:w="120" w:type="dxa"/>
              <w:bottom w:w="90" w:type="dxa"/>
              <w:right w:w="120" w:type="dxa"/>
            </w:tcMar>
            <w:vAlign w:val="center"/>
          </w:tcPr>
          <w:p w14:paraId="65A4A17C" w14:textId="77777777" w:rsidR="00E54B4E" w:rsidRDefault="00000000">
            <w:r>
              <w:rPr>
                <w:sz w:val="20"/>
                <w:szCs w:val="20"/>
              </w:rPr>
              <w:t>Full access to Defender XDR / Defender TI portal functionality.</w:t>
            </w:r>
          </w:p>
        </w:tc>
      </w:tr>
      <w:tr w:rsidR="00E54B4E" w14:paraId="7321D6CD"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18ED6B0D" w14:textId="77777777" w:rsidR="00E54B4E" w:rsidRDefault="00000000">
            <w:r>
              <w:rPr>
                <w:sz w:val="20"/>
                <w:szCs w:val="20"/>
              </w:rPr>
              <w:t>Security Operator</w:t>
            </w:r>
          </w:p>
        </w:tc>
        <w:tc>
          <w:tcPr>
            <w:tcW w:w="2400" w:type="dxa"/>
            <w:shd w:val="clear" w:color="auto" w:fill="FFFFFF"/>
            <w:tcMar>
              <w:top w:w="90" w:type="dxa"/>
              <w:left w:w="120" w:type="dxa"/>
              <w:bottom w:w="90" w:type="dxa"/>
              <w:right w:w="120" w:type="dxa"/>
            </w:tcMar>
            <w:vAlign w:val="center"/>
          </w:tcPr>
          <w:p w14:paraId="67309C93" w14:textId="77777777" w:rsidR="00E54B4E" w:rsidRDefault="00000000">
            <w:r>
              <w:rPr>
                <w:sz w:val="20"/>
                <w:szCs w:val="20"/>
              </w:rPr>
              <w:t>Microsoft Entra ID</w:t>
            </w:r>
          </w:p>
        </w:tc>
        <w:tc>
          <w:tcPr>
            <w:tcW w:w="4560" w:type="dxa"/>
            <w:shd w:val="clear" w:color="auto" w:fill="FFFFFF"/>
            <w:tcMar>
              <w:top w:w="90" w:type="dxa"/>
              <w:left w:w="120" w:type="dxa"/>
              <w:bottom w:w="90" w:type="dxa"/>
              <w:right w:w="120" w:type="dxa"/>
            </w:tcMar>
            <w:vAlign w:val="center"/>
          </w:tcPr>
          <w:p w14:paraId="4EF39ED9" w14:textId="77777777" w:rsidR="00E54B4E" w:rsidRDefault="00000000">
            <w:r>
              <w:rPr>
                <w:sz w:val="20"/>
                <w:szCs w:val="20"/>
              </w:rPr>
              <w:t>Operational access to investigate and respond using Defender TI data within Defender XDR.</w:t>
            </w:r>
          </w:p>
        </w:tc>
      </w:tr>
      <w:tr w:rsidR="00E54B4E" w14:paraId="04958A4B" w14:textId="77777777">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743A6CDB" w14:textId="77777777" w:rsidR="00E54B4E" w:rsidRDefault="00000000">
            <w:r>
              <w:rPr>
                <w:sz w:val="20"/>
                <w:szCs w:val="20"/>
              </w:rPr>
              <w:t>Global Reader</w:t>
            </w:r>
          </w:p>
        </w:tc>
        <w:tc>
          <w:tcPr>
            <w:tcW w:w="2400" w:type="dxa"/>
            <w:shd w:val="clear" w:color="auto" w:fill="F2F2F2"/>
            <w:tcMar>
              <w:top w:w="90" w:type="dxa"/>
              <w:left w:w="120" w:type="dxa"/>
              <w:bottom w:w="90" w:type="dxa"/>
              <w:right w:w="120" w:type="dxa"/>
            </w:tcMar>
            <w:vAlign w:val="center"/>
          </w:tcPr>
          <w:p w14:paraId="006F0D77" w14:textId="77777777" w:rsidR="00E54B4E" w:rsidRDefault="00000000">
            <w:r>
              <w:rPr>
                <w:sz w:val="20"/>
                <w:szCs w:val="20"/>
              </w:rPr>
              <w:t>Microsoft Entra ID</w:t>
            </w:r>
          </w:p>
        </w:tc>
        <w:tc>
          <w:tcPr>
            <w:tcW w:w="4560" w:type="dxa"/>
            <w:shd w:val="clear" w:color="auto" w:fill="F2F2F2"/>
            <w:tcMar>
              <w:top w:w="90" w:type="dxa"/>
              <w:left w:w="120" w:type="dxa"/>
              <w:bottom w:w="90" w:type="dxa"/>
              <w:right w:w="120" w:type="dxa"/>
            </w:tcMar>
            <w:vAlign w:val="center"/>
          </w:tcPr>
          <w:p w14:paraId="3F64441B" w14:textId="77777777" w:rsidR="00E54B4E" w:rsidRDefault="00000000">
            <w:r>
              <w:rPr>
                <w:sz w:val="20"/>
                <w:szCs w:val="20"/>
              </w:rPr>
              <w:t>Read-only access across Microsoft 365 and security workloads, including Defender TI views.</w:t>
            </w:r>
          </w:p>
        </w:tc>
      </w:tr>
      <w:tr w:rsidR="00E54B4E" w14:paraId="50DAE18C"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77E70CF3" w14:textId="77777777" w:rsidR="00E54B4E" w:rsidRDefault="00000000">
            <w:r>
              <w:rPr>
                <w:sz w:val="20"/>
                <w:szCs w:val="20"/>
              </w:rPr>
              <w:t>Security Reader</w:t>
            </w:r>
          </w:p>
        </w:tc>
        <w:tc>
          <w:tcPr>
            <w:tcW w:w="2400" w:type="dxa"/>
            <w:shd w:val="clear" w:color="auto" w:fill="FFFFFF"/>
            <w:tcMar>
              <w:top w:w="90" w:type="dxa"/>
              <w:left w:w="120" w:type="dxa"/>
              <w:bottom w:w="90" w:type="dxa"/>
              <w:right w:w="120" w:type="dxa"/>
            </w:tcMar>
            <w:vAlign w:val="center"/>
          </w:tcPr>
          <w:p w14:paraId="75E8BED6" w14:textId="77777777" w:rsidR="00E54B4E" w:rsidRDefault="00000000">
            <w:r>
              <w:rPr>
                <w:sz w:val="20"/>
                <w:szCs w:val="20"/>
              </w:rPr>
              <w:t>Microsoft Entra ID</w:t>
            </w:r>
          </w:p>
        </w:tc>
        <w:tc>
          <w:tcPr>
            <w:tcW w:w="4560" w:type="dxa"/>
            <w:shd w:val="clear" w:color="auto" w:fill="FFFFFF"/>
            <w:tcMar>
              <w:top w:w="90" w:type="dxa"/>
              <w:left w:w="120" w:type="dxa"/>
              <w:bottom w:w="90" w:type="dxa"/>
              <w:right w:w="120" w:type="dxa"/>
            </w:tcMar>
            <w:vAlign w:val="center"/>
          </w:tcPr>
          <w:p w14:paraId="7CEDFB9E" w14:textId="77777777" w:rsidR="00E54B4E" w:rsidRDefault="00000000">
            <w:r>
              <w:rPr>
                <w:sz w:val="20"/>
                <w:szCs w:val="20"/>
              </w:rPr>
              <w:t>Read-only access to Defender TI and Defender XDR data.</w:t>
            </w:r>
          </w:p>
        </w:tc>
      </w:tr>
      <w:tr w:rsidR="00E54B4E" w14:paraId="3AC8350E" w14:textId="77777777">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780B8927" w14:textId="77777777" w:rsidR="00E54B4E" w:rsidRDefault="00000000">
            <w:r>
              <w:rPr>
                <w:sz w:val="20"/>
                <w:szCs w:val="20"/>
              </w:rPr>
              <w:t>Identity Governance Administrator</w:t>
            </w:r>
          </w:p>
        </w:tc>
        <w:tc>
          <w:tcPr>
            <w:tcW w:w="2400" w:type="dxa"/>
            <w:shd w:val="clear" w:color="auto" w:fill="F2F2F2"/>
            <w:tcMar>
              <w:top w:w="90" w:type="dxa"/>
              <w:left w:w="120" w:type="dxa"/>
              <w:bottom w:w="90" w:type="dxa"/>
              <w:right w:w="120" w:type="dxa"/>
            </w:tcMar>
            <w:vAlign w:val="center"/>
          </w:tcPr>
          <w:p w14:paraId="6D99A071" w14:textId="77777777" w:rsidR="00E54B4E" w:rsidRDefault="00000000">
            <w:r>
              <w:rPr>
                <w:sz w:val="20"/>
                <w:szCs w:val="20"/>
              </w:rPr>
              <w:t>Microsoft Entra ID</w:t>
            </w:r>
          </w:p>
        </w:tc>
        <w:tc>
          <w:tcPr>
            <w:tcW w:w="4560" w:type="dxa"/>
            <w:shd w:val="clear" w:color="auto" w:fill="F2F2F2"/>
            <w:tcMar>
              <w:top w:w="90" w:type="dxa"/>
              <w:left w:w="120" w:type="dxa"/>
              <w:bottom w:w="90" w:type="dxa"/>
              <w:right w:w="120" w:type="dxa"/>
            </w:tcMar>
            <w:vAlign w:val="center"/>
          </w:tcPr>
          <w:p w14:paraId="39ACF1E2" w14:textId="77777777" w:rsidR="00E54B4E" w:rsidRDefault="00000000">
            <w:r>
              <w:rPr>
                <w:sz w:val="20"/>
                <w:szCs w:val="20"/>
              </w:rPr>
              <w:t>Alternative role capable of assigning Premium license seats.</w:t>
            </w:r>
          </w:p>
        </w:tc>
      </w:tr>
    </w:tbl>
    <w:p w14:paraId="71317C08" w14:textId="77777777" w:rsidR="000A4F57" w:rsidRDefault="000A4F57">
      <w:pPr>
        <w:spacing w:after="160"/>
      </w:pPr>
    </w:p>
    <w:p w14:paraId="2DA83EA4" w14:textId="105392C0" w:rsidR="00E54B4E" w:rsidRDefault="00000000">
      <w:pPr>
        <w:spacing w:after="160"/>
      </w:pPr>
      <w:r>
        <w:t>Microsoft recommends applying the principle of least privilege — assign Security Reader for analysts who only need to consume intelligence, and reserve Security Administrator/Global Administrator for configuration and licensing tasks.</w:t>
      </w:r>
    </w:p>
    <w:p w14:paraId="3463ABF7" w14:textId="77777777" w:rsidR="000F538C" w:rsidRDefault="000F538C" w:rsidP="000F538C"/>
    <w:p w14:paraId="55637152" w14:textId="1D006D09" w:rsidR="00E54B4E" w:rsidRDefault="00000000" w:rsidP="000F538C">
      <w:pPr>
        <w:pStyle w:val="Heading1"/>
      </w:pPr>
      <w:bookmarkStart w:id="5" w:name="_Toc235805606"/>
      <w:r>
        <w:t>Configuration</w:t>
      </w:r>
      <w:bookmarkEnd w:id="5"/>
    </w:p>
    <w:p w14:paraId="62FF3439" w14:textId="77777777" w:rsidR="00E54B4E" w:rsidRDefault="00000000">
      <w:pPr>
        <w:spacing w:after="160"/>
      </w:pPr>
      <w:r>
        <w:t>Defender TI configuration is largely portal-driven. The following steps outline configuring the service from scratch.</w:t>
      </w:r>
    </w:p>
    <w:p w14:paraId="73835BF3" w14:textId="77777777" w:rsidR="00E54B4E" w:rsidRDefault="00000000">
      <w:pPr>
        <w:pStyle w:val="ListParagraph"/>
        <w:numPr>
          <w:ilvl w:val="0"/>
          <w:numId w:val="3"/>
        </w:numPr>
        <w:spacing w:after="80"/>
      </w:pPr>
      <w:r>
        <w:t>Confirm tenant onboarding to Microsoft Defender XDR and sign in to the Microsoft Defender portal (security.microsoft.com) with an account holding the Security Administrator or Global Administrator role.</w:t>
      </w:r>
    </w:p>
    <w:p w14:paraId="116B730A" w14:textId="77777777" w:rsidR="00E54B4E" w:rsidRDefault="00000000">
      <w:pPr>
        <w:pStyle w:val="ListParagraph"/>
        <w:numPr>
          <w:ilvl w:val="0"/>
          <w:numId w:val="3"/>
        </w:numPr>
        <w:spacing w:after="80"/>
      </w:pPr>
      <w:r>
        <w:lastRenderedPageBreak/>
        <w:t xml:space="preserve">Verify or assign licensing: for Premium capabilities, a Global Administrator or Identity Governance Administrator assigns Defender TI Premium license seats via the Microsoft Entra admin </w:t>
      </w:r>
      <w:proofErr w:type="spellStart"/>
      <w:r>
        <w:t>center</w:t>
      </w:r>
      <w:proofErr w:type="spellEnd"/>
      <w:r>
        <w:t xml:space="preserve"> or Microsoft 365 admin </w:t>
      </w:r>
      <w:proofErr w:type="spellStart"/>
      <w:r>
        <w:t>center</w:t>
      </w:r>
      <w:proofErr w:type="spellEnd"/>
      <w:r>
        <w:t>.</w:t>
      </w:r>
    </w:p>
    <w:p w14:paraId="6229008D" w14:textId="77777777" w:rsidR="00E54B4E" w:rsidRDefault="00000000">
      <w:pPr>
        <w:pStyle w:val="ListParagraph"/>
        <w:numPr>
          <w:ilvl w:val="0"/>
          <w:numId w:val="3"/>
        </w:numPr>
        <w:spacing w:after="80"/>
      </w:pPr>
      <w:r>
        <w:t>Navigate to Intel Explorer within the Defender portal to confirm the Defender TI workload is active for the tenant.</w:t>
      </w:r>
    </w:p>
    <w:p w14:paraId="5A070AB8" w14:textId="77777777" w:rsidR="00E54B4E" w:rsidRDefault="00000000">
      <w:pPr>
        <w:pStyle w:val="ListParagraph"/>
        <w:numPr>
          <w:ilvl w:val="0"/>
          <w:numId w:val="3"/>
        </w:numPr>
        <w:spacing w:after="80"/>
      </w:pPr>
      <w:r>
        <w:t>Configure role-based access: assign Security Reader, Security Operator, or Security Administrator roles to the appropriate Microsoft Entra security groups so analysts receive the correct level of access.</w:t>
      </w:r>
    </w:p>
    <w:p w14:paraId="5B332B74" w14:textId="77777777" w:rsidR="00E54B4E" w:rsidRDefault="00000000">
      <w:pPr>
        <w:pStyle w:val="ListParagraph"/>
        <w:numPr>
          <w:ilvl w:val="0"/>
          <w:numId w:val="3"/>
        </w:numPr>
        <w:spacing w:after="80"/>
      </w:pPr>
      <w:r>
        <w:t>Customize the portal experience: pin the Featured Threat Intelligence Articles widget to the Defender portal home page and configure any relevant dashboards.</w:t>
      </w:r>
    </w:p>
    <w:p w14:paraId="5516EF95" w14:textId="77777777" w:rsidR="00E54B4E" w:rsidRDefault="00000000">
      <w:pPr>
        <w:pStyle w:val="ListParagraph"/>
        <w:numPr>
          <w:ilvl w:val="0"/>
          <w:numId w:val="3"/>
        </w:numPr>
        <w:spacing w:after="80"/>
      </w:pPr>
      <w:r>
        <w:t>Establish taxonomy for Tags and Projects (naming conventions, ownership) so investigations remain consistent and discoverable across the analyst team.</w:t>
      </w:r>
    </w:p>
    <w:p w14:paraId="6BF21D4A" w14:textId="77777777" w:rsidR="00E54B4E" w:rsidRDefault="00000000">
      <w:pPr>
        <w:pStyle w:val="ListParagraph"/>
        <w:numPr>
          <w:ilvl w:val="0"/>
          <w:numId w:val="3"/>
        </w:numPr>
        <w:spacing w:after="80"/>
      </w:pPr>
      <w:r>
        <w:t>If integrating with Microsoft Sentinel, enable the Defender Threat Intelligence data connector (Standard or Premium) in the target Sentinel workspace.</w:t>
      </w:r>
    </w:p>
    <w:p w14:paraId="77EA47A4" w14:textId="77777777" w:rsidR="000F538C" w:rsidRDefault="00000000" w:rsidP="000F538C">
      <w:pPr>
        <w:pStyle w:val="ListParagraph"/>
        <w:numPr>
          <w:ilvl w:val="0"/>
          <w:numId w:val="3"/>
        </w:numPr>
        <w:spacing w:after="80"/>
      </w:pPr>
      <w:r>
        <w:t>Validate configuration by performing a sample indicator, keyword, and CVE search in Intel Explorer, and confirming reputation scores and analyst insights render as expected.</w:t>
      </w:r>
      <w:r w:rsidR="000F538C">
        <w:br/>
      </w:r>
    </w:p>
    <w:p w14:paraId="48EFF262" w14:textId="77777777" w:rsidR="000F538C" w:rsidRDefault="000F538C" w:rsidP="000F538C">
      <w:pPr>
        <w:spacing w:after="80"/>
        <w:ind w:left="200"/>
      </w:pPr>
    </w:p>
    <w:p w14:paraId="383276D0" w14:textId="77777777" w:rsidR="000F538C" w:rsidRDefault="000F538C" w:rsidP="000F538C">
      <w:pPr>
        <w:pStyle w:val="Heading1"/>
      </w:pPr>
      <w:bookmarkStart w:id="6" w:name="_Toc235805607"/>
      <w:r>
        <w:t>1. What is Defender for TI?</w:t>
      </w:r>
      <w:bookmarkEnd w:id="6"/>
    </w:p>
    <w:p w14:paraId="0304E1E8" w14:textId="77777777" w:rsidR="000F538C" w:rsidRDefault="000F538C" w:rsidP="000F538C">
      <w:pPr>
        <w:spacing w:after="160"/>
      </w:pPr>
      <w:r>
        <w:t xml:space="preserve">Microsoft Defender Threat Intelligence (Defender TI), formerly built on </w:t>
      </w:r>
      <w:proofErr w:type="spellStart"/>
      <w:r>
        <w:t>RiskIQ</w:t>
      </w:r>
      <w:proofErr w:type="spellEnd"/>
      <w:r>
        <w:t xml:space="preserve"> technology, is a platform that streamlines triage, incident response, threat hunting, vulnerability management, and threat-intelligence analyst workflows related to threat infrastructure analysis. It reimagines the traditional analyst workflow — where analysts previously had to manually collect DNS data, WHOIS records, malware samples, and SSL certificate details from multiple, disconnected repositories — by aggregating and enriching these critical data sources into a single, correlated interface.</w:t>
      </w:r>
    </w:p>
    <w:p w14:paraId="6D5B3AAD" w14:textId="77777777" w:rsidR="000F538C" w:rsidRDefault="000F538C" w:rsidP="000F538C">
      <w:pPr>
        <w:spacing w:after="160"/>
      </w:pPr>
      <w:r>
        <w:t>Within Defender TI, analysts can correlate indicators of compromise (IOCs) with related articles, threat actor profiles, and vulnerability data, and can collaborate with other Defender TI-licensed users in the same tenant on shared investigations.</w:t>
      </w:r>
    </w:p>
    <w:p w14:paraId="5FE6DDEF" w14:textId="77777777" w:rsidR="000F538C" w:rsidRDefault="000F538C" w:rsidP="00E40F8D">
      <w:pPr>
        <w:rPr>
          <w:b/>
          <w:bCs/>
          <w:sz w:val="24"/>
          <w:szCs w:val="24"/>
        </w:rPr>
      </w:pPr>
      <w:r w:rsidRPr="00E40F8D">
        <w:rPr>
          <w:b/>
          <w:bCs/>
          <w:sz w:val="24"/>
          <w:szCs w:val="24"/>
        </w:rPr>
        <w:t>Core Capabilities</w:t>
      </w:r>
    </w:p>
    <w:p w14:paraId="7AE74C22" w14:textId="77777777" w:rsidR="00E40F8D" w:rsidRPr="00E40F8D" w:rsidRDefault="00E40F8D" w:rsidP="00E40F8D">
      <w:pPr>
        <w:rPr>
          <w:b/>
          <w:bCs/>
          <w:sz w:val="24"/>
          <w:szCs w:val="24"/>
        </w:rPr>
      </w:pPr>
    </w:p>
    <w:p w14:paraId="36DCF78F" w14:textId="77777777" w:rsidR="000F538C" w:rsidRDefault="000F538C" w:rsidP="000F538C">
      <w:pPr>
        <w:pStyle w:val="ListParagraph"/>
        <w:numPr>
          <w:ilvl w:val="0"/>
          <w:numId w:val="2"/>
        </w:numPr>
        <w:spacing w:after="80"/>
      </w:pPr>
      <w:r>
        <w:t>Intel Explorer — a searchable hub of threat intelligence articles, keyword/IOC/CVE search, and featured Microsoft research.</w:t>
      </w:r>
    </w:p>
    <w:p w14:paraId="56120BB4" w14:textId="77777777" w:rsidR="000F538C" w:rsidRDefault="000F538C" w:rsidP="000F538C">
      <w:pPr>
        <w:pStyle w:val="ListParagraph"/>
        <w:numPr>
          <w:ilvl w:val="0"/>
          <w:numId w:val="2"/>
        </w:numPr>
        <w:spacing w:after="80"/>
      </w:pPr>
      <w:r>
        <w:t>Reputation scoring — proprietary trust/risk scores for hosts, domains, and IP addresses.</w:t>
      </w:r>
    </w:p>
    <w:p w14:paraId="0D57E1AB" w14:textId="77777777" w:rsidR="000F538C" w:rsidRDefault="000F538C" w:rsidP="000F538C">
      <w:pPr>
        <w:pStyle w:val="ListParagraph"/>
        <w:numPr>
          <w:ilvl w:val="0"/>
          <w:numId w:val="2"/>
        </w:numPr>
        <w:spacing w:after="80"/>
      </w:pPr>
      <w:r>
        <w:t>Analyst insights — concise, automatically generated observations that help assess whether an indicator is malicious, suspicious, or benign.</w:t>
      </w:r>
    </w:p>
    <w:p w14:paraId="7F791876" w14:textId="77777777" w:rsidR="000F538C" w:rsidRDefault="000F538C" w:rsidP="000F538C">
      <w:pPr>
        <w:pStyle w:val="ListParagraph"/>
        <w:numPr>
          <w:ilvl w:val="0"/>
          <w:numId w:val="2"/>
        </w:numPr>
        <w:spacing w:after="80"/>
      </w:pPr>
      <w:r>
        <w:lastRenderedPageBreak/>
        <w:t>Data sets — resolutions, WHOIS, SSL certificates, subdomains, DNS/reverse DNS, and detonation-derived data (trackers, components, host pairs, cookies).</w:t>
      </w:r>
    </w:p>
    <w:p w14:paraId="63AC61AC" w14:textId="77777777" w:rsidR="000F538C" w:rsidRDefault="000F538C" w:rsidP="000F538C">
      <w:pPr>
        <w:pStyle w:val="ListParagraph"/>
        <w:numPr>
          <w:ilvl w:val="0"/>
          <w:numId w:val="2"/>
        </w:numPr>
        <w:spacing w:after="80"/>
      </w:pPr>
      <w:r>
        <w:t>Tags and Projects — mechanisms for analysts to label indicators and organize ongoing investigations with full history and collaboration.</w:t>
      </w:r>
    </w:p>
    <w:p w14:paraId="672BF898" w14:textId="77777777" w:rsidR="000F538C" w:rsidRDefault="000F538C" w:rsidP="000F538C">
      <w:pPr>
        <w:pStyle w:val="ListParagraph"/>
        <w:numPr>
          <w:ilvl w:val="0"/>
          <w:numId w:val="2"/>
        </w:numPr>
        <w:spacing w:after="80"/>
      </w:pPr>
      <w:r>
        <w:t>Vulnerability (CVE) articles — CVE-specific intelligence including affected components, mitigation guidance, and a Defender TI priority score.</w:t>
      </w:r>
    </w:p>
    <w:p w14:paraId="41F17192" w14:textId="77777777" w:rsidR="00E40F8D" w:rsidRDefault="00E40F8D" w:rsidP="00E40F8D">
      <w:pPr>
        <w:pStyle w:val="ListParagraph"/>
        <w:spacing w:after="80"/>
        <w:ind w:left="460"/>
      </w:pPr>
    </w:p>
    <w:p w14:paraId="1CECDBC1" w14:textId="77777777" w:rsidR="000F538C" w:rsidRPr="00E40F8D" w:rsidRDefault="000F538C" w:rsidP="00E40F8D">
      <w:pPr>
        <w:rPr>
          <w:b/>
          <w:bCs/>
          <w:sz w:val="24"/>
          <w:szCs w:val="24"/>
        </w:rPr>
      </w:pPr>
      <w:r w:rsidRPr="00E40F8D">
        <w:rPr>
          <w:b/>
          <w:bCs/>
          <w:sz w:val="24"/>
          <w:szCs w:val="24"/>
        </w:rPr>
        <w:t>Positioning in the Microsoft Security Ecosystem</w:t>
      </w:r>
    </w:p>
    <w:p w14:paraId="691468A9" w14:textId="567CCFE1" w:rsidR="000F538C" w:rsidRDefault="000F538C" w:rsidP="0094781A">
      <w:pPr>
        <w:spacing w:after="160"/>
      </w:pPr>
      <w:r>
        <w:t>Defender TI is designed to complement, not replace, the broader Microsoft Security suite. It extends the reach and context of Microsoft Defender XDR, Microsoft Sentinel, and Microsoft Security Copilot by supplying enriched external threat context — adversary infrastructure, reputation data, and finished intelligence — that these platforms can consume for detection, correlation, and hunting.</w:t>
      </w:r>
    </w:p>
    <w:p w14:paraId="4F1631F2" w14:textId="77777777" w:rsidR="000F538C" w:rsidRDefault="000F538C" w:rsidP="000F538C">
      <w:pPr>
        <w:spacing w:after="80"/>
        <w:ind w:left="200"/>
      </w:pPr>
    </w:p>
    <w:p w14:paraId="4DBF6D17" w14:textId="1CBD33C5" w:rsidR="00E54B4E" w:rsidRDefault="000F538C" w:rsidP="000F538C">
      <w:pPr>
        <w:pStyle w:val="Heading1"/>
      </w:pPr>
      <w:bookmarkStart w:id="7" w:name="_Toc235805608"/>
      <w:r>
        <w:t xml:space="preserve">2. </w:t>
      </w:r>
      <w:r w:rsidR="00000000">
        <w:t xml:space="preserve"> Implementation</w:t>
      </w:r>
      <w:bookmarkEnd w:id="7"/>
    </w:p>
    <w:p w14:paraId="43C8E2A6" w14:textId="77777777" w:rsidR="00E54B4E" w:rsidRDefault="00000000">
      <w:pPr>
        <w:spacing w:after="160"/>
      </w:pPr>
      <w:r>
        <w:t>The following phased approach describes an end-to-end deployment of Defender TI for a customer environment.</w:t>
      </w:r>
    </w:p>
    <w:p w14:paraId="0CABC53D" w14:textId="77777777" w:rsidR="00E54B4E" w:rsidRDefault="00000000">
      <w:pPr>
        <w:pStyle w:val="Heading2"/>
      </w:pPr>
      <w:bookmarkStart w:id="8" w:name="_Toc235805609"/>
      <w:r>
        <w:t>Phase 1 — Planning and Licensing</w:t>
      </w:r>
      <w:bookmarkEnd w:id="8"/>
    </w:p>
    <w:p w14:paraId="34BA5ADA" w14:textId="77777777" w:rsidR="00E54B4E" w:rsidRDefault="00000000">
      <w:pPr>
        <w:pStyle w:val="ListParagraph"/>
        <w:numPr>
          <w:ilvl w:val="0"/>
          <w:numId w:val="2"/>
        </w:numPr>
        <w:spacing w:after="80"/>
      </w:pPr>
      <w:r>
        <w:t>Confirm business use cases (threat hunting, vulnerability prioritization, brand/infrastructure monitoring, SOC enrichment).</w:t>
      </w:r>
    </w:p>
    <w:p w14:paraId="6C3C1EAE" w14:textId="77777777" w:rsidR="00E54B4E" w:rsidRDefault="00000000">
      <w:pPr>
        <w:pStyle w:val="ListParagraph"/>
        <w:numPr>
          <w:ilvl w:val="0"/>
          <w:numId w:val="2"/>
        </w:numPr>
        <w:spacing w:after="80"/>
      </w:pPr>
      <w:r>
        <w:t>Engage the Microsoft account team to confirm current licensing/entitlement path, given the product's convergence into Sentinel and Defender XDR.</w:t>
      </w:r>
    </w:p>
    <w:p w14:paraId="5971EFF9" w14:textId="77777777" w:rsidR="00E54B4E" w:rsidRDefault="00000000">
      <w:pPr>
        <w:pStyle w:val="ListParagraph"/>
        <w:numPr>
          <w:ilvl w:val="0"/>
          <w:numId w:val="2"/>
        </w:numPr>
        <w:spacing w:after="80"/>
      </w:pPr>
      <w:r>
        <w:t>Identify target integrations: Microsoft Defender XDR, Microsoft Sentinel, and (where applicable) Microsoft Security Copilot.</w:t>
      </w:r>
    </w:p>
    <w:p w14:paraId="030FF98E" w14:textId="77777777" w:rsidR="00E54B4E" w:rsidRDefault="00000000">
      <w:pPr>
        <w:pStyle w:val="Heading2"/>
      </w:pPr>
      <w:bookmarkStart w:id="9" w:name="_Toc235805610"/>
      <w:r>
        <w:t>Phase 2 — Access and RBAC</w:t>
      </w:r>
      <w:bookmarkEnd w:id="9"/>
    </w:p>
    <w:p w14:paraId="16E564C0" w14:textId="77777777" w:rsidR="00E54B4E" w:rsidRDefault="00000000">
      <w:pPr>
        <w:pStyle w:val="ListParagraph"/>
        <w:numPr>
          <w:ilvl w:val="0"/>
          <w:numId w:val="2"/>
        </w:numPr>
        <w:spacing w:after="80"/>
      </w:pPr>
      <w:r>
        <w:t>Assign Global Administrator/Security Administrator for initial setup.</w:t>
      </w:r>
    </w:p>
    <w:p w14:paraId="7956DB03" w14:textId="77777777" w:rsidR="00E54B4E" w:rsidRDefault="00000000">
      <w:pPr>
        <w:pStyle w:val="ListParagraph"/>
        <w:numPr>
          <w:ilvl w:val="0"/>
          <w:numId w:val="2"/>
        </w:numPr>
        <w:spacing w:after="80"/>
      </w:pPr>
      <w:r>
        <w:t>Create or reuse Microsoft Entra security groups mapped to Security Reader, Security Operator, and Security Administrator roles for the SOC team.</w:t>
      </w:r>
    </w:p>
    <w:p w14:paraId="141CFAF4" w14:textId="77777777" w:rsidR="00E54B4E" w:rsidRDefault="00000000">
      <w:pPr>
        <w:pStyle w:val="ListParagraph"/>
        <w:numPr>
          <w:ilvl w:val="0"/>
          <w:numId w:val="2"/>
        </w:numPr>
        <w:spacing w:after="80"/>
      </w:pPr>
      <w:r>
        <w:t>Assign Premium license seats to named analysts, if applicable.</w:t>
      </w:r>
    </w:p>
    <w:p w14:paraId="36D415AB" w14:textId="77777777" w:rsidR="00E54B4E" w:rsidRDefault="00000000">
      <w:pPr>
        <w:pStyle w:val="Heading2"/>
      </w:pPr>
      <w:bookmarkStart w:id="10" w:name="_Toc235805611"/>
      <w:r>
        <w:t>Phase 3 — Portal Configuration</w:t>
      </w:r>
      <w:bookmarkEnd w:id="10"/>
    </w:p>
    <w:p w14:paraId="01500F5A" w14:textId="77777777" w:rsidR="00E54B4E" w:rsidRDefault="00000000">
      <w:pPr>
        <w:pStyle w:val="ListParagraph"/>
        <w:numPr>
          <w:ilvl w:val="0"/>
          <w:numId w:val="2"/>
        </w:numPr>
        <w:spacing w:after="80"/>
      </w:pPr>
      <w:r>
        <w:t>Activate and validate Intel Explorer access.</w:t>
      </w:r>
    </w:p>
    <w:p w14:paraId="77699515" w14:textId="77777777" w:rsidR="00E54B4E" w:rsidRDefault="00000000">
      <w:pPr>
        <w:pStyle w:val="ListParagraph"/>
        <w:numPr>
          <w:ilvl w:val="0"/>
          <w:numId w:val="2"/>
        </w:numPr>
        <w:spacing w:after="80"/>
      </w:pPr>
      <w:r>
        <w:t>Configure Tags and Projects conventions for the SOC.</w:t>
      </w:r>
    </w:p>
    <w:p w14:paraId="288938F9" w14:textId="77777777" w:rsidR="00E54B4E" w:rsidRDefault="00000000">
      <w:pPr>
        <w:pStyle w:val="ListParagraph"/>
        <w:numPr>
          <w:ilvl w:val="0"/>
          <w:numId w:val="2"/>
        </w:numPr>
        <w:spacing w:after="80"/>
      </w:pPr>
      <w:r>
        <w:t>Pin relevant widgets to the Defender portal home page.</w:t>
      </w:r>
    </w:p>
    <w:p w14:paraId="335B6E84" w14:textId="77777777" w:rsidR="00E54B4E" w:rsidRDefault="00000000">
      <w:pPr>
        <w:pStyle w:val="Heading2"/>
      </w:pPr>
      <w:bookmarkStart w:id="11" w:name="_Toc235805612"/>
      <w:r>
        <w:lastRenderedPageBreak/>
        <w:t>Phase 4 — Platform Integration</w:t>
      </w:r>
      <w:bookmarkEnd w:id="11"/>
    </w:p>
    <w:p w14:paraId="55AB916C" w14:textId="77777777" w:rsidR="00E54B4E" w:rsidRDefault="00000000">
      <w:pPr>
        <w:pStyle w:val="ListParagraph"/>
        <w:numPr>
          <w:ilvl w:val="0"/>
          <w:numId w:val="2"/>
        </w:numPr>
        <w:spacing w:after="80"/>
      </w:pPr>
      <w:r>
        <w:t xml:space="preserve">Enable the Defender Threat Intelligence data connector in Microsoft Sentinel (Standard and/or Premium) to stream IOCs into the </w:t>
      </w:r>
      <w:proofErr w:type="spellStart"/>
      <w:r>
        <w:t>ThreatIntelligenceIndicator</w:t>
      </w:r>
      <w:proofErr w:type="spellEnd"/>
      <w:r>
        <w:t xml:space="preserve"> table.</w:t>
      </w:r>
    </w:p>
    <w:p w14:paraId="31F6C369" w14:textId="77777777" w:rsidR="00E54B4E" w:rsidRDefault="00000000">
      <w:pPr>
        <w:pStyle w:val="ListParagraph"/>
        <w:numPr>
          <w:ilvl w:val="0"/>
          <w:numId w:val="2"/>
        </w:numPr>
        <w:spacing w:after="80"/>
      </w:pPr>
      <w:r>
        <w:t>Map ingested indicators to Sentinel analytics rules for automated alerting.</w:t>
      </w:r>
    </w:p>
    <w:p w14:paraId="62B3718D" w14:textId="77777777" w:rsidR="00E54B4E" w:rsidRDefault="00000000">
      <w:pPr>
        <w:pStyle w:val="ListParagraph"/>
        <w:numPr>
          <w:ilvl w:val="0"/>
          <w:numId w:val="2"/>
        </w:numPr>
        <w:spacing w:after="80"/>
      </w:pPr>
      <w:r>
        <w:t>Validate correlation of Defender TI indicators within Microsoft Defender XDR incidents and advanced hunting.</w:t>
      </w:r>
    </w:p>
    <w:p w14:paraId="19182955" w14:textId="77777777" w:rsidR="00E54B4E" w:rsidRDefault="00000000">
      <w:pPr>
        <w:pStyle w:val="Heading2"/>
      </w:pPr>
      <w:bookmarkStart w:id="12" w:name="_Toc235805613"/>
      <w:r>
        <w:t>Phase 5 — Validation</w:t>
      </w:r>
      <w:bookmarkEnd w:id="12"/>
    </w:p>
    <w:p w14:paraId="4EF66610" w14:textId="77777777" w:rsidR="00E54B4E" w:rsidRDefault="00000000">
      <w:pPr>
        <w:pStyle w:val="ListParagraph"/>
        <w:numPr>
          <w:ilvl w:val="0"/>
          <w:numId w:val="2"/>
        </w:numPr>
        <w:spacing w:after="80"/>
      </w:pPr>
      <w:r>
        <w:t>Run sample investigations: indicator search, CVE lookup, reputation scoring review, and article correlation.</w:t>
      </w:r>
    </w:p>
    <w:p w14:paraId="5DB658E4" w14:textId="77777777" w:rsidR="00E54B4E" w:rsidRDefault="00000000">
      <w:pPr>
        <w:pStyle w:val="ListParagraph"/>
        <w:numPr>
          <w:ilvl w:val="0"/>
          <w:numId w:val="2"/>
        </w:numPr>
        <w:spacing w:after="80"/>
      </w:pPr>
      <w:r>
        <w:t xml:space="preserve">Confirm data flow into Sentinel (query the </w:t>
      </w:r>
      <w:proofErr w:type="spellStart"/>
      <w:r>
        <w:t>ThreatIntelligenceIndicator</w:t>
      </w:r>
      <w:proofErr w:type="spellEnd"/>
      <w:r>
        <w:t xml:space="preserve"> table) and into Defender XDR hunting.</w:t>
      </w:r>
    </w:p>
    <w:p w14:paraId="377CFDF1" w14:textId="77777777" w:rsidR="00E54B4E" w:rsidRDefault="00000000">
      <w:pPr>
        <w:pStyle w:val="Heading2"/>
      </w:pPr>
      <w:bookmarkStart w:id="13" w:name="_Toc235805614"/>
      <w:r>
        <w:t>Phase 6 — Operationalize</w:t>
      </w:r>
      <w:bookmarkEnd w:id="13"/>
    </w:p>
    <w:p w14:paraId="5126DB98" w14:textId="77777777" w:rsidR="00E54B4E" w:rsidRDefault="00000000">
      <w:pPr>
        <w:pStyle w:val="ListParagraph"/>
        <w:numPr>
          <w:ilvl w:val="0"/>
          <w:numId w:val="2"/>
        </w:numPr>
        <w:spacing w:after="80"/>
      </w:pPr>
      <w:r>
        <w:t>Train analysts on Intel Explorer, reputation scoring, analyst insights, and Projects-based collaboration.</w:t>
      </w:r>
    </w:p>
    <w:p w14:paraId="5AC33647" w14:textId="77777777" w:rsidR="00E54B4E" w:rsidRDefault="00000000">
      <w:pPr>
        <w:pStyle w:val="ListParagraph"/>
        <w:numPr>
          <w:ilvl w:val="0"/>
          <w:numId w:val="2"/>
        </w:numPr>
        <w:spacing w:after="80"/>
      </w:pPr>
      <w:r>
        <w:t>Define standard operating procedures for triage, escalation, and reporting using Defender TI.</w:t>
      </w:r>
    </w:p>
    <w:p w14:paraId="0E061664" w14:textId="77777777" w:rsidR="00E54B4E" w:rsidRDefault="00000000">
      <w:pPr>
        <w:pStyle w:val="ListParagraph"/>
        <w:numPr>
          <w:ilvl w:val="0"/>
          <w:numId w:val="2"/>
        </w:numPr>
        <w:spacing w:after="80"/>
      </w:pPr>
      <w:r>
        <w:t>Establish a recurring review cadence given the platform's convergence roadmap (see Section 8 and Conclusion).</w:t>
      </w:r>
    </w:p>
    <w:p w14:paraId="7BA3E4B8" w14:textId="0AD595A9" w:rsidR="00E54B4E" w:rsidRDefault="00660903" w:rsidP="00660903">
      <w:pPr>
        <w:pStyle w:val="Heading1"/>
      </w:pPr>
      <w:r>
        <w:br/>
      </w:r>
      <w:r>
        <w:br/>
      </w:r>
      <w:bookmarkStart w:id="14" w:name="_Toc235805615"/>
      <w:r w:rsidR="000F538C">
        <w:t>3. Architecture</w:t>
      </w:r>
      <w:bookmarkEnd w:id="14"/>
    </w:p>
    <w:p w14:paraId="598A6792" w14:textId="77777777" w:rsidR="00E54B4E" w:rsidRDefault="00000000">
      <w:pPr>
        <w:spacing w:after="160"/>
      </w:pPr>
      <w:r>
        <w:t>Defender TI's architecture is built around large-scale internet data collection, enrichment, and correlation, exposed through a unified analyst interface and consumed by downstream Microsoft Security products.</w:t>
      </w:r>
    </w:p>
    <w:p w14:paraId="2DB42847" w14:textId="77777777" w:rsidR="00E54B4E" w:rsidRDefault="00000000">
      <w:pPr>
        <w:pStyle w:val="Heading2"/>
      </w:pPr>
      <w:bookmarkStart w:id="15" w:name="_Toc235805616"/>
      <w:r>
        <w:t>How Defender TI Works</w:t>
      </w:r>
      <w:bookmarkEnd w:id="15"/>
    </w:p>
    <w:p w14:paraId="63916553" w14:textId="4D80D663" w:rsidR="00C70EED" w:rsidRDefault="00C70EED">
      <w:pPr>
        <w:pStyle w:val="Heading2"/>
      </w:pPr>
      <w:bookmarkStart w:id="16" w:name="_Toc235805617"/>
      <w:r>
        <w:rPr>
          <w:noProof/>
        </w:rPr>
        <w:lastRenderedPageBreak/>
        <w:drawing>
          <wp:inline distT="0" distB="0" distL="0" distR="0" wp14:anchorId="183AFDC7" wp14:editId="12F9FE81">
            <wp:extent cx="5943600" cy="2214880"/>
            <wp:effectExtent l="0" t="0" r="0" b="0"/>
            <wp:docPr id="7527784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78495" name="Picture 7527784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214880"/>
                    </a:xfrm>
                    <a:prstGeom prst="rect">
                      <a:avLst/>
                    </a:prstGeom>
                  </pic:spPr>
                </pic:pic>
              </a:graphicData>
            </a:graphic>
          </wp:inline>
        </w:drawing>
      </w:r>
      <w:bookmarkEnd w:id="16"/>
    </w:p>
    <w:p w14:paraId="7379F645" w14:textId="77777777" w:rsidR="00E54B4E" w:rsidRDefault="00000000" w:rsidP="000A4F57">
      <w:pPr>
        <w:pStyle w:val="ListParagraph"/>
        <w:numPr>
          <w:ilvl w:val="0"/>
          <w:numId w:val="4"/>
        </w:numPr>
        <w:spacing w:after="80"/>
      </w:pPr>
      <w:r w:rsidRPr="00E40F8D">
        <w:rPr>
          <w:b/>
          <w:bCs/>
        </w:rPr>
        <w:t>Data collection</w:t>
      </w:r>
      <w:r>
        <w:t xml:space="preserve"> — Microsoft continuously collects, </w:t>
      </w:r>
      <w:proofErr w:type="spellStart"/>
      <w:r>
        <w:t>analyzes</w:t>
      </w:r>
      <w:proofErr w:type="spellEnd"/>
      <w:r>
        <w:t>, and indexes internet infrastructure data using passive DNS sensors, port scanning, and URL/file detonation, alongside WHOIS and SSL certificate registries.</w:t>
      </w:r>
    </w:p>
    <w:p w14:paraId="28E9A409" w14:textId="77777777" w:rsidR="00E54B4E" w:rsidRDefault="00000000" w:rsidP="000A4F57">
      <w:pPr>
        <w:pStyle w:val="ListParagraph"/>
        <w:numPr>
          <w:ilvl w:val="0"/>
          <w:numId w:val="4"/>
        </w:numPr>
        <w:spacing w:after="80"/>
      </w:pPr>
      <w:r w:rsidRPr="00E40F8D">
        <w:rPr>
          <w:b/>
          <w:bCs/>
        </w:rPr>
        <w:t>Data lake / data sets</w:t>
      </w:r>
      <w:r>
        <w:t xml:space="preserve"> — Collected data is organized into structured data sets: Resolutions, WHOIS, SSL certificates, Subdomains, DNS, Reverse DNS, and detonation-derived data (trackers, components, host pairs, cookies).</w:t>
      </w:r>
    </w:p>
    <w:p w14:paraId="2646C78F" w14:textId="345152E0" w:rsidR="00E54B4E" w:rsidRDefault="00000000" w:rsidP="000A4F57">
      <w:pPr>
        <w:pStyle w:val="ListParagraph"/>
        <w:numPr>
          <w:ilvl w:val="0"/>
          <w:numId w:val="4"/>
        </w:numPr>
        <w:spacing w:after="80"/>
      </w:pPr>
      <w:r w:rsidRPr="00E40F8D">
        <w:rPr>
          <w:b/>
          <w:bCs/>
        </w:rPr>
        <w:t>Enrichment layer</w:t>
      </w:r>
      <w:r>
        <w:t xml:space="preserve"> — Proprietary algorithms generate reputation scores for hosts, domains, and IP addresses, and analyst insights </w:t>
      </w:r>
      <w:r w:rsidR="00C70EED">
        <w:t>distils</w:t>
      </w:r>
      <w:r>
        <w:t xml:space="preserve"> Microsoft's broader signal set (trillions of daily signals) into concise, human-readable observations.</w:t>
      </w:r>
    </w:p>
    <w:p w14:paraId="04628E12" w14:textId="77777777" w:rsidR="00E54B4E" w:rsidRDefault="00000000" w:rsidP="000A4F57">
      <w:pPr>
        <w:pStyle w:val="ListParagraph"/>
        <w:numPr>
          <w:ilvl w:val="0"/>
          <w:numId w:val="4"/>
        </w:numPr>
        <w:spacing w:after="80"/>
      </w:pPr>
      <w:r w:rsidRPr="00E40F8D">
        <w:rPr>
          <w:b/>
          <w:bCs/>
        </w:rPr>
        <w:t>Presentation layer</w:t>
      </w:r>
      <w:r>
        <w:t xml:space="preserve"> — Intel Explorer in the Microsoft Defender portal surfaces articles, featured research, reputation summary cards, analyst insights, and search across indicators, keywords, and CVE IDs.</w:t>
      </w:r>
    </w:p>
    <w:p w14:paraId="53F10934" w14:textId="77777777" w:rsidR="00E54B4E" w:rsidRDefault="00000000" w:rsidP="000A4F57">
      <w:pPr>
        <w:pStyle w:val="ListParagraph"/>
        <w:numPr>
          <w:ilvl w:val="0"/>
          <w:numId w:val="4"/>
        </w:numPr>
        <w:spacing w:after="80"/>
      </w:pPr>
      <w:r w:rsidRPr="00E40F8D">
        <w:rPr>
          <w:b/>
          <w:bCs/>
        </w:rPr>
        <w:t>Collaboration layer</w:t>
      </w:r>
      <w:r>
        <w:t xml:space="preserve"> — Tags and Projects let analysts within the same tenant label indicators and share ongoing investigation context, avoiding duplicated effort.</w:t>
      </w:r>
    </w:p>
    <w:p w14:paraId="60FAE05D" w14:textId="77777777" w:rsidR="00E54B4E" w:rsidRDefault="00000000" w:rsidP="000A4F57">
      <w:pPr>
        <w:pStyle w:val="ListParagraph"/>
        <w:numPr>
          <w:ilvl w:val="0"/>
          <w:numId w:val="4"/>
        </w:numPr>
        <w:spacing w:after="80"/>
      </w:pPr>
      <w:r w:rsidRPr="00E40F8D">
        <w:rPr>
          <w:b/>
          <w:bCs/>
        </w:rPr>
        <w:t>Integration layer</w:t>
      </w:r>
      <w:r>
        <w:t xml:space="preserve"> — Data connectors export Defender TI indicators into Microsoft Sentinel (</w:t>
      </w:r>
      <w:proofErr w:type="spellStart"/>
      <w:r>
        <w:t>ThreatIntelligenceIndicator</w:t>
      </w:r>
      <w:proofErr w:type="spellEnd"/>
      <w:r>
        <w:t xml:space="preserve"> table) for use in analytics rules and hunting queries; indicators and context also surface natively within Microsoft Defender XDR incidents and advanced hunting, and can inform Microsoft Security Copilot investigations.</w:t>
      </w:r>
    </w:p>
    <w:p w14:paraId="2B4E241C" w14:textId="77777777" w:rsidR="00C70EED" w:rsidRDefault="00C70EED" w:rsidP="00C70EED">
      <w:pPr>
        <w:pStyle w:val="ListParagraph"/>
        <w:spacing w:after="80"/>
        <w:ind w:left="920"/>
      </w:pPr>
    </w:p>
    <w:p w14:paraId="218E343E" w14:textId="6398C220" w:rsidR="00E54B4E" w:rsidRDefault="00660903" w:rsidP="00660903">
      <w:pPr>
        <w:pStyle w:val="Heading1"/>
      </w:pPr>
      <w:r>
        <w:br/>
      </w:r>
      <w:bookmarkStart w:id="17" w:name="_Toc235805618"/>
      <w:r w:rsidR="000F538C">
        <w:t>4</w:t>
      </w:r>
      <w:r w:rsidR="00000000">
        <w:t>. Discover</w:t>
      </w:r>
      <w:bookmarkEnd w:id="17"/>
      <w:r w:rsidR="00C545D2">
        <w:t>y</w:t>
      </w:r>
    </w:p>
    <w:p w14:paraId="6776FFD2" w14:textId="77777777" w:rsidR="00E54B4E" w:rsidRDefault="00000000">
      <w:pPr>
        <w:spacing w:after="160"/>
      </w:pPr>
      <w:r>
        <w:t>Defender TI's discovery capability spans two related domains: external attack surface discovery and threat intelligence discovery.</w:t>
      </w:r>
    </w:p>
    <w:p w14:paraId="5B40F833" w14:textId="77777777" w:rsidR="00E54B4E" w:rsidRDefault="00000000">
      <w:pPr>
        <w:pStyle w:val="Heading2"/>
      </w:pPr>
      <w:bookmarkStart w:id="18" w:name="_Toc235805619"/>
      <w:r>
        <w:t>External Attack Surface Discovery</w:t>
      </w:r>
      <w:bookmarkEnd w:id="18"/>
    </w:p>
    <w:p w14:paraId="667E9F5B" w14:textId="77777777" w:rsidR="00E54B4E" w:rsidRDefault="00000000">
      <w:pPr>
        <w:spacing w:after="160"/>
      </w:pPr>
      <w:r>
        <w:lastRenderedPageBreak/>
        <w:t>Defender TI maps internet infrastructure using passive DNS, WHOIS, SSL certificate data, and subdomain enumeration, supplemented by URL and file detonation. Detonation results generate derived data sets — trackers, components, host pairs, and cookies observed in the Document Object Model (DOM) of detonated pages — which help analysts identify shared infrastructure, attacker tooling reuse, and previously unknown adversary assets. Reputation scoring then contextualizes discovered infrastructure, flagging hosts, domains, and IPs with ties to known-malicious or suspicious activity.</w:t>
      </w:r>
    </w:p>
    <w:p w14:paraId="22B4564E" w14:textId="77777777" w:rsidR="00E54B4E" w:rsidRDefault="00000000">
      <w:pPr>
        <w:pStyle w:val="Heading2"/>
      </w:pPr>
      <w:bookmarkStart w:id="19" w:name="_Toc235805620"/>
      <w:r>
        <w:t>Threat Intelligence Discovery</w:t>
      </w:r>
      <w:bookmarkEnd w:id="19"/>
    </w:p>
    <w:p w14:paraId="487C20CD" w14:textId="3534D359" w:rsidR="00660903" w:rsidRDefault="00000000">
      <w:pPr>
        <w:spacing w:after="160"/>
      </w:pPr>
      <w:r>
        <w:t>On the intelligence side, Defender TI surfaces curated and community-sourced content: featured and recent articles profiling threat actors, tooling, and campaigns; vulnerability (CVE) articles with affected components, mitigation guidance, and a Defender TI priority score derived from CVSS, exploit activity, dark-web chatter, and malware linkage; and both public and Defender TI-sourced indicators tied to each article. Keyword, indicator, and CVE ID search in Intel Explorer are the primary discovery entry points, with Tags and Projects enabling analysts to track and build on discoveries over time.</w:t>
      </w:r>
    </w:p>
    <w:p w14:paraId="72BA7176" w14:textId="77777777" w:rsidR="00660903" w:rsidRDefault="00660903">
      <w:pPr>
        <w:spacing w:after="160"/>
      </w:pPr>
    </w:p>
    <w:p w14:paraId="1F5F33C5" w14:textId="77777777" w:rsidR="00E54B4E" w:rsidRDefault="00000000">
      <w:pPr>
        <w:pStyle w:val="Heading2"/>
      </w:pPr>
      <w:bookmarkStart w:id="20" w:name="_Toc235805621"/>
      <w:r>
        <w:t>Discovery Data Sets Summary</w:t>
      </w:r>
      <w:bookmarkEnd w:id="20"/>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200"/>
        <w:gridCol w:w="5160"/>
      </w:tblGrid>
      <w:tr w:rsidR="00E54B4E" w14:paraId="40EC29F6" w14:textId="77777777">
        <w:tblPrEx>
          <w:tblCellMar>
            <w:top w:w="0" w:type="dxa"/>
            <w:bottom w:w="0" w:type="dxa"/>
          </w:tblCellMar>
        </w:tblPrEx>
        <w:trPr>
          <w:tblHeader/>
        </w:trPr>
        <w:tc>
          <w:tcPr>
            <w:tcW w:w="4200" w:type="dxa"/>
            <w:shd w:val="clear" w:color="auto" w:fill="1F3864"/>
            <w:tcMar>
              <w:top w:w="100" w:type="dxa"/>
              <w:left w:w="120" w:type="dxa"/>
              <w:bottom w:w="100" w:type="dxa"/>
              <w:right w:w="120" w:type="dxa"/>
            </w:tcMar>
            <w:vAlign w:val="center"/>
          </w:tcPr>
          <w:p w14:paraId="2251D7B9" w14:textId="77777777" w:rsidR="00E54B4E" w:rsidRDefault="00000000">
            <w:r>
              <w:rPr>
                <w:b/>
                <w:bCs/>
                <w:color w:val="FFFFFF"/>
                <w:sz w:val="20"/>
                <w:szCs w:val="20"/>
              </w:rPr>
              <w:t>Data Set</w:t>
            </w:r>
          </w:p>
        </w:tc>
        <w:tc>
          <w:tcPr>
            <w:tcW w:w="5160" w:type="dxa"/>
            <w:shd w:val="clear" w:color="auto" w:fill="1F3864"/>
            <w:tcMar>
              <w:top w:w="100" w:type="dxa"/>
              <w:left w:w="120" w:type="dxa"/>
              <w:bottom w:w="100" w:type="dxa"/>
              <w:right w:w="120" w:type="dxa"/>
            </w:tcMar>
            <w:vAlign w:val="center"/>
          </w:tcPr>
          <w:p w14:paraId="38CD8ECD" w14:textId="77777777" w:rsidR="00E54B4E" w:rsidRDefault="00000000">
            <w:r>
              <w:rPr>
                <w:b/>
                <w:bCs/>
                <w:color w:val="FFFFFF"/>
                <w:sz w:val="20"/>
                <w:szCs w:val="20"/>
              </w:rPr>
              <w:t>Discovery Focus</w:t>
            </w:r>
          </w:p>
        </w:tc>
      </w:tr>
      <w:tr w:rsidR="00E54B4E" w14:paraId="5CC7699F" w14:textId="77777777">
        <w:tblPrEx>
          <w:tblCellMar>
            <w:top w:w="0" w:type="dxa"/>
            <w:bottom w:w="0" w:type="dxa"/>
          </w:tblCellMar>
        </w:tblPrEx>
        <w:tc>
          <w:tcPr>
            <w:tcW w:w="4200" w:type="dxa"/>
            <w:shd w:val="clear" w:color="auto" w:fill="FFFFFF"/>
            <w:tcMar>
              <w:top w:w="90" w:type="dxa"/>
              <w:left w:w="120" w:type="dxa"/>
              <w:bottom w:w="90" w:type="dxa"/>
              <w:right w:w="120" w:type="dxa"/>
            </w:tcMar>
            <w:vAlign w:val="center"/>
          </w:tcPr>
          <w:p w14:paraId="3F1293E4" w14:textId="77777777" w:rsidR="00E54B4E" w:rsidRDefault="00000000">
            <w:r>
              <w:rPr>
                <w:sz w:val="20"/>
                <w:szCs w:val="20"/>
              </w:rPr>
              <w:t>Resolutions / DNS / Reverse DNS</w:t>
            </w:r>
          </w:p>
        </w:tc>
        <w:tc>
          <w:tcPr>
            <w:tcW w:w="5160" w:type="dxa"/>
            <w:shd w:val="clear" w:color="auto" w:fill="FFFFFF"/>
            <w:tcMar>
              <w:top w:w="90" w:type="dxa"/>
              <w:left w:w="120" w:type="dxa"/>
              <w:bottom w:w="90" w:type="dxa"/>
              <w:right w:w="120" w:type="dxa"/>
            </w:tcMar>
            <w:vAlign w:val="center"/>
          </w:tcPr>
          <w:p w14:paraId="46C05D48" w14:textId="77777777" w:rsidR="00E54B4E" w:rsidRDefault="00000000">
            <w:r>
              <w:rPr>
                <w:sz w:val="20"/>
                <w:szCs w:val="20"/>
              </w:rPr>
              <w:t>Historical and current IP-to-domain relationships</w:t>
            </w:r>
          </w:p>
        </w:tc>
      </w:tr>
      <w:tr w:rsidR="00E54B4E" w14:paraId="28FC7B75" w14:textId="77777777">
        <w:tblPrEx>
          <w:tblCellMar>
            <w:top w:w="0" w:type="dxa"/>
            <w:bottom w:w="0" w:type="dxa"/>
          </w:tblCellMar>
        </w:tblPrEx>
        <w:tc>
          <w:tcPr>
            <w:tcW w:w="4200" w:type="dxa"/>
            <w:shd w:val="clear" w:color="auto" w:fill="F2F2F2"/>
            <w:tcMar>
              <w:top w:w="90" w:type="dxa"/>
              <w:left w:w="120" w:type="dxa"/>
              <w:bottom w:w="90" w:type="dxa"/>
              <w:right w:w="120" w:type="dxa"/>
            </w:tcMar>
            <w:vAlign w:val="center"/>
          </w:tcPr>
          <w:p w14:paraId="692BEA20" w14:textId="77777777" w:rsidR="00E54B4E" w:rsidRDefault="00000000">
            <w:r>
              <w:rPr>
                <w:sz w:val="20"/>
                <w:szCs w:val="20"/>
              </w:rPr>
              <w:t>WHOIS</w:t>
            </w:r>
          </w:p>
        </w:tc>
        <w:tc>
          <w:tcPr>
            <w:tcW w:w="5160" w:type="dxa"/>
            <w:shd w:val="clear" w:color="auto" w:fill="F2F2F2"/>
            <w:tcMar>
              <w:top w:w="90" w:type="dxa"/>
              <w:left w:w="120" w:type="dxa"/>
              <w:bottom w:w="90" w:type="dxa"/>
              <w:right w:w="120" w:type="dxa"/>
            </w:tcMar>
            <w:vAlign w:val="center"/>
          </w:tcPr>
          <w:p w14:paraId="54C1C702" w14:textId="77777777" w:rsidR="00E54B4E" w:rsidRDefault="00000000">
            <w:r>
              <w:rPr>
                <w:sz w:val="20"/>
                <w:szCs w:val="20"/>
              </w:rPr>
              <w:t>Domain registration and ownership history</w:t>
            </w:r>
          </w:p>
        </w:tc>
      </w:tr>
      <w:tr w:rsidR="00E54B4E" w14:paraId="75B11645" w14:textId="77777777">
        <w:tblPrEx>
          <w:tblCellMar>
            <w:top w:w="0" w:type="dxa"/>
            <w:bottom w:w="0" w:type="dxa"/>
          </w:tblCellMar>
        </w:tblPrEx>
        <w:tc>
          <w:tcPr>
            <w:tcW w:w="4200" w:type="dxa"/>
            <w:shd w:val="clear" w:color="auto" w:fill="FFFFFF"/>
            <w:tcMar>
              <w:top w:w="90" w:type="dxa"/>
              <w:left w:w="120" w:type="dxa"/>
              <w:bottom w:w="90" w:type="dxa"/>
              <w:right w:w="120" w:type="dxa"/>
            </w:tcMar>
            <w:vAlign w:val="center"/>
          </w:tcPr>
          <w:p w14:paraId="79190846" w14:textId="77777777" w:rsidR="00E54B4E" w:rsidRDefault="00000000">
            <w:r>
              <w:rPr>
                <w:sz w:val="20"/>
                <w:szCs w:val="20"/>
              </w:rPr>
              <w:t>SSL Certificates</w:t>
            </w:r>
          </w:p>
        </w:tc>
        <w:tc>
          <w:tcPr>
            <w:tcW w:w="5160" w:type="dxa"/>
            <w:shd w:val="clear" w:color="auto" w:fill="FFFFFF"/>
            <w:tcMar>
              <w:top w:w="90" w:type="dxa"/>
              <w:left w:w="120" w:type="dxa"/>
              <w:bottom w:w="90" w:type="dxa"/>
              <w:right w:w="120" w:type="dxa"/>
            </w:tcMar>
            <w:vAlign w:val="center"/>
          </w:tcPr>
          <w:p w14:paraId="505F5E4A" w14:textId="77777777" w:rsidR="00E54B4E" w:rsidRDefault="00000000">
            <w:r>
              <w:rPr>
                <w:sz w:val="20"/>
                <w:szCs w:val="20"/>
              </w:rPr>
              <w:t>Certificate reuse and infrastructure linkage</w:t>
            </w:r>
          </w:p>
        </w:tc>
      </w:tr>
      <w:tr w:rsidR="00E54B4E" w14:paraId="4F1453FF" w14:textId="77777777">
        <w:tblPrEx>
          <w:tblCellMar>
            <w:top w:w="0" w:type="dxa"/>
            <w:bottom w:w="0" w:type="dxa"/>
          </w:tblCellMar>
        </w:tblPrEx>
        <w:tc>
          <w:tcPr>
            <w:tcW w:w="4200" w:type="dxa"/>
            <w:shd w:val="clear" w:color="auto" w:fill="F2F2F2"/>
            <w:tcMar>
              <w:top w:w="90" w:type="dxa"/>
              <w:left w:w="120" w:type="dxa"/>
              <w:bottom w:w="90" w:type="dxa"/>
              <w:right w:w="120" w:type="dxa"/>
            </w:tcMar>
            <w:vAlign w:val="center"/>
          </w:tcPr>
          <w:p w14:paraId="25B049A8" w14:textId="77777777" w:rsidR="00E54B4E" w:rsidRDefault="00000000">
            <w:r>
              <w:rPr>
                <w:sz w:val="20"/>
                <w:szCs w:val="20"/>
              </w:rPr>
              <w:t>Subdomains</w:t>
            </w:r>
          </w:p>
        </w:tc>
        <w:tc>
          <w:tcPr>
            <w:tcW w:w="5160" w:type="dxa"/>
            <w:shd w:val="clear" w:color="auto" w:fill="F2F2F2"/>
            <w:tcMar>
              <w:top w:w="90" w:type="dxa"/>
              <w:left w:w="120" w:type="dxa"/>
              <w:bottom w:w="90" w:type="dxa"/>
              <w:right w:w="120" w:type="dxa"/>
            </w:tcMar>
            <w:vAlign w:val="center"/>
          </w:tcPr>
          <w:p w14:paraId="77067DC8" w14:textId="77777777" w:rsidR="00E54B4E" w:rsidRDefault="00000000">
            <w:r>
              <w:rPr>
                <w:sz w:val="20"/>
                <w:szCs w:val="20"/>
              </w:rPr>
              <w:t>Enumeration of an organization's or adversary's domain footprint</w:t>
            </w:r>
          </w:p>
        </w:tc>
      </w:tr>
      <w:tr w:rsidR="00E54B4E" w14:paraId="40C1E32B" w14:textId="77777777">
        <w:tblPrEx>
          <w:tblCellMar>
            <w:top w:w="0" w:type="dxa"/>
            <w:bottom w:w="0" w:type="dxa"/>
          </w:tblCellMar>
        </w:tblPrEx>
        <w:tc>
          <w:tcPr>
            <w:tcW w:w="4200" w:type="dxa"/>
            <w:shd w:val="clear" w:color="auto" w:fill="FFFFFF"/>
            <w:tcMar>
              <w:top w:w="90" w:type="dxa"/>
              <w:left w:w="120" w:type="dxa"/>
              <w:bottom w:w="90" w:type="dxa"/>
              <w:right w:w="120" w:type="dxa"/>
            </w:tcMar>
            <w:vAlign w:val="center"/>
          </w:tcPr>
          <w:p w14:paraId="59E73EAB" w14:textId="77777777" w:rsidR="00E54B4E" w:rsidRDefault="00000000">
            <w:r>
              <w:rPr>
                <w:sz w:val="20"/>
                <w:szCs w:val="20"/>
              </w:rPr>
              <w:t>Detonation (Trackers, Components, Host Pairs, Cookies)</w:t>
            </w:r>
          </w:p>
        </w:tc>
        <w:tc>
          <w:tcPr>
            <w:tcW w:w="5160" w:type="dxa"/>
            <w:shd w:val="clear" w:color="auto" w:fill="FFFFFF"/>
            <w:tcMar>
              <w:top w:w="90" w:type="dxa"/>
              <w:left w:w="120" w:type="dxa"/>
              <w:bottom w:w="90" w:type="dxa"/>
              <w:right w:w="120" w:type="dxa"/>
            </w:tcMar>
            <w:vAlign w:val="center"/>
          </w:tcPr>
          <w:p w14:paraId="175C0894" w14:textId="77777777" w:rsidR="00E54B4E" w:rsidRDefault="00000000">
            <w:proofErr w:type="spellStart"/>
            <w:r>
              <w:rPr>
                <w:sz w:val="20"/>
                <w:szCs w:val="20"/>
              </w:rPr>
              <w:t>Behavioral</w:t>
            </w:r>
            <w:proofErr w:type="spellEnd"/>
            <w:r>
              <w:rPr>
                <w:sz w:val="20"/>
                <w:szCs w:val="20"/>
              </w:rPr>
              <w:t xml:space="preserve"> and structural fingerprinting of malicious/suspicious sites</w:t>
            </w:r>
          </w:p>
        </w:tc>
      </w:tr>
      <w:tr w:rsidR="00E54B4E" w14:paraId="3A6CFFF8" w14:textId="77777777">
        <w:tblPrEx>
          <w:tblCellMar>
            <w:top w:w="0" w:type="dxa"/>
            <w:bottom w:w="0" w:type="dxa"/>
          </w:tblCellMar>
        </w:tblPrEx>
        <w:tc>
          <w:tcPr>
            <w:tcW w:w="4200" w:type="dxa"/>
            <w:shd w:val="clear" w:color="auto" w:fill="F2F2F2"/>
            <w:tcMar>
              <w:top w:w="90" w:type="dxa"/>
              <w:left w:w="120" w:type="dxa"/>
              <w:bottom w:w="90" w:type="dxa"/>
              <w:right w:w="120" w:type="dxa"/>
            </w:tcMar>
            <w:vAlign w:val="center"/>
          </w:tcPr>
          <w:p w14:paraId="6934B472" w14:textId="77777777" w:rsidR="00E54B4E" w:rsidRDefault="00000000">
            <w:r>
              <w:rPr>
                <w:sz w:val="20"/>
                <w:szCs w:val="20"/>
              </w:rPr>
              <w:t>Reputation Scores</w:t>
            </w:r>
          </w:p>
        </w:tc>
        <w:tc>
          <w:tcPr>
            <w:tcW w:w="5160" w:type="dxa"/>
            <w:shd w:val="clear" w:color="auto" w:fill="F2F2F2"/>
            <w:tcMar>
              <w:top w:w="90" w:type="dxa"/>
              <w:left w:w="120" w:type="dxa"/>
              <w:bottom w:w="90" w:type="dxa"/>
              <w:right w:w="120" w:type="dxa"/>
            </w:tcMar>
            <w:vAlign w:val="center"/>
          </w:tcPr>
          <w:p w14:paraId="25FB72BA" w14:textId="77777777" w:rsidR="00E54B4E" w:rsidRDefault="00000000">
            <w:r>
              <w:rPr>
                <w:sz w:val="20"/>
                <w:szCs w:val="20"/>
              </w:rPr>
              <w:t>Risk contextualization of discovered hosts, domains, and IPs</w:t>
            </w:r>
          </w:p>
        </w:tc>
      </w:tr>
    </w:tbl>
    <w:p w14:paraId="01F3A78D" w14:textId="77777777" w:rsidR="0094781A" w:rsidRDefault="0094781A" w:rsidP="00660903">
      <w:pPr>
        <w:pStyle w:val="Heading1"/>
      </w:pPr>
    </w:p>
    <w:p w14:paraId="00E73909" w14:textId="492A971A" w:rsidR="00E54B4E" w:rsidRDefault="00660903" w:rsidP="00660903">
      <w:pPr>
        <w:pStyle w:val="Heading1"/>
      </w:pPr>
      <w:r>
        <w:br/>
      </w:r>
      <w:bookmarkStart w:id="21" w:name="_Toc235805622"/>
      <w:r w:rsidR="000F538C">
        <w:t>5</w:t>
      </w:r>
      <w:r w:rsidR="00000000">
        <w:t>. Reporti</w:t>
      </w:r>
      <w:r w:rsidR="00E40F8D">
        <w:t>ng</w:t>
      </w:r>
      <w:bookmarkEnd w:id="21"/>
    </w:p>
    <w:p w14:paraId="4183C4BF" w14:textId="77777777" w:rsidR="00E54B4E" w:rsidRDefault="00000000">
      <w:pPr>
        <w:spacing w:after="160"/>
      </w:pPr>
      <w:r>
        <w:t>Defender TI supports reporting both natively within its own portal experience and through downstream integration with Microsoft Sentinel and Defender XDR.</w:t>
      </w:r>
    </w:p>
    <w:p w14:paraId="771F9FE1" w14:textId="77777777" w:rsidR="00E54B4E" w:rsidRDefault="00000000">
      <w:pPr>
        <w:pStyle w:val="Heading2"/>
      </w:pPr>
      <w:bookmarkStart w:id="22" w:name="_Toc235805623"/>
      <w:r>
        <w:lastRenderedPageBreak/>
        <w:t>Native Reporting</w:t>
      </w:r>
      <w:bookmarkEnd w:id="22"/>
    </w:p>
    <w:p w14:paraId="1345794C" w14:textId="77777777" w:rsidR="00E54B4E" w:rsidRDefault="00000000">
      <w:pPr>
        <w:pStyle w:val="ListParagraph"/>
        <w:numPr>
          <w:ilvl w:val="0"/>
          <w:numId w:val="2"/>
        </w:numPr>
        <w:spacing w:after="80"/>
      </w:pPr>
      <w:r>
        <w:t>Intel Explorer articles and featured articles — narrative reporting on threat actors, campaigns, and tooling, each with a Snapshot summary and linked indicators.</w:t>
      </w:r>
    </w:p>
    <w:p w14:paraId="6B4B0424" w14:textId="77777777" w:rsidR="00E54B4E" w:rsidRDefault="00000000">
      <w:pPr>
        <w:pStyle w:val="ListParagraph"/>
        <w:numPr>
          <w:ilvl w:val="0"/>
          <w:numId w:val="2"/>
        </w:numPr>
        <w:spacing w:after="80"/>
      </w:pPr>
      <w:r>
        <w:t>Vulnerability articles — CVE-specific reports including severity, affected components, mitigation guidance, and the Defender TI priority score.</w:t>
      </w:r>
    </w:p>
    <w:p w14:paraId="37EAC760" w14:textId="77777777" w:rsidR="00E54B4E" w:rsidRDefault="00000000">
      <w:pPr>
        <w:pStyle w:val="ListParagraph"/>
        <w:numPr>
          <w:ilvl w:val="0"/>
          <w:numId w:val="2"/>
        </w:numPr>
        <w:spacing w:after="80"/>
      </w:pPr>
      <w:r>
        <w:t>Reputation summary cards — quick-reference reporting on first/last-seen activity, ASN, country/region, and associated infrastructure for any queried indicator.</w:t>
      </w:r>
    </w:p>
    <w:p w14:paraId="44EF6FBD" w14:textId="77777777" w:rsidR="00E54B4E" w:rsidRDefault="00000000">
      <w:pPr>
        <w:pStyle w:val="ListParagraph"/>
        <w:numPr>
          <w:ilvl w:val="0"/>
          <w:numId w:val="2"/>
        </w:numPr>
        <w:spacing w:after="80"/>
      </w:pPr>
      <w:r>
        <w:t>Analyst insights — concise, report-style observations supporting malicious/suspicious/benign determinations.</w:t>
      </w:r>
    </w:p>
    <w:p w14:paraId="309E728A" w14:textId="77777777" w:rsidR="00E54B4E" w:rsidRDefault="00000000">
      <w:pPr>
        <w:pStyle w:val="ListParagraph"/>
        <w:numPr>
          <w:ilvl w:val="0"/>
          <w:numId w:val="2"/>
        </w:numPr>
        <w:spacing w:after="80"/>
      </w:pPr>
      <w:r>
        <w:t>Data set export — sorting, filtering, and downloading of underlying data sets for offline reporting or evidence packaging.</w:t>
      </w:r>
    </w:p>
    <w:p w14:paraId="499CD98C" w14:textId="77777777" w:rsidR="00E54B4E" w:rsidRDefault="00000000">
      <w:pPr>
        <w:pStyle w:val="Heading2"/>
      </w:pPr>
      <w:bookmarkStart w:id="23" w:name="_Toc235805624"/>
      <w:r>
        <w:t>Integrated Reporting via Sentinel and Defender XDR</w:t>
      </w:r>
      <w:bookmarkEnd w:id="23"/>
    </w:p>
    <w:p w14:paraId="2152994B" w14:textId="77777777" w:rsidR="00E54B4E" w:rsidRDefault="00000000">
      <w:pPr>
        <w:pStyle w:val="ListParagraph"/>
        <w:numPr>
          <w:ilvl w:val="0"/>
          <w:numId w:val="2"/>
        </w:numPr>
        <w:spacing w:after="80"/>
      </w:pPr>
      <w:r>
        <w:t xml:space="preserve">Microsoft Sentinel workbooks and analytics rules built on the </w:t>
      </w:r>
      <w:proofErr w:type="spellStart"/>
      <w:r>
        <w:t>ThreatIntelligenceIndicator</w:t>
      </w:r>
      <w:proofErr w:type="spellEnd"/>
      <w:r>
        <w:t xml:space="preserve"> table generated by the Defender TI data connector.</w:t>
      </w:r>
    </w:p>
    <w:p w14:paraId="78CF8605" w14:textId="77777777" w:rsidR="00E54B4E" w:rsidRDefault="00000000">
      <w:pPr>
        <w:pStyle w:val="ListParagraph"/>
        <w:numPr>
          <w:ilvl w:val="0"/>
          <w:numId w:val="2"/>
        </w:numPr>
        <w:spacing w:after="80"/>
      </w:pPr>
      <w:r>
        <w:t>Microsoft Defender XDR incident reporting, enriched with Defender TI context on related indicators, actor profiles, and vulnerabilities.</w:t>
      </w:r>
    </w:p>
    <w:p w14:paraId="4C555B5C" w14:textId="77777777" w:rsidR="00E54B4E" w:rsidRDefault="00000000">
      <w:pPr>
        <w:pStyle w:val="ListParagraph"/>
        <w:numPr>
          <w:ilvl w:val="0"/>
          <w:numId w:val="2"/>
        </w:numPr>
        <w:spacing w:after="80"/>
      </w:pPr>
      <w:r>
        <w:t>Advanced hunting query results in Defender XDR that reference Defender TI-sourced indicators for custom, ad hoc reporting.</w:t>
      </w:r>
    </w:p>
    <w:p w14:paraId="7DB076DC" w14:textId="77777777" w:rsidR="00C70EED" w:rsidRDefault="00C70EED" w:rsidP="00C70EED"/>
    <w:p w14:paraId="436560C4" w14:textId="6AE884D7" w:rsidR="00E54B4E" w:rsidRDefault="000F538C" w:rsidP="00C70EED">
      <w:pPr>
        <w:pStyle w:val="Heading1"/>
      </w:pPr>
      <w:bookmarkStart w:id="24" w:name="_Toc235805625"/>
      <w:r>
        <w:t>6</w:t>
      </w:r>
      <w:r w:rsidR="00000000">
        <w:t>. Best Practices</w:t>
      </w:r>
      <w:bookmarkEnd w:id="24"/>
    </w:p>
    <w:p w14:paraId="233E1AFE" w14:textId="77777777" w:rsidR="00E54B4E" w:rsidRDefault="00000000">
      <w:pPr>
        <w:pStyle w:val="ListParagraph"/>
        <w:numPr>
          <w:ilvl w:val="0"/>
          <w:numId w:val="2"/>
        </w:numPr>
        <w:spacing w:after="80"/>
      </w:pPr>
      <w:r>
        <w:t>Apply least-privilege access: assign Security Reader broadly for consumption, and restrict Security Administrator/Global Administrator to configuration and licensing tasks.</w:t>
      </w:r>
    </w:p>
    <w:p w14:paraId="209E54C6" w14:textId="77777777" w:rsidR="00E54B4E" w:rsidRDefault="00000000">
      <w:pPr>
        <w:pStyle w:val="ListParagraph"/>
        <w:numPr>
          <w:ilvl w:val="0"/>
          <w:numId w:val="2"/>
        </w:numPr>
        <w:spacing w:after="80"/>
      </w:pPr>
      <w:r>
        <w:t>Use Projects to maintain investigation continuity and avoid duplicate work across analysts and shifts.</w:t>
      </w:r>
    </w:p>
    <w:p w14:paraId="7526E2E1" w14:textId="77777777" w:rsidR="00E54B4E" w:rsidRDefault="00000000">
      <w:pPr>
        <w:pStyle w:val="ListParagraph"/>
        <w:numPr>
          <w:ilvl w:val="0"/>
          <w:numId w:val="2"/>
        </w:numPr>
        <w:spacing w:after="80"/>
      </w:pPr>
      <w:r>
        <w:t>Standardize Tags taxonomy across the SOC so indicators remain searchable and consistent over time.</w:t>
      </w:r>
    </w:p>
    <w:p w14:paraId="6FDABF5B" w14:textId="77777777" w:rsidR="00E54B4E" w:rsidRDefault="00000000">
      <w:pPr>
        <w:pStyle w:val="ListParagraph"/>
        <w:numPr>
          <w:ilvl w:val="0"/>
          <w:numId w:val="2"/>
        </w:numPr>
        <w:spacing w:after="80"/>
      </w:pPr>
      <w:r>
        <w:t>Integrate Defender TI indicators into Microsoft Sentinel analytics rules to convert intelligence into automated, high-fidelity alerts rather than relying solely on manual lookups.</w:t>
      </w:r>
    </w:p>
    <w:p w14:paraId="35EBFC5F" w14:textId="77777777" w:rsidR="00E54B4E" w:rsidRDefault="00000000">
      <w:pPr>
        <w:pStyle w:val="ListParagraph"/>
        <w:numPr>
          <w:ilvl w:val="0"/>
          <w:numId w:val="2"/>
        </w:numPr>
        <w:spacing w:after="80"/>
      </w:pPr>
      <w:r>
        <w:t>Treat detonation-derived data as one input among several — validate high-impact findings against additional data sets (WHOIS, SSL, reputation) before acting.</w:t>
      </w:r>
    </w:p>
    <w:p w14:paraId="393D9B29" w14:textId="77777777" w:rsidR="00E54B4E" w:rsidRDefault="00000000">
      <w:pPr>
        <w:pStyle w:val="ListParagraph"/>
        <w:numPr>
          <w:ilvl w:val="0"/>
          <w:numId w:val="2"/>
        </w:numPr>
        <w:spacing w:after="80"/>
      </w:pPr>
      <w:r>
        <w:t>Prioritize CVE remediation using the Defender TI priority score in combination with internal asset-criticality data.</w:t>
      </w:r>
    </w:p>
    <w:p w14:paraId="0B7634C9" w14:textId="77777777" w:rsidR="00E54B4E" w:rsidRDefault="00000000">
      <w:pPr>
        <w:pStyle w:val="ListParagraph"/>
        <w:numPr>
          <w:ilvl w:val="0"/>
          <w:numId w:val="2"/>
        </w:numPr>
        <w:spacing w:after="80"/>
      </w:pPr>
      <w:r>
        <w:lastRenderedPageBreak/>
        <w:t>Review Microsoft's Defender TI convergence roadmap regularly; align SOC processes and Sentinel/Defender XDR configuration with the unified experience ahead of the standalone product's retirement.</w:t>
      </w:r>
    </w:p>
    <w:p w14:paraId="61B1218D" w14:textId="7C8FD561" w:rsidR="0094781A" w:rsidRDefault="00000000" w:rsidP="00C70EED">
      <w:pPr>
        <w:pStyle w:val="ListParagraph"/>
        <w:numPr>
          <w:ilvl w:val="0"/>
          <w:numId w:val="2"/>
        </w:numPr>
        <w:spacing w:after="80"/>
      </w:pPr>
      <w:r>
        <w:t>Document and periodically re-validate role assignments (RBAC hygiene) to prevent privilege creep.</w:t>
      </w:r>
    </w:p>
    <w:p w14:paraId="6FE0A29C" w14:textId="77777777" w:rsidR="00F533DE" w:rsidRDefault="00F533DE" w:rsidP="00F533DE">
      <w:pPr>
        <w:spacing w:after="80"/>
      </w:pPr>
    </w:p>
    <w:p w14:paraId="1CCEDAA8" w14:textId="77777777" w:rsidR="00F533DE" w:rsidRDefault="00F533DE" w:rsidP="00F533DE">
      <w:pPr>
        <w:spacing w:after="80"/>
      </w:pPr>
    </w:p>
    <w:p w14:paraId="1571D4E3" w14:textId="77777777" w:rsidR="00F533DE" w:rsidRDefault="00F533DE" w:rsidP="00F533DE">
      <w:pPr>
        <w:spacing w:after="80"/>
      </w:pPr>
    </w:p>
    <w:p w14:paraId="37F67194" w14:textId="77777777" w:rsidR="00F533DE" w:rsidRDefault="00F533DE" w:rsidP="00F533DE">
      <w:pPr>
        <w:pStyle w:val="Heading1"/>
      </w:pPr>
    </w:p>
    <w:p w14:paraId="7A3D2B9C" w14:textId="050B820B" w:rsidR="00F533DE" w:rsidRDefault="00F533DE" w:rsidP="00F533DE">
      <w:pPr>
        <w:pStyle w:val="Heading1"/>
      </w:pPr>
      <w:bookmarkStart w:id="25" w:name="_Toc235805626"/>
      <w:r>
        <w:t>7. Business Value</w:t>
      </w:r>
      <w:bookmarkEnd w:id="25"/>
    </w:p>
    <w:p w14:paraId="15C9E1C8" w14:textId="790E9F4D" w:rsidR="00F533DE" w:rsidRDefault="00F533DE" w:rsidP="00F533DE">
      <w:pPr>
        <w:spacing w:after="80"/>
      </w:pPr>
      <w:r>
        <w:t xml:space="preserve">Microsoft Defender Threat Intelligence (Defender TI) provides organizations with a comprehensive view of external cyber threats before they impact internal systems. Rather than relying solely on alerts generated after an attack has begun, Defender TI continuously collects, </w:t>
      </w:r>
      <w:proofErr w:type="spellStart"/>
      <w:r>
        <w:t>analyzes</w:t>
      </w:r>
      <w:proofErr w:type="spellEnd"/>
      <w:r>
        <w:t xml:space="preserve">, and correlates global threat intelligence from millions of internet-facing assets. This enables security teams to proactively identify malicious infrastructure, understand attacker </w:t>
      </w:r>
      <w:r>
        <w:t>behaviour</w:t>
      </w:r>
      <w:r>
        <w:t>, prioritize vulnerabilities, and respond to incidents more quickly.</w:t>
      </w:r>
    </w:p>
    <w:p w14:paraId="574591AA" w14:textId="41024AC7" w:rsidR="00F533DE" w:rsidRDefault="00F533DE" w:rsidP="00F533DE">
      <w:pPr>
        <w:spacing w:after="80"/>
      </w:pPr>
      <w:r>
        <w:t>The platform enriches raw indicators such as IP addresses, domains, URLs, SSL certificates, and malware artifacts with contextual information including historical activity, reputation, infrastructure relationships, threat actor attribution, and vulnerability intelligence. This additional context significantly reduces investigation time and improves the accuracy of security decisions.</w:t>
      </w:r>
    </w:p>
    <w:p w14:paraId="5E1A5734" w14:textId="22F217D4" w:rsidR="00F533DE" w:rsidRDefault="00F533DE" w:rsidP="00F533DE">
      <w:pPr>
        <w:spacing w:after="80"/>
      </w:pPr>
      <w:r>
        <w:t xml:space="preserve">When integrated with Microsoft Defender XDR and Microsoft Sentinel, Defender TI automatically supplies enriched threat intelligence to existing security operations, allowing Security Operations </w:t>
      </w:r>
      <w:proofErr w:type="spellStart"/>
      <w:r>
        <w:t>Center</w:t>
      </w:r>
      <w:proofErr w:type="spellEnd"/>
      <w:r>
        <w:t xml:space="preserve"> (SOC) analysts to detect, investigate, and respond to threats more efficiently without switching between multiple third-party intelligence platforms.</w:t>
      </w:r>
    </w:p>
    <w:p w14:paraId="13E74CC1" w14:textId="56FDCD12" w:rsidR="00E54B4E" w:rsidRDefault="00000000" w:rsidP="00C70EED">
      <w:pPr>
        <w:pStyle w:val="Heading1"/>
      </w:pPr>
      <w:bookmarkStart w:id="26" w:name="_Toc235805627"/>
      <w:r>
        <w:t>Conclusion</w:t>
      </w:r>
      <w:bookmarkEnd w:id="26"/>
    </w:p>
    <w:p w14:paraId="2B78434F" w14:textId="77777777" w:rsidR="00E54B4E" w:rsidRDefault="00000000">
      <w:pPr>
        <w:spacing w:after="160"/>
      </w:pPr>
      <w:r>
        <w:t>Microsoft Defender Threat Intelligence provides a consolidated, enriched view of internet infrastructure and threat activity that materially reduces the manual effort required for triage, incident response, threat hunting, and vulnerability prioritization. Its value is amplified by native integration with Microsoft Defender XDR and Microsoft Sentinel, allowing external threat context to inform internal detection, correlation, and response.</w:t>
      </w:r>
    </w:p>
    <w:p w14:paraId="3FBAF435" w14:textId="77777777" w:rsidR="00E54B4E" w:rsidRDefault="00000000">
      <w:pPr>
        <w:pStyle w:val="Heading2"/>
      </w:pPr>
      <w:bookmarkStart w:id="27" w:name="_Toc235805628"/>
      <w:r>
        <w:t>Implementation Considerations for Future Deployments</w:t>
      </w:r>
      <w:bookmarkEnd w:id="27"/>
    </w:p>
    <w:p w14:paraId="02376C2D" w14:textId="77777777" w:rsidR="00E54B4E" w:rsidRDefault="00000000">
      <w:pPr>
        <w:pStyle w:val="ListParagraph"/>
        <w:numPr>
          <w:ilvl w:val="0"/>
          <w:numId w:val="2"/>
        </w:numPr>
        <w:spacing w:after="80"/>
      </w:pPr>
      <w:r>
        <w:t xml:space="preserve">Timing: Defender TI as a standalone experience retires on August 1, 2026. New deployments should be scoped and licensed with this convergence in mind, engaging the Microsoft account </w:t>
      </w:r>
      <w:r>
        <w:lastRenderedPageBreak/>
        <w:t>team to confirm the current entitlement and access path via Microsoft Sentinel and Microsoft Defender XDR.</w:t>
      </w:r>
    </w:p>
    <w:p w14:paraId="233DA270" w14:textId="77777777" w:rsidR="00E54B4E" w:rsidRDefault="00000000">
      <w:pPr>
        <w:pStyle w:val="ListParagraph"/>
        <w:numPr>
          <w:ilvl w:val="0"/>
          <w:numId w:val="2"/>
        </w:numPr>
        <w:spacing w:after="80"/>
      </w:pPr>
      <w:r>
        <w:t>Licensing: confirm whether Standard (free) capabilities meet initial requirements before committing to Premium licensing, and revalidate SKU availability given the October 2025 Product Terms change.</w:t>
      </w:r>
    </w:p>
    <w:p w14:paraId="0E8D5CFD" w14:textId="77777777" w:rsidR="00E54B4E" w:rsidRDefault="00000000">
      <w:pPr>
        <w:pStyle w:val="ListParagraph"/>
        <w:numPr>
          <w:ilvl w:val="0"/>
          <w:numId w:val="2"/>
        </w:numPr>
        <w:spacing w:after="80"/>
      </w:pPr>
      <w:r>
        <w:t>Integration-first design: rather than treating Defender TI as an isolated tool, design the deployment around its data connectors into Microsoft Sentinel and its native surfacing within Microsoft Defender XDR, so intelligence directly strengthens existing detection and hunting workflows.</w:t>
      </w:r>
    </w:p>
    <w:p w14:paraId="6035062A" w14:textId="77777777" w:rsidR="00E54B4E" w:rsidRDefault="00000000">
      <w:pPr>
        <w:pStyle w:val="ListParagraph"/>
        <w:numPr>
          <w:ilvl w:val="0"/>
          <w:numId w:val="2"/>
        </w:numPr>
        <w:spacing w:after="80"/>
      </w:pPr>
      <w:r>
        <w:t>Governance: establish RBAC, tagging, and project conventions early to ensure the platform remains usable and auditable as adoption grows.</w:t>
      </w:r>
    </w:p>
    <w:p w14:paraId="6D3A5232" w14:textId="77777777" w:rsidR="00E54B4E" w:rsidRDefault="00000000">
      <w:pPr>
        <w:pStyle w:val="ListParagraph"/>
        <w:numPr>
          <w:ilvl w:val="0"/>
          <w:numId w:val="2"/>
        </w:numPr>
        <w:spacing w:after="80"/>
      </w:pPr>
      <w:r>
        <w:t>Change management: monitor Microsoft's official guidance on the Defender TI convergence and adjust configuration, training, and documentation as the unified experience matures.</w:t>
      </w:r>
    </w:p>
    <w:p w14:paraId="7170394E" w14:textId="77777777" w:rsidR="00E54B4E" w:rsidRDefault="00000000">
      <w:pPr>
        <w:spacing w:after="160"/>
      </w:pPr>
      <w:r>
        <w:t>Overall, Defender TI remains a strong reference point for the threat-intelligence capabilities being absorbed into the wider Microsoft Defender platform, and the workflows described in this report — data discovery, enrichment, investigation, and integrated reporting — should be preserved and re-validated as the underlying product converges into Microsoft Sentinel and Microsoft Defender XDR.</w:t>
      </w:r>
    </w:p>
    <w:p w14:paraId="1906D069" w14:textId="46C1F488" w:rsidR="00E54B4E" w:rsidRDefault="00F533DE" w:rsidP="00F533DE">
      <w:pPr>
        <w:pStyle w:val="Heading1"/>
      </w:pPr>
      <w:r>
        <w:br/>
      </w:r>
      <w:r>
        <w:br/>
      </w:r>
      <w:bookmarkStart w:id="28" w:name="_Toc235805629"/>
      <w:r w:rsidR="00000000">
        <w:t>Appendix</w:t>
      </w:r>
      <w:bookmarkEnd w:id="28"/>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7160"/>
      </w:tblGrid>
      <w:tr w:rsidR="00E54B4E" w14:paraId="72DB47C3" w14:textId="77777777">
        <w:tblPrEx>
          <w:tblCellMar>
            <w:top w:w="0" w:type="dxa"/>
            <w:bottom w:w="0" w:type="dxa"/>
          </w:tblCellMar>
        </w:tblPrEx>
        <w:trPr>
          <w:tblHeader/>
        </w:trPr>
        <w:tc>
          <w:tcPr>
            <w:tcW w:w="2200" w:type="dxa"/>
            <w:shd w:val="clear" w:color="auto" w:fill="1F3864"/>
            <w:tcMar>
              <w:top w:w="100" w:type="dxa"/>
              <w:left w:w="120" w:type="dxa"/>
              <w:bottom w:w="100" w:type="dxa"/>
              <w:right w:w="120" w:type="dxa"/>
            </w:tcMar>
            <w:vAlign w:val="center"/>
          </w:tcPr>
          <w:p w14:paraId="35760671" w14:textId="77777777" w:rsidR="00E54B4E" w:rsidRDefault="00000000">
            <w:r>
              <w:rPr>
                <w:b/>
                <w:bCs/>
                <w:color w:val="FFFFFF"/>
                <w:sz w:val="20"/>
                <w:szCs w:val="20"/>
              </w:rPr>
              <w:t>Term</w:t>
            </w:r>
          </w:p>
        </w:tc>
        <w:tc>
          <w:tcPr>
            <w:tcW w:w="7160" w:type="dxa"/>
            <w:shd w:val="clear" w:color="auto" w:fill="1F3864"/>
            <w:tcMar>
              <w:top w:w="100" w:type="dxa"/>
              <w:left w:w="120" w:type="dxa"/>
              <w:bottom w:w="100" w:type="dxa"/>
              <w:right w:w="120" w:type="dxa"/>
            </w:tcMar>
            <w:vAlign w:val="center"/>
          </w:tcPr>
          <w:p w14:paraId="0BE1DCAB" w14:textId="77777777" w:rsidR="00E54B4E" w:rsidRDefault="00000000">
            <w:r>
              <w:rPr>
                <w:b/>
                <w:bCs/>
                <w:color w:val="FFFFFF"/>
                <w:sz w:val="20"/>
                <w:szCs w:val="20"/>
              </w:rPr>
              <w:t>Definition</w:t>
            </w:r>
          </w:p>
        </w:tc>
      </w:tr>
      <w:tr w:rsidR="00E54B4E" w14:paraId="5CC1078F" w14:textId="77777777">
        <w:tblPrEx>
          <w:tblCellMar>
            <w:top w:w="0" w:type="dxa"/>
            <w:bottom w:w="0" w:type="dxa"/>
          </w:tblCellMar>
        </w:tblPrEx>
        <w:tc>
          <w:tcPr>
            <w:tcW w:w="2200" w:type="dxa"/>
            <w:shd w:val="clear" w:color="auto" w:fill="FFFFFF"/>
            <w:tcMar>
              <w:top w:w="90" w:type="dxa"/>
              <w:left w:w="120" w:type="dxa"/>
              <w:bottom w:w="90" w:type="dxa"/>
              <w:right w:w="120" w:type="dxa"/>
            </w:tcMar>
            <w:vAlign w:val="center"/>
          </w:tcPr>
          <w:p w14:paraId="615CF428" w14:textId="77777777" w:rsidR="00E54B4E" w:rsidRDefault="00000000">
            <w:r>
              <w:rPr>
                <w:sz w:val="20"/>
                <w:szCs w:val="20"/>
              </w:rPr>
              <w:t>IOC</w:t>
            </w:r>
          </w:p>
        </w:tc>
        <w:tc>
          <w:tcPr>
            <w:tcW w:w="7160" w:type="dxa"/>
            <w:shd w:val="clear" w:color="auto" w:fill="FFFFFF"/>
            <w:tcMar>
              <w:top w:w="90" w:type="dxa"/>
              <w:left w:w="120" w:type="dxa"/>
              <w:bottom w:w="90" w:type="dxa"/>
              <w:right w:w="120" w:type="dxa"/>
            </w:tcMar>
            <w:vAlign w:val="center"/>
          </w:tcPr>
          <w:p w14:paraId="460F8729" w14:textId="77777777" w:rsidR="00E54B4E" w:rsidRDefault="00000000">
            <w:r>
              <w:rPr>
                <w:sz w:val="20"/>
                <w:szCs w:val="20"/>
              </w:rPr>
              <w:t>Indicator of Compromise — an artifact (IP, domain, hash, URL) observed in connection with malicious activity.</w:t>
            </w:r>
          </w:p>
        </w:tc>
      </w:tr>
      <w:tr w:rsidR="00E54B4E" w14:paraId="6BDC3664" w14:textId="77777777">
        <w:tblPrEx>
          <w:tblCellMar>
            <w:top w:w="0" w:type="dxa"/>
            <w:bottom w:w="0" w:type="dxa"/>
          </w:tblCellMar>
        </w:tblPrEx>
        <w:tc>
          <w:tcPr>
            <w:tcW w:w="2200" w:type="dxa"/>
            <w:shd w:val="clear" w:color="auto" w:fill="F2F2F2"/>
            <w:tcMar>
              <w:top w:w="90" w:type="dxa"/>
              <w:left w:w="120" w:type="dxa"/>
              <w:bottom w:w="90" w:type="dxa"/>
              <w:right w:w="120" w:type="dxa"/>
            </w:tcMar>
            <w:vAlign w:val="center"/>
          </w:tcPr>
          <w:p w14:paraId="744BE6B7" w14:textId="77777777" w:rsidR="00E54B4E" w:rsidRDefault="00000000">
            <w:r>
              <w:rPr>
                <w:sz w:val="20"/>
                <w:szCs w:val="20"/>
              </w:rPr>
              <w:t>CVE</w:t>
            </w:r>
          </w:p>
        </w:tc>
        <w:tc>
          <w:tcPr>
            <w:tcW w:w="7160" w:type="dxa"/>
            <w:shd w:val="clear" w:color="auto" w:fill="F2F2F2"/>
            <w:tcMar>
              <w:top w:w="90" w:type="dxa"/>
              <w:left w:w="120" w:type="dxa"/>
              <w:bottom w:w="90" w:type="dxa"/>
              <w:right w:w="120" w:type="dxa"/>
            </w:tcMar>
            <w:vAlign w:val="center"/>
          </w:tcPr>
          <w:p w14:paraId="1EDEFEA8" w14:textId="77777777" w:rsidR="00E54B4E" w:rsidRDefault="00000000">
            <w:r>
              <w:rPr>
                <w:sz w:val="20"/>
                <w:szCs w:val="20"/>
              </w:rPr>
              <w:t>Common Vulnerabilities and Exposures — a standardized identifier for a publicly disclosed vulnerability.</w:t>
            </w:r>
          </w:p>
        </w:tc>
      </w:tr>
      <w:tr w:rsidR="00E54B4E" w14:paraId="7FEDB6F0" w14:textId="77777777">
        <w:tblPrEx>
          <w:tblCellMar>
            <w:top w:w="0" w:type="dxa"/>
            <w:bottom w:w="0" w:type="dxa"/>
          </w:tblCellMar>
        </w:tblPrEx>
        <w:tc>
          <w:tcPr>
            <w:tcW w:w="2200" w:type="dxa"/>
            <w:shd w:val="clear" w:color="auto" w:fill="FFFFFF"/>
            <w:tcMar>
              <w:top w:w="90" w:type="dxa"/>
              <w:left w:w="120" w:type="dxa"/>
              <w:bottom w:w="90" w:type="dxa"/>
              <w:right w:w="120" w:type="dxa"/>
            </w:tcMar>
            <w:vAlign w:val="center"/>
          </w:tcPr>
          <w:p w14:paraId="7A1F7F7A" w14:textId="77777777" w:rsidR="00E54B4E" w:rsidRDefault="00000000">
            <w:r>
              <w:rPr>
                <w:sz w:val="20"/>
                <w:szCs w:val="20"/>
              </w:rPr>
              <w:t>ASN</w:t>
            </w:r>
          </w:p>
        </w:tc>
        <w:tc>
          <w:tcPr>
            <w:tcW w:w="7160" w:type="dxa"/>
            <w:shd w:val="clear" w:color="auto" w:fill="FFFFFF"/>
            <w:tcMar>
              <w:top w:w="90" w:type="dxa"/>
              <w:left w:w="120" w:type="dxa"/>
              <w:bottom w:w="90" w:type="dxa"/>
              <w:right w:w="120" w:type="dxa"/>
            </w:tcMar>
            <w:vAlign w:val="center"/>
          </w:tcPr>
          <w:p w14:paraId="256A73EB" w14:textId="77777777" w:rsidR="00E54B4E" w:rsidRDefault="00000000">
            <w:r>
              <w:rPr>
                <w:sz w:val="20"/>
                <w:szCs w:val="20"/>
              </w:rPr>
              <w:t>Autonomous System Number — an identifier for a network operator's routed IP address space.</w:t>
            </w:r>
          </w:p>
        </w:tc>
      </w:tr>
      <w:tr w:rsidR="00E54B4E" w14:paraId="2AE94A5F" w14:textId="77777777">
        <w:tblPrEx>
          <w:tblCellMar>
            <w:top w:w="0" w:type="dxa"/>
            <w:bottom w:w="0" w:type="dxa"/>
          </w:tblCellMar>
        </w:tblPrEx>
        <w:tc>
          <w:tcPr>
            <w:tcW w:w="2200" w:type="dxa"/>
            <w:shd w:val="clear" w:color="auto" w:fill="F2F2F2"/>
            <w:tcMar>
              <w:top w:w="90" w:type="dxa"/>
              <w:left w:w="120" w:type="dxa"/>
              <w:bottom w:w="90" w:type="dxa"/>
              <w:right w:w="120" w:type="dxa"/>
            </w:tcMar>
            <w:vAlign w:val="center"/>
          </w:tcPr>
          <w:p w14:paraId="5D901AB5" w14:textId="77777777" w:rsidR="00E54B4E" w:rsidRDefault="00000000">
            <w:r>
              <w:rPr>
                <w:sz w:val="20"/>
                <w:szCs w:val="20"/>
              </w:rPr>
              <w:t>WHOIS</w:t>
            </w:r>
          </w:p>
        </w:tc>
        <w:tc>
          <w:tcPr>
            <w:tcW w:w="7160" w:type="dxa"/>
            <w:shd w:val="clear" w:color="auto" w:fill="F2F2F2"/>
            <w:tcMar>
              <w:top w:w="90" w:type="dxa"/>
              <w:left w:w="120" w:type="dxa"/>
              <w:bottom w:w="90" w:type="dxa"/>
              <w:right w:w="120" w:type="dxa"/>
            </w:tcMar>
            <w:vAlign w:val="center"/>
          </w:tcPr>
          <w:p w14:paraId="7C5D85F7" w14:textId="77777777" w:rsidR="00E54B4E" w:rsidRDefault="00000000">
            <w:r>
              <w:rPr>
                <w:sz w:val="20"/>
                <w:szCs w:val="20"/>
              </w:rPr>
              <w:t>A registry protocol/record providing domain registration ownership and contact information.</w:t>
            </w:r>
          </w:p>
        </w:tc>
      </w:tr>
      <w:tr w:rsidR="00E54B4E" w14:paraId="37984376" w14:textId="77777777">
        <w:tblPrEx>
          <w:tblCellMar>
            <w:top w:w="0" w:type="dxa"/>
            <w:bottom w:w="0" w:type="dxa"/>
          </w:tblCellMar>
        </w:tblPrEx>
        <w:tc>
          <w:tcPr>
            <w:tcW w:w="2200" w:type="dxa"/>
            <w:shd w:val="clear" w:color="auto" w:fill="FFFFFF"/>
            <w:tcMar>
              <w:top w:w="90" w:type="dxa"/>
              <w:left w:w="120" w:type="dxa"/>
              <w:bottom w:w="90" w:type="dxa"/>
              <w:right w:w="120" w:type="dxa"/>
            </w:tcMar>
            <w:vAlign w:val="center"/>
          </w:tcPr>
          <w:p w14:paraId="52D6D8E1" w14:textId="77777777" w:rsidR="00E54B4E" w:rsidRDefault="00000000">
            <w:r>
              <w:rPr>
                <w:sz w:val="20"/>
                <w:szCs w:val="20"/>
              </w:rPr>
              <w:t>OSINT</w:t>
            </w:r>
          </w:p>
        </w:tc>
        <w:tc>
          <w:tcPr>
            <w:tcW w:w="7160" w:type="dxa"/>
            <w:shd w:val="clear" w:color="auto" w:fill="FFFFFF"/>
            <w:tcMar>
              <w:top w:w="90" w:type="dxa"/>
              <w:left w:w="120" w:type="dxa"/>
              <w:bottom w:w="90" w:type="dxa"/>
              <w:right w:w="120" w:type="dxa"/>
            </w:tcMar>
            <w:vAlign w:val="center"/>
          </w:tcPr>
          <w:p w14:paraId="174B1CB0" w14:textId="77777777" w:rsidR="00E54B4E" w:rsidRDefault="00000000">
            <w:r>
              <w:rPr>
                <w:sz w:val="20"/>
                <w:szCs w:val="20"/>
              </w:rPr>
              <w:t>Open-Source Intelligence — intelligence derived from publicly available sources.</w:t>
            </w:r>
          </w:p>
        </w:tc>
      </w:tr>
      <w:tr w:rsidR="00E54B4E" w14:paraId="4C28339F" w14:textId="77777777">
        <w:tblPrEx>
          <w:tblCellMar>
            <w:top w:w="0" w:type="dxa"/>
            <w:bottom w:w="0" w:type="dxa"/>
          </w:tblCellMar>
        </w:tblPrEx>
        <w:tc>
          <w:tcPr>
            <w:tcW w:w="2200" w:type="dxa"/>
            <w:shd w:val="clear" w:color="auto" w:fill="F2F2F2"/>
            <w:tcMar>
              <w:top w:w="90" w:type="dxa"/>
              <w:left w:w="120" w:type="dxa"/>
              <w:bottom w:w="90" w:type="dxa"/>
              <w:right w:w="120" w:type="dxa"/>
            </w:tcMar>
            <w:vAlign w:val="center"/>
          </w:tcPr>
          <w:p w14:paraId="6760D032" w14:textId="77777777" w:rsidR="00E54B4E" w:rsidRDefault="00000000">
            <w:r>
              <w:rPr>
                <w:sz w:val="20"/>
                <w:szCs w:val="20"/>
              </w:rPr>
              <w:t>RBAC</w:t>
            </w:r>
          </w:p>
        </w:tc>
        <w:tc>
          <w:tcPr>
            <w:tcW w:w="7160" w:type="dxa"/>
            <w:shd w:val="clear" w:color="auto" w:fill="F2F2F2"/>
            <w:tcMar>
              <w:top w:w="90" w:type="dxa"/>
              <w:left w:w="120" w:type="dxa"/>
              <w:bottom w:w="90" w:type="dxa"/>
              <w:right w:w="120" w:type="dxa"/>
            </w:tcMar>
            <w:vAlign w:val="center"/>
          </w:tcPr>
          <w:p w14:paraId="081FEF33" w14:textId="77777777" w:rsidR="00E54B4E" w:rsidRDefault="00000000">
            <w:r>
              <w:rPr>
                <w:sz w:val="20"/>
                <w:szCs w:val="20"/>
              </w:rPr>
              <w:t>Role-Based Access Control — a permissions model that grants access based on assigned roles.</w:t>
            </w:r>
          </w:p>
        </w:tc>
      </w:tr>
      <w:tr w:rsidR="00E54B4E" w14:paraId="2DA9E1F0" w14:textId="77777777">
        <w:tblPrEx>
          <w:tblCellMar>
            <w:top w:w="0" w:type="dxa"/>
            <w:bottom w:w="0" w:type="dxa"/>
          </w:tblCellMar>
        </w:tblPrEx>
        <w:tc>
          <w:tcPr>
            <w:tcW w:w="2200" w:type="dxa"/>
            <w:shd w:val="clear" w:color="auto" w:fill="FFFFFF"/>
            <w:tcMar>
              <w:top w:w="90" w:type="dxa"/>
              <w:left w:w="120" w:type="dxa"/>
              <w:bottom w:w="90" w:type="dxa"/>
              <w:right w:w="120" w:type="dxa"/>
            </w:tcMar>
            <w:vAlign w:val="center"/>
          </w:tcPr>
          <w:p w14:paraId="3D51282A" w14:textId="77777777" w:rsidR="00E54B4E" w:rsidRDefault="00000000">
            <w:r>
              <w:rPr>
                <w:sz w:val="20"/>
                <w:szCs w:val="20"/>
              </w:rPr>
              <w:t>SIEM</w:t>
            </w:r>
          </w:p>
        </w:tc>
        <w:tc>
          <w:tcPr>
            <w:tcW w:w="7160" w:type="dxa"/>
            <w:shd w:val="clear" w:color="auto" w:fill="FFFFFF"/>
            <w:tcMar>
              <w:top w:w="90" w:type="dxa"/>
              <w:left w:w="120" w:type="dxa"/>
              <w:bottom w:w="90" w:type="dxa"/>
              <w:right w:w="120" w:type="dxa"/>
            </w:tcMar>
            <w:vAlign w:val="center"/>
          </w:tcPr>
          <w:p w14:paraId="6D7E9F15" w14:textId="77777777" w:rsidR="00E54B4E" w:rsidRDefault="00000000">
            <w:r>
              <w:rPr>
                <w:sz w:val="20"/>
                <w:szCs w:val="20"/>
              </w:rPr>
              <w:t>Security Information and Event Management — a platform (e.g., Microsoft Sentinel) for centralized log collection, detection, and alerting.</w:t>
            </w:r>
          </w:p>
        </w:tc>
      </w:tr>
      <w:tr w:rsidR="00E54B4E" w14:paraId="1ACDC700" w14:textId="77777777">
        <w:tblPrEx>
          <w:tblCellMar>
            <w:top w:w="0" w:type="dxa"/>
            <w:bottom w:w="0" w:type="dxa"/>
          </w:tblCellMar>
        </w:tblPrEx>
        <w:tc>
          <w:tcPr>
            <w:tcW w:w="2200" w:type="dxa"/>
            <w:shd w:val="clear" w:color="auto" w:fill="F2F2F2"/>
            <w:tcMar>
              <w:top w:w="90" w:type="dxa"/>
              <w:left w:w="120" w:type="dxa"/>
              <w:bottom w:w="90" w:type="dxa"/>
              <w:right w:w="120" w:type="dxa"/>
            </w:tcMar>
            <w:vAlign w:val="center"/>
          </w:tcPr>
          <w:p w14:paraId="694D9105" w14:textId="77777777" w:rsidR="00E54B4E" w:rsidRDefault="00000000">
            <w:r>
              <w:rPr>
                <w:sz w:val="20"/>
                <w:szCs w:val="20"/>
              </w:rPr>
              <w:lastRenderedPageBreak/>
              <w:t>XDR</w:t>
            </w:r>
          </w:p>
        </w:tc>
        <w:tc>
          <w:tcPr>
            <w:tcW w:w="7160" w:type="dxa"/>
            <w:shd w:val="clear" w:color="auto" w:fill="F2F2F2"/>
            <w:tcMar>
              <w:top w:w="90" w:type="dxa"/>
              <w:left w:w="120" w:type="dxa"/>
              <w:bottom w:w="90" w:type="dxa"/>
              <w:right w:w="120" w:type="dxa"/>
            </w:tcMar>
            <w:vAlign w:val="center"/>
          </w:tcPr>
          <w:p w14:paraId="5FC16F0A" w14:textId="77777777" w:rsidR="00E54B4E" w:rsidRDefault="00000000">
            <w:r>
              <w:rPr>
                <w:sz w:val="20"/>
                <w:szCs w:val="20"/>
              </w:rPr>
              <w:t>Extended Detection and Response — a platform (e.g., Microsoft Defender XDR) that correlates signals across endpoints, identities, email, and cloud apps.</w:t>
            </w:r>
          </w:p>
        </w:tc>
      </w:tr>
    </w:tbl>
    <w:p w14:paraId="635801D8" w14:textId="36A346EF" w:rsidR="00E54B4E" w:rsidRDefault="000A4F57">
      <w:pPr>
        <w:pStyle w:val="Heading2"/>
      </w:pPr>
      <w:r>
        <w:br/>
      </w:r>
      <w:bookmarkStart w:id="29" w:name="_Toc235805630"/>
      <w:r w:rsidR="00000000">
        <w:t>Reference Links</w:t>
      </w:r>
      <w:bookmarkEnd w:id="29"/>
    </w:p>
    <w:p w14:paraId="424BBA2C" w14:textId="46C92CD3" w:rsidR="00E54B4E" w:rsidRDefault="000A4F57">
      <w:pPr>
        <w:pStyle w:val="ListParagraph"/>
        <w:numPr>
          <w:ilvl w:val="0"/>
          <w:numId w:val="2"/>
        </w:numPr>
        <w:spacing w:after="80"/>
      </w:pPr>
      <w:hyperlink r:id="rId9" w:history="1">
        <w:r w:rsidR="00000000" w:rsidRPr="000A4F57">
          <w:rPr>
            <w:rStyle w:val="Hyperlink"/>
          </w:rPr>
          <w:t xml:space="preserve">Microsoft Learn </w:t>
        </w:r>
        <w:r w:rsidR="0090425E">
          <w:rPr>
            <w:rStyle w:val="Hyperlink"/>
          </w:rPr>
          <w:t>-</w:t>
        </w:r>
        <w:r w:rsidR="00000000" w:rsidRPr="000A4F57">
          <w:rPr>
            <w:rStyle w:val="Hyperlink"/>
          </w:rPr>
          <w:t xml:space="preserve"> What is Microsoft Defender Threat Intelligence (Defender TI)?</w:t>
        </w:r>
      </w:hyperlink>
    </w:p>
    <w:p w14:paraId="6E3209BE" w14:textId="4E4227BB" w:rsidR="00E54B4E" w:rsidRDefault="0090425E">
      <w:pPr>
        <w:pStyle w:val="ListParagraph"/>
        <w:numPr>
          <w:ilvl w:val="0"/>
          <w:numId w:val="2"/>
        </w:numPr>
        <w:spacing w:after="80"/>
      </w:pPr>
      <w:hyperlink r:id="rId10" w:history="1">
        <w:r w:rsidR="00000000" w:rsidRPr="0090425E">
          <w:rPr>
            <w:rStyle w:val="Hyperlink"/>
          </w:rPr>
          <w:t xml:space="preserve">Microsoft Learn </w:t>
        </w:r>
        <w:r w:rsidRPr="0090425E">
          <w:rPr>
            <w:rStyle w:val="Hyperlink"/>
          </w:rPr>
          <w:t>-</w:t>
        </w:r>
        <w:r w:rsidR="00000000" w:rsidRPr="0090425E">
          <w:rPr>
            <w:rStyle w:val="Hyperlink"/>
          </w:rPr>
          <w:t xml:space="preserve"> Enable the Defender Threat Intelligence data connector in Microsoft Sentinel</w:t>
        </w:r>
      </w:hyperlink>
    </w:p>
    <w:p w14:paraId="491401FB" w14:textId="6D1AF082" w:rsidR="00E54B4E" w:rsidRDefault="0090425E">
      <w:pPr>
        <w:pStyle w:val="ListParagraph"/>
        <w:numPr>
          <w:ilvl w:val="0"/>
          <w:numId w:val="2"/>
        </w:numPr>
        <w:spacing w:after="80"/>
      </w:pPr>
      <w:hyperlink r:id="rId11" w:history="1">
        <w:r w:rsidRPr="0090425E">
          <w:rPr>
            <w:rStyle w:val="Hyperlink"/>
          </w:rPr>
          <w:t>Microsoft Learn</w:t>
        </w:r>
        <w:r w:rsidRPr="0090425E">
          <w:rPr>
            <w:rStyle w:val="Hyperlink"/>
          </w:rPr>
          <w:t xml:space="preserve"> -</w:t>
        </w:r>
        <w:r w:rsidR="00000000" w:rsidRPr="0090425E">
          <w:rPr>
            <w:rStyle w:val="Hyperlink"/>
          </w:rPr>
          <w:t xml:space="preserve"> </w:t>
        </w:r>
        <w:r w:rsidRPr="0090425E">
          <w:rPr>
            <w:rStyle w:val="Hyperlink"/>
          </w:rPr>
          <w:t>Microsoft Security Copilot in Microsoft Defender Threat Intelligence</w:t>
        </w:r>
      </w:hyperlink>
    </w:p>
    <w:p w14:paraId="03F2E6EA" w14:textId="388E0CCB" w:rsidR="0090425E" w:rsidRDefault="0090425E">
      <w:pPr>
        <w:pStyle w:val="ListParagraph"/>
        <w:numPr>
          <w:ilvl w:val="0"/>
          <w:numId w:val="2"/>
        </w:numPr>
        <w:spacing w:after="80"/>
      </w:pPr>
      <w:hyperlink r:id="rId12" w:history="1">
        <w:r w:rsidRPr="0090425E">
          <w:rPr>
            <w:rStyle w:val="Hyperlink"/>
          </w:rPr>
          <w:t xml:space="preserve">Microsoft Learn </w:t>
        </w:r>
        <w:r w:rsidRPr="0090425E">
          <w:rPr>
            <w:rStyle w:val="Hyperlink"/>
          </w:rPr>
          <w:t xml:space="preserve">- </w:t>
        </w:r>
        <w:r w:rsidRPr="0090425E">
          <w:rPr>
            <w:rStyle w:val="Hyperlink"/>
          </w:rPr>
          <w:t>Microsoft Threat Intelligence in Microsoft Defender XDR</w:t>
        </w:r>
      </w:hyperlink>
    </w:p>
    <w:sectPr w:rsidR="0090425E">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551C1" w14:textId="77777777" w:rsidR="00A67262" w:rsidRDefault="00A67262">
      <w:pPr>
        <w:spacing w:line="240" w:lineRule="auto"/>
      </w:pPr>
      <w:r>
        <w:separator/>
      </w:r>
    </w:p>
  </w:endnote>
  <w:endnote w:type="continuationSeparator" w:id="0">
    <w:p w14:paraId="00163875" w14:textId="77777777" w:rsidR="00A67262" w:rsidRDefault="00A672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A6C16" w14:textId="77777777" w:rsidR="00E54B4E"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EF0601">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EF0601">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1DEAB" w14:textId="77777777" w:rsidR="00A67262" w:rsidRDefault="00A67262">
      <w:pPr>
        <w:spacing w:line="240" w:lineRule="auto"/>
      </w:pPr>
      <w:r>
        <w:separator/>
      </w:r>
    </w:p>
  </w:footnote>
  <w:footnote w:type="continuationSeparator" w:id="0">
    <w:p w14:paraId="039DB725" w14:textId="77777777" w:rsidR="00A67262" w:rsidRDefault="00A672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18691" w14:textId="77777777" w:rsidR="00E54B4E" w:rsidRDefault="00000000">
    <w:pPr>
      <w:jc w:val="right"/>
    </w:pPr>
    <w:r>
      <w:rPr>
        <w:color w:val="595959"/>
        <w:sz w:val="16"/>
        <w:szCs w:val="16"/>
      </w:rPr>
      <w:t>Defender TI — Discovery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1790"/>
    <w:multiLevelType w:val="hybridMultilevel"/>
    <w:tmpl w:val="30B60D9E"/>
    <w:lvl w:ilvl="0" w:tplc="40090003">
      <w:start w:val="1"/>
      <w:numFmt w:val="bullet"/>
      <w:lvlText w:val="o"/>
      <w:lvlJc w:val="left"/>
      <w:pPr>
        <w:ind w:left="920" w:hanging="360"/>
      </w:pPr>
      <w:rPr>
        <w:rFonts w:ascii="Courier New" w:hAnsi="Courier New" w:cs="Courier New" w:hint="default"/>
      </w:rPr>
    </w:lvl>
    <w:lvl w:ilvl="1" w:tplc="40090003" w:tentative="1">
      <w:start w:val="1"/>
      <w:numFmt w:val="bullet"/>
      <w:lvlText w:val="o"/>
      <w:lvlJc w:val="left"/>
      <w:pPr>
        <w:ind w:left="1640" w:hanging="360"/>
      </w:pPr>
      <w:rPr>
        <w:rFonts w:ascii="Courier New" w:hAnsi="Courier New" w:cs="Courier New" w:hint="default"/>
      </w:rPr>
    </w:lvl>
    <w:lvl w:ilvl="2" w:tplc="40090005" w:tentative="1">
      <w:start w:val="1"/>
      <w:numFmt w:val="bullet"/>
      <w:lvlText w:val=""/>
      <w:lvlJc w:val="left"/>
      <w:pPr>
        <w:ind w:left="2360" w:hanging="360"/>
      </w:pPr>
      <w:rPr>
        <w:rFonts w:ascii="Wingdings" w:hAnsi="Wingdings" w:hint="default"/>
      </w:rPr>
    </w:lvl>
    <w:lvl w:ilvl="3" w:tplc="40090001" w:tentative="1">
      <w:start w:val="1"/>
      <w:numFmt w:val="bullet"/>
      <w:lvlText w:val=""/>
      <w:lvlJc w:val="left"/>
      <w:pPr>
        <w:ind w:left="3080" w:hanging="360"/>
      </w:pPr>
      <w:rPr>
        <w:rFonts w:ascii="Symbol" w:hAnsi="Symbol" w:hint="default"/>
      </w:rPr>
    </w:lvl>
    <w:lvl w:ilvl="4" w:tplc="40090003" w:tentative="1">
      <w:start w:val="1"/>
      <w:numFmt w:val="bullet"/>
      <w:lvlText w:val="o"/>
      <w:lvlJc w:val="left"/>
      <w:pPr>
        <w:ind w:left="3800" w:hanging="360"/>
      </w:pPr>
      <w:rPr>
        <w:rFonts w:ascii="Courier New" w:hAnsi="Courier New" w:cs="Courier New" w:hint="default"/>
      </w:rPr>
    </w:lvl>
    <w:lvl w:ilvl="5" w:tplc="40090005" w:tentative="1">
      <w:start w:val="1"/>
      <w:numFmt w:val="bullet"/>
      <w:lvlText w:val=""/>
      <w:lvlJc w:val="left"/>
      <w:pPr>
        <w:ind w:left="4520" w:hanging="360"/>
      </w:pPr>
      <w:rPr>
        <w:rFonts w:ascii="Wingdings" w:hAnsi="Wingdings" w:hint="default"/>
      </w:rPr>
    </w:lvl>
    <w:lvl w:ilvl="6" w:tplc="40090001" w:tentative="1">
      <w:start w:val="1"/>
      <w:numFmt w:val="bullet"/>
      <w:lvlText w:val=""/>
      <w:lvlJc w:val="left"/>
      <w:pPr>
        <w:ind w:left="5240" w:hanging="360"/>
      </w:pPr>
      <w:rPr>
        <w:rFonts w:ascii="Symbol" w:hAnsi="Symbol" w:hint="default"/>
      </w:rPr>
    </w:lvl>
    <w:lvl w:ilvl="7" w:tplc="40090003" w:tentative="1">
      <w:start w:val="1"/>
      <w:numFmt w:val="bullet"/>
      <w:lvlText w:val="o"/>
      <w:lvlJc w:val="left"/>
      <w:pPr>
        <w:ind w:left="5960" w:hanging="360"/>
      </w:pPr>
      <w:rPr>
        <w:rFonts w:ascii="Courier New" w:hAnsi="Courier New" w:cs="Courier New" w:hint="default"/>
      </w:rPr>
    </w:lvl>
    <w:lvl w:ilvl="8" w:tplc="40090005" w:tentative="1">
      <w:start w:val="1"/>
      <w:numFmt w:val="bullet"/>
      <w:lvlText w:val=""/>
      <w:lvlJc w:val="left"/>
      <w:pPr>
        <w:ind w:left="6680" w:hanging="360"/>
      </w:pPr>
      <w:rPr>
        <w:rFonts w:ascii="Wingdings" w:hAnsi="Wingdings" w:hint="default"/>
      </w:rPr>
    </w:lvl>
  </w:abstractNum>
  <w:abstractNum w:abstractNumId="1" w15:restartNumberingAfterBreak="0">
    <w:nsid w:val="16F14330"/>
    <w:multiLevelType w:val="hybridMultilevel"/>
    <w:tmpl w:val="C1207656"/>
    <w:lvl w:ilvl="0" w:tplc="4A645C04">
      <w:start w:val="1"/>
      <w:numFmt w:val="bullet"/>
      <w:lvlText w:val="●"/>
      <w:lvlJc w:val="left"/>
      <w:pPr>
        <w:ind w:left="720" w:hanging="360"/>
      </w:pPr>
    </w:lvl>
    <w:lvl w:ilvl="1" w:tplc="78B66FA8">
      <w:start w:val="1"/>
      <w:numFmt w:val="bullet"/>
      <w:lvlText w:val="○"/>
      <w:lvlJc w:val="left"/>
      <w:pPr>
        <w:ind w:left="1440" w:hanging="360"/>
      </w:pPr>
    </w:lvl>
    <w:lvl w:ilvl="2" w:tplc="1CE6ECFA">
      <w:start w:val="1"/>
      <w:numFmt w:val="bullet"/>
      <w:lvlText w:val="■"/>
      <w:lvlJc w:val="left"/>
      <w:pPr>
        <w:ind w:left="2160" w:hanging="360"/>
      </w:pPr>
    </w:lvl>
    <w:lvl w:ilvl="3" w:tplc="BA4C839C">
      <w:start w:val="1"/>
      <w:numFmt w:val="bullet"/>
      <w:lvlText w:val="●"/>
      <w:lvlJc w:val="left"/>
      <w:pPr>
        <w:ind w:left="2880" w:hanging="360"/>
      </w:pPr>
    </w:lvl>
    <w:lvl w:ilvl="4" w:tplc="7DCED552">
      <w:start w:val="1"/>
      <w:numFmt w:val="bullet"/>
      <w:lvlText w:val="○"/>
      <w:lvlJc w:val="left"/>
      <w:pPr>
        <w:ind w:left="3600" w:hanging="360"/>
      </w:pPr>
    </w:lvl>
    <w:lvl w:ilvl="5" w:tplc="6178A560">
      <w:start w:val="1"/>
      <w:numFmt w:val="bullet"/>
      <w:lvlText w:val="■"/>
      <w:lvlJc w:val="left"/>
      <w:pPr>
        <w:ind w:left="4320" w:hanging="360"/>
      </w:pPr>
    </w:lvl>
    <w:lvl w:ilvl="6" w:tplc="C968195C">
      <w:start w:val="1"/>
      <w:numFmt w:val="bullet"/>
      <w:lvlText w:val="●"/>
      <w:lvlJc w:val="left"/>
      <w:pPr>
        <w:ind w:left="5040" w:hanging="360"/>
      </w:pPr>
    </w:lvl>
    <w:lvl w:ilvl="7" w:tplc="27D0CF6E">
      <w:start w:val="1"/>
      <w:numFmt w:val="bullet"/>
      <w:lvlText w:val="●"/>
      <w:lvlJc w:val="left"/>
      <w:pPr>
        <w:ind w:left="5760" w:hanging="360"/>
      </w:pPr>
    </w:lvl>
    <w:lvl w:ilvl="8" w:tplc="320A2E62">
      <w:start w:val="1"/>
      <w:numFmt w:val="bullet"/>
      <w:lvlText w:val="●"/>
      <w:lvlJc w:val="left"/>
      <w:pPr>
        <w:ind w:left="6480" w:hanging="360"/>
      </w:pPr>
    </w:lvl>
  </w:abstractNum>
  <w:abstractNum w:abstractNumId="2" w15:restartNumberingAfterBreak="0">
    <w:nsid w:val="2B592E8A"/>
    <w:multiLevelType w:val="hybridMultilevel"/>
    <w:tmpl w:val="2250D984"/>
    <w:lvl w:ilvl="0" w:tplc="4009000F">
      <w:start w:val="1"/>
      <w:numFmt w:val="decimal"/>
      <w:lvlText w:val="%1."/>
      <w:lvlJc w:val="left"/>
      <w:pPr>
        <w:ind w:left="920" w:hanging="360"/>
      </w:pPr>
    </w:lvl>
    <w:lvl w:ilvl="1" w:tplc="40090019" w:tentative="1">
      <w:start w:val="1"/>
      <w:numFmt w:val="lowerLetter"/>
      <w:lvlText w:val="%2."/>
      <w:lvlJc w:val="left"/>
      <w:pPr>
        <w:ind w:left="1640" w:hanging="360"/>
      </w:pPr>
    </w:lvl>
    <w:lvl w:ilvl="2" w:tplc="4009001B" w:tentative="1">
      <w:start w:val="1"/>
      <w:numFmt w:val="lowerRoman"/>
      <w:lvlText w:val="%3."/>
      <w:lvlJc w:val="right"/>
      <w:pPr>
        <w:ind w:left="2360" w:hanging="180"/>
      </w:pPr>
    </w:lvl>
    <w:lvl w:ilvl="3" w:tplc="4009000F" w:tentative="1">
      <w:start w:val="1"/>
      <w:numFmt w:val="decimal"/>
      <w:lvlText w:val="%4."/>
      <w:lvlJc w:val="left"/>
      <w:pPr>
        <w:ind w:left="3080" w:hanging="360"/>
      </w:pPr>
    </w:lvl>
    <w:lvl w:ilvl="4" w:tplc="40090019" w:tentative="1">
      <w:start w:val="1"/>
      <w:numFmt w:val="lowerLetter"/>
      <w:lvlText w:val="%5."/>
      <w:lvlJc w:val="left"/>
      <w:pPr>
        <w:ind w:left="3800" w:hanging="360"/>
      </w:pPr>
    </w:lvl>
    <w:lvl w:ilvl="5" w:tplc="4009001B" w:tentative="1">
      <w:start w:val="1"/>
      <w:numFmt w:val="lowerRoman"/>
      <w:lvlText w:val="%6."/>
      <w:lvlJc w:val="right"/>
      <w:pPr>
        <w:ind w:left="4520" w:hanging="180"/>
      </w:pPr>
    </w:lvl>
    <w:lvl w:ilvl="6" w:tplc="4009000F" w:tentative="1">
      <w:start w:val="1"/>
      <w:numFmt w:val="decimal"/>
      <w:lvlText w:val="%7."/>
      <w:lvlJc w:val="left"/>
      <w:pPr>
        <w:ind w:left="5240" w:hanging="360"/>
      </w:pPr>
    </w:lvl>
    <w:lvl w:ilvl="7" w:tplc="40090019" w:tentative="1">
      <w:start w:val="1"/>
      <w:numFmt w:val="lowerLetter"/>
      <w:lvlText w:val="%8."/>
      <w:lvlJc w:val="left"/>
      <w:pPr>
        <w:ind w:left="5960" w:hanging="360"/>
      </w:pPr>
    </w:lvl>
    <w:lvl w:ilvl="8" w:tplc="4009001B" w:tentative="1">
      <w:start w:val="1"/>
      <w:numFmt w:val="lowerRoman"/>
      <w:lvlText w:val="%9."/>
      <w:lvlJc w:val="right"/>
      <w:pPr>
        <w:ind w:left="6680" w:hanging="180"/>
      </w:pPr>
    </w:lvl>
  </w:abstractNum>
  <w:abstractNum w:abstractNumId="3" w15:restartNumberingAfterBreak="0">
    <w:nsid w:val="33980D9B"/>
    <w:multiLevelType w:val="hybridMultilevel"/>
    <w:tmpl w:val="78CA6EAC"/>
    <w:lvl w:ilvl="0" w:tplc="40090001">
      <w:start w:val="1"/>
      <w:numFmt w:val="bullet"/>
      <w:lvlText w:val=""/>
      <w:lvlJc w:val="left"/>
      <w:pPr>
        <w:ind w:left="920" w:hanging="360"/>
      </w:pPr>
      <w:rPr>
        <w:rFonts w:ascii="Symbol" w:hAnsi="Symbol" w:hint="default"/>
      </w:rPr>
    </w:lvl>
    <w:lvl w:ilvl="1" w:tplc="FFFFFFFF" w:tentative="1">
      <w:start w:val="1"/>
      <w:numFmt w:val="bullet"/>
      <w:lvlText w:val="o"/>
      <w:lvlJc w:val="left"/>
      <w:pPr>
        <w:ind w:left="1640" w:hanging="360"/>
      </w:pPr>
      <w:rPr>
        <w:rFonts w:ascii="Courier New" w:hAnsi="Courier New" w:cs="Courier New" w:hint="default"/>
      </w:rPr>
    </w:lvl>
    <w:lvl w:ilvl="2" w:tplc="FFFFFFFF" w:tentative="1">
      <w:start w:val="1"/>
      <w:numFmt w:val="bullet"/>
      <w:lvlText w:val=""/>
      <w:lvlJc w:val="left"/>
      <w:pPr>
        <w:ind w:left="2360" w:hanging="360"/>
      </w:pPr>
      <w:rPr>
        <w:rFonts w:ascii="Wingdings" w:hAnsi="Wingdings" w:hint="default"/>
      </w:rPr>
    </w:lvl>
    <w:lvl w:ilvl="3" w:tplc="FFFFFFFF" w:tentative="1">
      <w:start w:val="1"/>
      <w:numFmt w:val="bullet"/>
      <w:lvlText w:val=""/>
      <w:lvlJc w:val="left"/>
      <w:pPr>
        <w:ind w:left="3080" w:hanging="360"/>
      </w:pPr>
      <w:rPr>
        <w:rFonts w:ascii="Symbol" w:hAnsi="Symbol" w:hint="default"/>
      </w:rPr>
    </w:lvl>
    <w:lvl w:ilvl="4" w:tplc="FFFFFFFF" w:tentative="1">
      <w:start w:val="1"/>
      <w:numFmt w:val="bullet"/>
      <w:lvlText w:val="o"/>
      <w:lvlJc w:val="left"/>
      <w:pPr>
        <w:ind w:left="3800" w:hanging="360"/>
      </w:pPr>
      <w:rPr>
        <w:rFonts w:ascii="Courier New" w:hAnsi="Courier New" w:cs="Courier New" w:hint="default"/>
      </w:rPr>
    </w:lvl>
    <w:lvl w:ilvl="5" w:tplc="FFFFFFFF" w:tentative="1">
      <w:start w:val="1"/>
      <w:numFmt w:val="bullet"/>
      <w:lvlText w:val=""/>
      <w:lvlJc w:val="left"/>
      <w:pPr>
        <w:ind w:left="4520" w:hanging="360"/>
      </w:pPr>
      <w:rPr>
        <w:rFonts w:ascii="Wingdings" w:hAnsi="Wingdings" w:hint="default"/>
      </w:rPr>
    </w:lvl>
    <w:lvl w:ilvl="6" w:tplc="FFFFFFFF" w:tentative="1">
      <w:start w:val="1"/>
      <w:numFmt w:val="bullet"/>
      <w:lvlText w:val=""/>
      <w:lvlJc w:val="left"/>
      <w:pPr>
        <w:ind w:left="5240" w:hanging="360"/>
      </w:pPr>
      <w:rPr>
        <w:rFonts w:ascii="Symbol" w:hAnsi="Symbol" w:hint="default"/>
      </w:rPr>
    </w:lvl>
    <w:lvl w:ilvl="7" w:tplc="FFFFFFFF" w:tentative="1">
      <w:start w:val="1"/>
      <w:numFmt w:val="bullet"/>
      <w:lvlText w:val="o"/>
      <w:lvlJc w:val="left"/>
      <w:pPr>
        <w:ind w:left="5960" w:hanging="360"/>
      </w:pPr>
      <w:rPr>
        <w:rFonts w:ascii="Courier New" w:hAnsi="Courier New" w:cs="Courier New" w:hint="default"/>
      </w:rPr>
    </w:lvl>
    <w:lvl w:ilvl="8" w:tplc="FFFFFFFF" w:tentative="1">
      <w:start w:val="1"/>
      <w:numFmt w:val="bullet"/>
      <w:lvlText w:val=""/>
      <w:lvlJc w:val="left"/>
      <w:pPr>
        <w:ind w:left="6680" w:hanging="360"/>
      </w:pPr>
      <w:rPr>
        <w:rFonts w:ascii="Wingdings" w:hAnsi="Wingdings" w:hint="default"/>
      </w:rPr>
    </w:lvl>
  </w:abstractNum>
  <w:abstractNum w:abstractNumId="4" w15:restartNumberingAfterBreak="0">
    <w:nsid w:val="37160650"/>
    <w:multiLevelType w:val="hybridMultilevel"/>
    <w:tmpl w:val="A73EA6E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A2F3723"/>
    <w:multiLevelType w:val="hybridMultilevel"/>
    <w:tmpl w:val="E4BA60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76D3676"/>
    <w:multiLevelType w:val="hybridMultilevel"/>
    <w:tmpl w:val="06F66512"/>
    <w:lvl w:ilvl="0" w:tplc="D81427EC">
      <w:start w:val="1"/>
      <w:numFmt w:val="decimal"/>
      <w:lvlText w:val="%1."/>
      <w:lvlJc w:val="left"/>
      <w:pPr>
        <w:ind w:left="460" w:hanging="260"/>
      </w:pPr>
    </w:lvl>
    <w:lvl w:ilvl="1" w:tplc="11682464">
      <w:numFmt w:val="decimal"/>
      <w:lvlText w:val=""/>
      <w:lvlJc w:val="left"/>
    </w:lvl>
    <w:lvl w:ilvl="2" w:tplc="73A8828C">
      <w:numFmt w:val="decimal"/>
      <w:lvlText w:val=""/>
      <w:lvlJc w:val="left"/>
    </w:lvl>
    <w:lvl w:ilvl="3" w:tplc="97FE6554">
      <w:numFmt w:val="decimal"/>
      <w:lvlText w:val=""/>
      <w:lvlJc w:val="left"/>
    </w:lvl>
    <w:lvl w:ilvl="4" w:tplc="C6460CA2">
      <w:numFmt w:val="decimal"/>
      <w:lvlText w:val=""/>
      <w:lvlJc w:val="left"/>
    </w:lvl>
    <w:lvl w:ilvl="5" w:tplc="0E6EF73E">
      <w:numFmt w:val="decimal"/>
      <w:lvlText w:val=""/>
      <w:lvlJc w:val="left"/>
    </w:lvl>
    <w:lvl w:ilvl="6" w:tplc="910CFE82">
      <w:numFmt w:val="decimal"/>
      <w:lvlText w:val=""/>
      <w:lvlJc w:val="left"/>
    </w:lvl>
    <w:lvl w:ilvl="7" w:tplc="6E66A064">
      <w:numFmt w:val="decimal"/>
      <w:lvlText w:val=""/>
      <w:lvlJc w:val="left"/>
    </w:lvl>
    <w:lvl w:ilvl="8" w:tplc="CEC02AB2">
      <w:numFmt w:val="decimal"/>
      <w:lvlText w:val=""/>
      <w:lvlJc w:val="left"/>
    </w:lvl>
  </w:abstractNum>
  <w:abstractNum w:abstractNumId="7" w15:restartNumberingAfterBreak="0">
    <w:nsid w:val="57B1662C"/>
    <w:multiLevelType w:val="hybridMultilevel"/>
    <w:tmpl w:val="3C504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B083425"/>
    <w:multiLevelType w:val="hybridMultilevel"/>
    <w:tmpl w:val="68449880"/>
    <w:lvl w:ilvl="0" w:tplc="F2E8488C">
      <w:start w:val="1"/>
      <w:numFmt w:val="bullet"/>
      <w:lvlText w:val="•"/>
      <w:lvlJc w:val="left"/>
      <w:pPr>
        <w:ind w:left="460" w:hanging="260"/>
      </w:pPr>
    </w:lvl>
    <w:lvl w:ilvl="1" w:tplc="A8B0FABC">
      <w:start w:val="1"/>
      <w:numFmt w:val="bullet"/>
      <w:lvlText w:val="–"/>
      <w:lvlJc w:val="left"/>
      <w:pPr>
        <w:ind w:left="920" w:hanging="260"/>
      </w:pPr>
    </w:lvl>
    <w:lvl w:ilvl="2" w:tplc="93F0C678">
      <w:numFmt w:val="decimal"/>
      <w:lvlText w:val=""/>
      <w:lvlJc w:val="left"/>
    </w:lvl>
    <w:lvl w:ilvl="3" w:tplc="95A6689E">
      <w:numFmt w:val="decimal"/>
      <w:lvlText w:val=""/>
      <w:lvlJc w:val="left"/>
    </w:lvl>
    <w:lvl w:ilvl="4" w:tplc="E922747A">
      <w:numFmt w:val="decimal"/>
      <w:lvlText w:val=""/>
      <w:lvlJc w:val="left"/>
    </w:lvl>
    <w:lvl w:ilvl="5" w:tplc="C594557E">
      <w:numFmt w:val="decimal"/>
      <w:lvlText w:val=""/>
      <w:lvlJc w:val="left"/>
    </w:lvl>
    <w:lvl w:ilvl="6" w:tplc="55B8E67C">
      <w:numFmt w:val="decimal"/>
      <w:lvlText w:val=""/>
      <w:lvlJc w:val="left"/>
    </w:lvl>
    <w:lvl w:ilvl="7" w:tplc="A7980718">
      <w:numFmt w:val="decimal"/>
      <w:lvlText w:val=""/>
      <w:lvlJc w:val="left"/>
    </w:lvl>
    <w:lvl w:ilvl="8" w:tplc="A7760830">
      <w:numFmt w:val="decimal"/>
      <w:lvlText w:val=""/>
      <w:lvlJc w:val="left"/>
    </w:lvl>
  </w:abstractNum>
  <w:num w:numId="1" w16cid:durableId="1825312598">
    <w:abstractNumId w:val="1"/>
    <w:lvlOverride w:ilvl="0">
      <w:startOverride w:val="1"/>
    </w:lvlOverride>
  </w:num>
  <w:num w:numId="2" w16cid:durableId="636447784">
    <w:abstractNumId w:val="8"/>
    <w:lvlOverride w:ilvl="0">
      <w:startOverride w:val="1"/>
    </w:lvlOverride>
  </w:num>
  <w:num w:numId="3" w16cid:durableId="2110270886">
    <w:abstractNumId w:val="6"/>
    <w:lvlOverride w:ilvl="0">
      <w:startOverride w:val="1"/>
    </w:lvlOverride>
  </w:num>
  <w:num w:numId="4" w16cid:durableId="660693643">
    <w:abstractNumId w:val="2"/>
  </w:num>
  <w:num w:numId="5" w16cid:durableId="921183966">
    <w:abstractNumId w:val="7"/>
  </w:num>
  <w:num w:numId="6" w16cid:durableId="1949384329">
    <w:abstractNumId w:val="5"/>
  </w:num>
  <w:num w:numId="7" w16cid:durableId="1322154567">
    <w:abstractNumId w:val="4"/>
  </w:num>
  <w:num w:numId="8" w16cid:durableId="266474486">
    <w:abstractNumId w:val="0"/>
  </w:num>
  <w:num w:numId="9" w16cid:durableId="3307634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B4E"/>
    <w:rsid w:val="000A4F57"/>
    <w:rsid w:val="000F538C"/>
    <w:rsid w:val="0053537D"/>
    <w:rsid w:val="00660903"/>
    <w:rsid w:val="00735877"/>
    <w:rsid w:val="0090425E"/>
    <w:rsid w:val="0093245A"/>
    <w:rsid w:val="0094781A"/>
    <w:rsid w:val="009D3908"/>
    <w:rsid w:val="00A67262"/>
    <w:rsid w:val="00C545D2"/>
    <w:rsid w:val="00C70EED"/>
    <w:rsid w:val="00E01508"/>
    <w:rsid w:val="00E40F8D"/>
    <w:rsid w:val="00E471BB"/>
    <w:rsid w:val="00E54B4E"/>
    <w:rsid w:val="00E92C22"/>
    <w:rsid w:val="00EF0601"/>
    <w:rsid w:val="00F07B29"/>
    <w:rsid w:val="00F533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41693"/>
  <w15:docId w15:val="{3A9F0F35-AE69-4DE1-9D82-4DB3658BC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8" w:space="4" w:color="2E75B6"/>
      </w:pBdr>
      <w:spacing w:before="360" w:after="200"/>
      <w:outlineLvl w:val="0"/>
    </w:pPr>
    <w:rPr>
      <w:b/>
      <w:bCs/>
      <w:color w:val="1F3864"/>
      <w:sz w:val="32"/>
      <w:szCs w:val="32"/>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160" w:after="80"/>
      <w:outlineLvl w:val="2"/>
    </w:pPr>
    <w:rPr>
      <w:b/>
      <w:b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F0601"/>
    <w:pPr>
      <w:spacing w:after="100"/>
    </w:pPr>
  </w:style>
  <w:style w:type="paragraph" w:styleId="TOC2">
    <w:name w:val="toc 2"/>
    <w:basedOn w:val="Normal"/>
    <w:next w:val="Normal"/>
    <w:autoRedefine/>
    <w:uiPriority w:val="39"/>
    <w:unhideWhenUsed/>
    <w:rsid w:val="00EF0601"/>
    <w:pPr>
      <w:spacing w:after="100"/>
      <w:ind w:left="220"/>
    </w:pPr>
  </w:style>
  <w:style w:type="character" w:styleId="UnresolvedMention">
    <w:name w:val="Unresolved Mention"/>
    <w:basedOn w:val="DefaultParagraphFont"/>
    <w:uiPriority w:val="99"/>
    <w:semiHidden/>
    <w:unhideWhenUsed/>
    <w:rsid w:val="000A4F57"/>
    <w:rPr>
      <w:color w:val="605E5C"/>
      <w:shd w:val="clear" w:color="auto" w:fill="E1DFDD"/>
    </w:rPr>
  </w:style>
  <w:style w:type="paragraph" w:styleId="Header">
    <w:name w:val="header"/>
    <w:basedOn w:val="Normal"/>
    <w:link w:val="HeaderChar"/>
    <w:uiPriority w:val="99"/>
    <w:unhideWhenUsed/>
    <w:rsid w:val="009D3908"/>
    <w:pPr>
      <w:tabs>
        <w:tab w:val="center" w:pos="4513"/>
        <w:tab w:val="right" w:pos="9026"/>
      </w:tabs>
      <w:spacing w:line="240" w:lineRule="auto"/>
    </w:pPr>
  </w:style>
  <w:style w:type="character" w:customStyle="1" w:styleId="HeaderChar">
    <w:name w:val="Header Char"/>
    <w:basedOn w:val="DefaultParagraphFont"/>
    <w:link w:val="Header"/>
    <w:uiPriority w:val="99"/>
    <w:rsid w:val="009D3908"/>
  </w:style>
  <w:style w:type="paragraph" w:styleId="Footer">
    <w:name w:val="footer"/>
    <w:basedOn w:val="Normal"/>
    <w:link w:val="FooterChar"/>
    <w:uiPriority w:val="99"/>
    <w:unhideWhenUsed/>
    <w:rsid w:val="009D3908"/>
    <w:pPr>
      <w:tabs>
        <w:tab w:val="center" w:pos="4513"/>
        <w:tab w:val="right" w:pos="9026"/>
      </w:tabs>
      <w:spacing w:line="240" w:lineRule="auto"/>
    </w:pPr>
  </w:style>
  <w:style w:type="character" w:customStyle="1" w:styleId="FooterChar">
    <w:name w:val="Footer Char"/>
    <w:basedOn w:val="DefaultParagraphFont"/>
    <w:link w:val="Footer"/>
    <w:uiPriority w:val="99"/>
    <w:rsid w:val="009D3908"/>
  </w:style>
  <w:style w:type="character" w:customStyle="1" w:styleId="Heading1Char">
    <w:name w:val="Heading 1 Char"/>
    <w:basedOn w:val="DefaultParagraphFont"/>
    <w:link w:val="Heading1"/>
    <w:uiPriority w:val="9"/>
    <w:rsid w:val="000F538C"/>
    <w:rPr>
      <w:b/>
      <w:bCs/>
      <w:color w:val="1F3864"/>
      <w:sz w:val="32"/>
      <w:szCs w:val="32"/>
    </w:rPr>
  </w:style>
  <w:style w:type="character" w:customStyle="1" w:styleId="Heading2Char">
    <w:name w:val="Heading 2 Char"/>
    <w:basedOn w:val="DefaultParagraphFont"/>
    <w:link w:val="Heading2"/>
    <w:uiPriority w:val="9"/>
    <w:rsid w:val="000F538C"/>
    <w:rPr>
      <w:b/>
      <w:bCs/>
      <w:color w:val="2E75B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earn.microsoft.com/en-us/defender-xdr/defender-threat-intelligenc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en-us/defender/threat-intelligence/security-copilot-and-defender-threat-intelligenc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learn.microsoft.com/en-us/azure/sentinel/connect-mdti-data-connector" TargetMode="External"/><Relationship Id="rId4" Type="http://schemas.openxmlformats.org/officeDocument/2006/relationships/settings" Target="settings.xml"/><Relationship Id="rId9" Type="http://schemas.openxmlformats.org/officeDocument/2006/relationships/hyperlink" Target="https://learn.microsoft.com/el-gr/defender/threat-intelligence/what-is-microsoft-defender-threat-intelligence-defender-ti"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937D14-C474-4E30-90FF-3BE8ACC90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389</TotalTime>
  <Pages>15</Pages>
  <Words>3668</Words>
  <Characters>20909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Microsoft Defender Threat Intelligence (Defender TI) - Discovery Report</vt:lpstr>
    </vt:vector>
  </TitlesOfParts>
  <Company/>
  <LinksUpToDate>false</LinksUpToDate>
  <CharactersWithSpaces>24528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Defender Threat Intelligence (Defender TI) - Discovery Report</dc:title>
  <dc:creator>Security / Cloud Advisory Team</dc:creator>
  <cp:lastModifiedBy>Yash Raj Singh</cp:lastModifiedBy>
  <cp:revision>9</cp:revision>
  <dcterms:created xsi:type="dcterms:W3CDTF">2026-07-24T06:04:00Z</dcterms:created>
  <dcterms:modified xsi:type="dcterms:W3CDTF">2026-07-24T12:57:00Z</dcterms:modified>
</cp:coreProperties>
</file>