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2255"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327"/>
        <w:gridCol w:w="93"/>
        <w:gridCol w:w="8152"/>
        <w:gridCol w:w="395"/>
        <w:gridCol w:w="288"/>
      </w:tblGrid>
      <w:tr w:rsidR="00202E05" w:rsidRPr="00202E05" w:rsidTr="00F61DAA">
        <w:trPr>
          <w:gridAfter w:val="2"/>
          <w:wAfter w:w="683" w:type="dxa"/>
          <w:trHeight w:val="3480"/>
          <w:jc w:val="center"/>
        </w:trPr>
        <w:tc>
          <w:tcPr>
            <w:tcW w:w="3420" w:type="dxa"/>
            <w:gridSpan w:val="2"/>
          </w:tcPr>
          <w:p w:rsidR="00202E05" w:rsidRPr="00202E05" w:rsidRDefault="00202E05" w:rsidP="00742C63">
            <w:pPr>
              <w:pStyle w:val="Heading1"/>
              <w:rPr>
                <w:rFonts w:ascii="Cambria" w:hAnsi="Cambria"/>
              </w:rPr>
            </w:pPr>
            <w:r w:rsidRPr="00202E05">
              <w:rPr>
                <w:rFonts w:ascii="Cambria" w:hAnsi="Cambria"/>
              </w:rPr>
              <w:t>Professional Summary</w:t>
            </w:r>
          </w:p>
        </w:tc>
        <w:tc>
          <w:tcPr>
            <w:tcW w:w="8152" w:type="dxa"/>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 xml:space="preserve">2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F61DAA">
        <w:trPr>
          <w:gridAfter w:val="1"/>
          <w:wAfter w:w="288" w:type="dxa"/>
          <w:trHeight w:val="5056"/>
          <w:jc w:val="center"/>
        </w:trPr>
        <w:tc>
          <w:tcPr>
            <w:tcW w:w="3327" w:type="dxa"/>
          </w:tcPr>
          <w:p w:rsidR="00202E05" w:rsidRPr="00202E05" w:rsidRDefault="00202E05" w:rsidP="00742C63">
            <w:pPr>
              <w:pStyle w:val="Heading1"/>
              <w:rPr>
                <w:rFonts w:ascii="Cambria" w:hAnsi="Cambria"/>
              </w:rPr>
            </w:pPr>
            <w:r w:rsidRPr="00202E05">
              <w:rPr>
                <w:rFonts w:ascii="Cambria" w:hAnsi="Cambria"/>
              </w:rPr>
              <w:t>Technical Expertise</w:t>
            </w:r>
          </w:p>
        </w:tc>
        <w:tc>
          <w:tcPr>
            <w:tcW w:w="8640" w:type="dxa"/>
            <w:gridSpan w:val="3"/>
          </w:tcPr>
          <w:p w:rsidR="00202E05" w:rsidRPr="00202E05" w:rsidRDefault="00202E05" w:rsidP="00742C63">
            <w:pPr>
              <w:pStyle w:val="Normal1"/>
              <w:widowControl w:val="0"/>
              <w:spacing w:before="0" w:after="0" w:line="276" w:lineRule="auto"/>
              <w:rPr>
                <w:rFonts w:ascii="Cambria" w:hAnsi="Cambria"/>
              </w:rPr>
            </w:pPr>
          </w:p>
          <w:tbl>
            <w:tblPr>
              <w:tblW w:w="8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6"/>
              <w:gridCol w:w="6301"/>
            </w:tblGrid>
            <w:tr w:rsidR="00202E05" w:rsidRPr="00202E05" w:rsidTr="00F61DAA">
              <w:trPr>
                <w:trHeight w:val="482"/>
              </w:trPr>
              <w:tc>
                <w:tcPr>
                  <w:tcW w:w="222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6301"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F61DAA">
              <w:trPr>
                <w:trHeight w:val="482"/>
              </w:trPr>
              <w:tc>
                <w:tcPr>
                  <w:tcW w:w="222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6301"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F61DAA">
              <w:trPr>
                <w:trHeight w:val="405"/>
              </w:trPr>
              <w:tc>
                <w:tcPr>
                  <w:tcW w:w="222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6301"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F61DAA">
              <w:trPr>
                <w:trHeight w:val="405"/>
              </w:trPr>
              <w:tc>
                <w:tcPr>
                  <w:tcW w:w="2226"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6301"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r w:rsidR="005D0BF4">
                    <w:rPr>
                      <w:rFonts w:ascii="Cambria" w:hAnsi="Cambria"/>
                    </w:rPr>
                    <w:t>, Hibernate</w:t>
                  </w:r>
                </w:p>
              </w:tc>
            </w:tr>
            <w:tr w:rsidR="00202E05" w:rsidRPr="00202E05" w:rsidTr="00F61DAA">
              <w:trPr>
                <w:trHeight w:val="405"/>
              </w:trPr>
              <w:tc>
                <w:tcPr>
                  <w:tcW w:w="222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6301"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F61DAA">
              <w:trPr>
                <w:trHeight w:val="405"/>
              </w:trPr>
              <w:tc>
                <w:tcPr>
                  <w:tcW w:w="222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6301"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F61DAA">
              <w:trPr>
                <w:trHeight w:val="694"/>
              </w:trPr>
              <w:tc>
                <w:tcPr>
                  <w:tcW w:w="2226"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6301"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F61DAA">
        <w:trPr>
          <w:trHeight w:val="1760"/>
          <w:jc w:val="center"/>
        </w:trPr>
        <w:tc>
          <w:tcPr>
            <w:tcW w:w="3327" w:type="dxa"/>
          </w:tcPr>
          <w:p w:rsidR="00202E05" w:rsidRPr="00202E05" w:rsidRDefault="00202E05" w:rsidP="00742C63">
            <w:pPr>
              <w:pStyle w:val="Heading1"/>
              <w:rPr>
                <w:rFonts w:ascii="Cambria" w:hAnsi="Cambria"/>
              </w:rPr>
            </w:pPr>
            <w:r w:rsidRPr="00202E05">
              <w:rPr>
                <w:rFonts w:ascii="Cambria" w:hAnsi="Cambria"/>
              </w:rPr>
              <w:t>Employment Recital</w:t>
            </w:r>
          </w:p>
        </w:tc>
        <w:tc>
          <w:tcPr>
            <w:tcW w:w="8928" w:type="dxa"/>
            <w:gridSpan w:val="4"/>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008A0ED9">
              <w:rPr>
                <w:rFonts w:ascii="Cambria" w:hAnsi="Cambria"/>
                <w:sz w:val="24"/>
                <w:szCs w:val="24"/>
              </w:rPr>
              <w:t xml:space="preserve"> from 23rd October</w:t>
            </w:r>
            <w:r w:rsidRPr="00202E05">
              <w:rPr>
                <w:rFonts w:ascii="Cambria" w:hAnsi="Cambria"/>
                <w:sz w:val="24"/>
                <w:szCs w:val="24"/>
              </w:rPr>
              <w:t xml:space="preserve"> 2017 till Date.</w:t>
            </w:r>
          </w:p>
        </w:tc>
      </w:tr>
    </w:tbl>
    <w:p w:rsidR="00202E05" w:rsidRPr="00202E05" w:rsidRDefault="00202E05" w:rsidP="00202E05">
      <w:pPr>
        <w:rPr>
          <w:rFonts w:ascii="Cambria" w:hAnsi="Cambria"/>
        </w:rPr>
      </w:pPr>
    </w:p>
    <w:tbl>
      <w:tblPr>
        <w:tblW w:w="11666"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150"/>
        <w:gridCol w:w="182"/>
        <w:gridCol w:w="8309"/>
        <w:gridCol w:w="25"/>
      </w:tblGrid>
      <w:tr w:rsidR="00202E05" w:rsidRPr="00202E05" w:rsidTr="00F61DAA">
        <w:trPr>
          <w:jc w:val="center"/>
        </w:trPr>
        <w:tc>
          <w:tcPr>
            <w:tcW w:w="3150" w:type="dxa"/>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516" w:type="dxa"/>
            <w:gridSpan w:val="3"/>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HCL Technologies – From 2017 Jan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bookmarkStart w:id="0" w:name="_GoBack"/>
        <w:bookmarkEnd w:id="0"/>
      </w:tr>
      <w:tr w:rsidR="00202E05" w:rsidRPr="00202E05" w:rsidTr="00F61DAA">
        <w:trPr>
          <w:gridAfter w:val="1"/>
          <w:wAfter w:w="25" w:type="dxa"/>
          <w:jc w:val="center"/>
        </w:trPr>
        <w:tc>
          <w:tcPr>
            <w:tcW w:w="3150" w:type="dxa"/>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91" w:type="dxa"/>
            <w:gridSpan w:val="2"/>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5D0BF4">
            <w:pPr>
              <w:pStyle w:val="BoldNormal14"/>
              <w:numPr>
                <w:ilvl w:val="0"/>
                <w:numId w:val="2"/>
              </w:numPr>
              <w:spacing w:after="80"/>
              <w:ind w:left="360"/>
              <w:rPr>
                <w:rFonts w:ascii="Cambria" w:hAnsi="Cambria"/>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tc>
      </w:tr>
      <w:tr w:rsidR="00202E05" w:rsidRPr="00202E05" w:rsidTr="00F61DAA">
        <w:trPr>
          <w:gridAfter w:val="1"/>
          <w:wAfter w:w="25" w:type="dxa"/>
          <w:trHeight w:val="2419"/>
          <w:jc w:val="center"/>
        </w:trPr>
        <w:tc>
          <w:tcPr>
            <w:tcW w:w="3332" w:type="dxa"/>
            <w:gridSpan w:val="2"/>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309" w:type="dxa"/>
          </w:tcPr>
          <w:p w:rsidR="00202E05" w:rsidRPr="00202E05" w:rsidRDefault="00202E05" w:rsidP="00742C63">
            <w:pPr>
              <w:pStyle w:val="Normal1"/>
              <w:widowControl w:val="0"/>
              <w:spacing w:before="0" w:after="0" w:line="276" w:lineRule="auto"/>
              <w:rPr>
                <w:rFonts w:ascii="Cambria" w:hAnsi="Cambria"/>
              </w:rPr>
            </w:pPr>
          </w:p>
          <w:tbl>
            <w:tblPr>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tc>
      </w:tr>
      <w:tr w:rsidR="00202E05" w:rsidRPr="00202E05" w:rsidTr="00F61DAA">
        <w:trPr>
          <w:gridAfter w:val="1"/>
          <w:wAfter w:w="25" w:type="dxa"/>
          <w:jc w:val="center"/>
        </w:trPr>
        <w:tc>
          <w:tcPr>
            <w:tcW w:w="3150" w:type="dxa"/>
          </w:tcPr>
          <w:p w:rsidR="00202E05" w:rsidRPr="00202E05" w:rsidRDefault="00202E05" w:rsidP="00742C63">
            <w:pPr>
              <w:pStyle w:val="Heading1"/>
              <w:rPr>
                <w:rFonts w:ascii="Cambria" w:hAnsi="Cambria"/>
              </w:rPr>
            </w:pPr>
            <w:r w:rsidRPr="00202E05">
              <w:rPr>
                <w:rFonts w:ascii="Cambria" w:hAnsi="Cambria"/>
              </w:rPr>
              <w:t>Declaration</w:t>
            </w:r>
          </w:p>
        </w:tc>
        <w:tc>
          <w:tcPr>
            <w:tcW w:w="8491" w:type="dxa"/>
            <w:gridSpan w:val="2"/>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A29" w:rsidRDefault="00454A29" w:rsidP="006437D7">
      <w:pPr>
        <w:spacing w:after="0" w:line="240" w:lineRule="auto"/>
      </w:pPr>
      <w:r>
        <w:separator/>
      </w:r>
    </w:p>
  </w:endnote>
  <w:endnote w:type="continuationSeparator" w:id="0">
    <w:p w:rsidR="00454A29" w:rsidRDefault="00454A29"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A29" w:rsidRDefault="00454A29" w:rsidP="006437D7">
      <w:pPr>
        <w:spacing w:after="0" w:line="240" w:lineRule="auto"/>
      </w:pPr>
      <w:r>
        <w:separator/>
      </w:r>
    </w:p>
  </w:footnote>
  <w:footnote w:type="continuationSeparator" w:id="0">
    <w:p w:rsidR="00454A29" w:rsidRDefault="00454A29"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202E05"/>
    <w:rsid w:val="003E24F8"/>
    <w:rsid w:val="00447E37"/>
    <w:rsid w:val="00454A29"/>
    <w:rsid w:val="005033C4"/>
    <w:rsid w:val="005B08FA"/>
    <w:rsid w:val="005D0BF4"/>
    <w:rsid w:val="006437D7"/>
    <w:rsid w:val="008366E9"/>
    <w:rsid w:val="008A0ED9"/>
    <w:rsid w:val="00CB7462"/>
    <w:rsid w:val="00D979CA"/>
    <w:rsid w:val="00EE3560"/>
    <w:rsid w:val="00F6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6</cp:revision>
  <dcterms:created xsi:type="dcterms:W3CDTF">2018-09-06T12:32:00Z</dcterms:created>
  <dcterms:modified xsi:type="dcterms:W3CDTF">2018-09-18T09:51:00Z</dcterms:modified>
</cp:coreProperties>
</file>