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Onboarding Policy</w:t>
      </w:r>
    </w:p>
    <w:p>
      <w:r>
        <w:t>New vendors complete a security questionnaire and sign the data processing agreement before receiving any production access.</w:t>
      </w:r>
    </w:p>
    <w:p>
      <w:pPr>
        <w:pStyle w:val="Heading2"/>
      </w:pPr>
      <w:r>
        <w:t>Access reviews</w:t>
      </w:r>
    </w:p>
    <w:p>
      <w:r>
        <w:t>Vendor access is reviewed every quarter by the security team; access is revoked within one business day when a contract ends.</w:t>
      </w:r>
    </w:p>
    <w:p>
      <w:pPr>
        <w:pStyle w:val="Heading2"/>
      </w:pPr>
      <w:r>
        <w:t>Subprocessors</w:t>
      </w:r>
    </w:p>
    <w:p>
      <w:r>
        <w:t>Vendors must disclose subprocessors that handle customer data and notify us 30 days before adding a new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