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STREAMFLIX MANAGEMENT SUMMARY REPORT</w:t>
      </w:r>
    </w:p>
    <w:p>
      <w:pPr>
        <w:jc w:val="center"/>
      </w:pPr>
      <w:r>
        <w:rPr>
          <w:i/>
        </w:rPr>
        <w:t>Catalogue, Engagement, Subscriber and User Experience Review</w:t>
      </w:r>
    </w:p>
    <w:p>
      <w:r>
        <w:t>To: CEO, StreamFlix</w:t>
      </w:r>
    </w:p>
    <w:p>
      <w:r>
        <w:t>Subject: Management Summary of StreamFlix Content Analytics</w:t>
      </w:r>
    </w:p>
    <w:p>
      <w:r>
        <w:t>Prepared for: StreamFlix Management</w:t>
      </w:r>
    </w:p>
    <w:p>
      <w:pPr>
        <w:pStyle w:val="Heading1"/>
        <w:spacing w:before="140" w:after="60"/>
      </w:pPr>
      <w:r>
        <w:t>1. Executive Summary</w:t>
      </w:r>
    </w:p>
    <w:p>
      <w:r>
        <w:t>StreamFlix shows strong overall viewing activity, with total watch time of 3,333,467.73 hours across the available viewing data. The subscriber base has an active rate of 74.66%, meaning nearly three quarters of subscribers are currently active. At the same time, the churn rate is 25.34%, making subscriber retention an important business concern. Average content completion is 65.31%, indicating that viewers watch a substantial portion of content but do not consistently finish what they start. The catalogue is mainly licensed content at 78.16%, while Originals represent 21.84%, and Animation shows the highest watch hours per $1K of licensing spend among the genres shown. Overall, StreamFlix has strong engagement, while retention, completion and investment efficiency are important areas for improvement.</w:t>
      </w:r>
    </w:p>
    <w:p>
      <w:pPr>
        <w:pStyle w:val="Heading1"/>
        <w:spacing w:before="140" w:after="60"/>
      </w:pPr>
      <w:r>
        <w:t>2. Top 3 Findings</w:t>
      </w:r>
    </w:p>
    <w:p>
      <w:pPr>
        <w:pStyle w:val="ListNumber"/>
        <w:spacing w:after="40"/>
      </w:pPr>
      <w:r>
        <w:t>Engagement is strong. StreamFlix records 3.33 million total watch hours, with viewing activity rising sharply toward 2026. May 2026 recorded the highest monthly watch-hours level in the available data.</w:t>
      </w:r>
    </w:p>
    <w:p>
      <w:pPr>
        <w:pStyle w:val="ListNumber"/>
        <w:spacing w:after="40"/>
      </w:pPr>
      <w:r>
        <w:t>Retention needs attention. The active rate is 74.66%, while the churn rate is 25.34%. This means roughly one in four subscribers in the dataset is no longer active.</w:t>
      </w:r>
    </w:p>
    <w:p>
      <w:pPr>
        <w:pStyle w:val="ListNumber"/>
        <w:spacing w:after="40"/>
      </w:pPr>
      <w:r>
        <w:t>The catalogue depends heavily on licensed content. Licensed content represents 78.16% of the catalogue compared with 21.84% for Originals. Animation also shows the highest watch hours per $1K of licensing spend.</w:t>
      </w:r>
    </w:p>
    <w:p>
      <w:pPr>
        <w:pStyle w:val="Heading1"/>
        <w:spacing w:before="140" w:after="60"/>
      </w:pPr>
      <w:r>
        <w:t>3. Risks Identified</w:t>
      </w:r>
    </w:p>
    <w:p>
      <w:pPr>
        <w:pStyle w:val="ListBullet"/>
        <w:spacing w:after="40"/>
      </w:pPr>
      <w:r>
        <w:t>Churn risk: The 25.34% churn rate can reduce recurring revenue and increase the effort required to replace lost subscribers.</w:t>
      </w:r>
    </w:p>
    <w:p>
      <w:pPr>
        <w:pStyle w:val="ListBullet"/>
        <w:spacing w:after="40"/>
      </w:pPr>
      <w:r>
        <w:t>Completion risk: Average completion is 65.31%, so a meaningful share of viewing does not reach the end of the content.</w:t>
      </w:r>
    </w:p>
    <w:p>
      <w:pPr>
        <w:pStyle w:val="ListBullet"/>
        <w:spacing w:after="40"/>
      </w:pPr>
      <w:r>
        <w:t>Licensing dependency: Licensed titles make up 78.16% of the catalogue. Upcoming licence expiries require advance renewal planning.</w:t>
      </w:r>
    </w:p>
    <w:p>
      <w:pPr>
        <w:pStyle w:val="ListBullet"/>
        <w:spacing w:after="40"/>
      </w:pPr>
      <w:r>
        <w:t>Investment efficiency varies by genre: watch hours per $1K of licensing spend range from about 0.13 for Horror to about 0.21 for Animation in the dashboard.</w:t>
      </w:r>
    </w:p>
    <w:p>
      <w:pPr>
        <w:pStyle w:val="Heading1"/>
        <w:spacing w:before="140" w:after="60"/>
      </w:pPr>
      <w:r>
        <w:t>4. Opportunities</w:t>
      </w:r>
    </w:p>
    <w:p>
      <w:pPr>
        <w:pStyle w:val="ListBullet"/>
        <w:spacing w:after="40"/>
      </w:pPr>
      <w:r>
        <w:t>Improve retention by identifying subscribers who are becoming inactive and providing relevant content recommendations or re-engagement offers.</w:t>
      </w:r>
    </w:p>
    <w:p>
      <w:pPr>
        <w:pStyle w:val="ListBullet"/>
        <w:spacing w:after="40"/>
      </w:pPr>
      <w:r>
        <w:t>Increase watch time by focusing on genres and titles that show stronger viewing performance relative to licensing spend.</w:t>
      </w:r>
    </w:p>
    <w:p>
      <w:pPr>
        <w:pStyle w:val="ListBullet"/>
        <w:spacing w:after="40"/>
      </w:pPr>
      <w:r>
        <w:t>Strengthen the Originals portfolio selectively. Originals currently represent 21.84% of the catalogue, leaving room to reduce reliance on licensed content over time.</w:t>
      </w:r>
    </w:p>
    <w:p>
      <w:pPr>
        <w:pStyle w:val="ListBullet"/>
        <w:spacing w:after="40"/>
      </w:pPr>
      <w:r>
        <w:t>Use licence-expiry planning to protect high-value titles based on their viewing contribution and subscriber demand.</w:t>
      </w:r>
    </w:p>
    <w:p>
      <w:pPr>
        <w:pStyle w:val="Heading1"/>
        <w:spacing w:before="140" w:after="60"/>
      </w:pPr>
      <w:r>
        <w:t>5. Recommendations</w:t>
      </w:r>
    </w:p>
    <w:p>
      <w:pPr>
        <w:pStyle w:val="ListNumber"/>
        <w:spacing w:after="40"/>
      </w:pPr>
      <w:r>
        <w:t>Create a retention action program. Track inactive subscribers by plan, viewing behavior and recent activity, then use targeted recommendations or re-engagement offers.</w:t>
      </w:r>
    </w:p>
    <w:p>
      <w:pPr>
        <w:pStyle w:val="ListNumber"/>
        <w:spacing w:after="40"/>
      </w:pPr>
      <w:r>
        <w:t>Prioritize content investment using viewing efficiency. Compare watch hours with licensing spend by genre and title before renewing or increasing investment.</w:t>
      </w:r>
    </w:p>
    <w:p>
      <w:pPr>
        <w:pStyle w:val="ListNumber"/>
        <w:spacing w:after="40"/>
      </w:pPr>
      <w:r>
        <w:t>Build a licence-renewal calendar. Review upcoming expiries several months in advance and prioritize titles using watch hours, demand and strategic importance.</w:t>
      </w:r>
    </w:p>
    <w:p>
      <w:pPr>
        <w:pStyle w:val="ListNumber"/>
        <w:spacing w:after="40"/>
      </w:pPr>
      <w:r>
        <w:t>Improve content discovery and completion through recommendations, curated collections and continuation prompts.</w:t>
      </w:r>
    </w:p>
    <w:p>
      <w:pPr>
        <w:pStyle w:val="ListNumber"/>
        <w:spacing w:after="40"/>
      </w:pPr>
      <w:r>
        <w:t>Use performance data to guide Originals investment, focusing on formats and genres that demonstrate strong audience response.</w:t>
      </w:r>
    </w:p>
    <w:p>
      <w:pPr>
        <w:pStyle w:val="Heading1"/>
        <w:spacing w:before="140" w:after="60"/>
      </w:pPr>
      <w:r>
        <w:t>6. Management Takeaway</w:t>
      </w:r>
    </w:p>
    <w:p>
      <w:r>
        <w:t>The dashboard indicates a platform with substantial viewing engagement and a large active subscriber base. The main management challenge is converting that engagement into stronger long-term retention while using content investment efficiently. The immediate areas for attention are churn, completion, licence-renewal planning and investment efficiency by genre.</w:t>
      </w:r>
    </w:p>
    <w:p>
      <w:pPr>
        <w:pStyle w:val="Heading1"/>
        <w:spacing w:before="140" w:after="60"/>
      </w:pPr>
      <w:r>
        <w:t>Key Metrics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Total Watch Hours</w:t>
            </w:r>
          </w:p>
        </w:tc>
        <w:tc>
          <w:tcPr>
            <w:tcW w:type="dxa" w:w="5040"/>
          </w:tcPr>
          <w:p>
            <w:r>
              <w:t>3,333,467.73 hours</w:t>
            </w:r>
          </w:p>
        </w:tc>
      </w:tr>
      <w:tr>
        <w:tc>
          <w:tcPr>
            <w:tcW w:type="dxa" w:w="5040"/>
          </w:tcPr>
          <w:p>
            <w:r>
              <w:t>Active Rate</w:t>
            </w:r>
          </w:p>
        </w:tc>
        <w:tc>
          <w:tcPr>
            <w:tcW w:type="dxa" w:w="5040"/>
          </w:tcPr>
          <w:p>
            <w:r>
              <w:t>74.66%</w:t>
            </w:r>
          </w:p>
        </w:tc>
      </w:tr>
      <w:tr>
        <w:tc>
          <w:tcPr>
            <w:tcW w:type="dxa" w:w="5040"/>
          </w:tcPr>
          <w:p>
            <w:r>
              <w:t>Churn Rate</w:t>
            </w:r>
          </w:p>
        </w:tc>
        <w:tc>
          <w:tcPr>
            <w:tcW w:type="dxa" w:w="5040"/>
          </w:tcPr>
          <w:p>
            <w:r>
              <w:t>25.34%</w:t>
            </w:r>
          </w:p>
        </w:tc>
      </w:tr>
      <w:tr>
        <w:tc>
          <w:tcPr>
            <w:tcW w:type="dxa" w:w="5040"/>
          </w:tcPr>
          <w:p>
            <w:r>
              <w:t>Average Completion Rate</w:t>
            </w:r>
          </w:p>
        </w:tc>
        <w:tc>
          <w:tcPr>
            <w:tcW w:type="dxa" w:w="5040"/>
          </w:tcPr>
          <w:p>
            <w:r>
              <w:t>65.31%</w:t>
            </w:r>
          </w:p>
        </w:tc>
      </w:tr>
      <w:tr>
        <w:tc>
          <w:tcPr>
            <w:tcW w:type="dxa" w:w="5040"/>
          </w:tcPr>
          <w:p>
            <w:r>
              <w:t>Licensed Catalogue</w:t>
            </w:r>
          </w:p>
        </w:tc>
        <w:tc>
          <w:tcPr>
            <w:tcW w:type="dxa" w:w="5040"/>
          </w:tcPr>
          <w:p>
            <w:r>
              <w:t>78.16%</w:t>
            </w:r>
          </w:p>
        </w:tc>
      </w:tr>
      <w:tr>
        <w:tc>
          <w:tcPr>
            <w:tcW w:type="dxa" w:w="5040"/>
          </w:tcPr>
          <w:p>
            <w:r>
              <w:t>Originals Catalogue</w:t>
            </w:r>
          </w:p>
        </w:tc>
        <w:tc>
          <w:tcPr>
            <w:tcW w:type="dxa" w:w="5040"/>
          </w:tcPr>
          <w:p>
            <w:r>
              <w:t>21.84%</w:t>
            </w:r>
          </w:p>
        </w:tc>
      </w:tr>
      <w:tr>
        <w:tc>
          <w:tcPr>
            <w:tcW w:type="dxa" w:w="5040"/>
          </w:tcPr>
          <w:p>
            <w:r>
              <w:t>Highest Watch Hours per $1K Spend</w:t>
            </w:r>
          </w:p>
        </w:tc>
        <w:tc>
          <w:tcPr>
            <w:tcW w:type="dxa" w:w="5040"/>
          </w:tcPr>
          <w:p>
            <w:r>
              <w:t>Animation: about 0.21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StreamFlix Content Analytics Project | Management Summary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