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36"/>
        </w:rPr>
        <w:t>MOF Radioactive Gas Adsorption — Methodology Report</w:t>
      </w:r>
    </w:p>
    <w:p>
      <w:r>
        <w:rPr>
          <w:b/>
          <w:sz w:val="20"/>
        </w:rPr>
        <w:t>Static architecture/methodology document (does not read live results — see 'MOF_Radyoaktif_Gaz_Adsorpsiyonu_Raporu.docx' for actual run outputs).</w:t>
      </w:r>
    </w:p>
    <w:p>
      <w:r>
        <w:rPr>
          <w:b/>
          <w:color w:val="000000"/>
          <w:sz w:val="32"/>
        </w:rPr>
        <w:t>1. Objective</w:t>
      </w:r>
    </w:p>
    <w:p>
      <w:r>
        <w:rPr>
          <w:b w:val="0"/>
          <w:sz w:val="20"/>
        </w:rPr>
        <w:t>Predict Xenon (Xe) and Krypton (Kr) adsorption capacity, Xe/Kr selectivity, and Iodine (I2) adsorption capacity in Metal-Organic Frameworks (MOFs) for nuclear waste off-gas management, using an end-to-end pipeline covering data acquisition, literature mining, structural data augmentation, 11 Graph Neural Network architectures with transfer learning, and 4 Explainable AI methods.</w:t>
      </w:r>
    </w:p>
    <w:p>
      <w:r>
        <w:rPr>
          <w:b/>
          <w:color w:val="000000"/>
          <w:sz w:val="32"/>
        </w:rPr>
        <w:t>2. Data Source &amp; Citation</w:t>
      </w:r>
    </w:p>
    <w:p>
      <w:r>
        <w:rPr>
          <w:b w:val="0"/>
          <w:sz w:val="20"/>
        </w:rPr>
        <w:t>Base MOF structures (CIF + full 3D coordinates) and GCMC-simulated CO2/CH4 adsorption proxy properties are fetched from the Hugging Face dataset 'jablonkagroup/core_mof_no_topo' (CC BY 4.0), a CoRE-MOF-derived corpus. Any use of this pipeline's output data must cite the sources below.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  <w:r>
              <w:rPr>
                <w:i/>
                <w:sz w:val="19"/>
              </w:rPr>
              <w:t>Dataset: jablonkagroup/core_mof_no_topo. Hugging Face Datasets. License: CC BY 4.0. https://huggingface.co/datasets/jablonkagroup/core_mof_no_topo</w:t>
            </w:r>
          </w:p>
        </w:tc>
      </w:tr>
    </w:tbl>
    <w:p/>
    <w:p>
      <w:r>
        <w:rPr>
          <w:sz w:val="17"/>
        </w:rPr>
        <w:t>[1] Jablonka, K. M.; Rosen, A. S.; Krishnapriyan, A. S.; Smit, B. An Ecosystem for Digital Reticular Chemistry. ACS Cent. Sci. 2023, 9 (4), 563-581. https://doi.org/10.1021/acscentsci.2c01177.</w:t>
      </w:r>
    </w:p>
    <w:p>
      <w:r>
        <w:rPr>
          <w:sz w:val="17"/>
        </w:rPr>
        <w:t>[2] Chung, Y. G. et al. Computation-Ready, Experimental Metal-Organic Frameworks: A Tool To Enable High-Throughput Screening of Nanoporous Crystals. Chem. Mater. 2014, 26 (21), 6185-6192. https://doi.org/10.1021/cm502594j.</w:t>
      </w:r>
    </w:p>
    <w:p>
      <w:r>
        <w:rPr>
          <w:sz w:val="17"/>
        </w:rPr>
        <w:t>[3] Chung, Y. G. et al. Advances, Updates, and Analytics for the Computation-Ready, Experimental Metal-Organic Framework Database: CoRE MOF 2019. J. Chem. Eng. Data 2019, 64 (12), 5985-5998. https://doi.org/10.1021/acs.jced.9b00835.</w:t>
      </w:r>
    </w:p>
    <w:p>
      <w:r>
        <w:rPr>
          <w:sz w:val="17"/>
        </w:rPr>
        <w:t>[4] Sikora, B. J.; Wilmer, C. E.; Greenfield, M. L.; Snurr, R. Q. Thermodynamic Analysis of Xe/Kr Selectivity in over 137,000 Hypothetical Metal-Organic Frameworks. Chem. Sci. 2012, 3, 2217-2223. https://doi.org/10.1039/C2SC01097F (physical basis of the pore-size/selectivity proxy correlation, see eslesme_4_dataset_birlestirici.py).</w:t>
      </w:r>
    </w:p>
    <w:p>
      <w:r>
        <w:rPr>
          <w:b/>
          <w:color w:val="000000"/>
          <w:sz w:val="32"/>
        </w:rPr>
        <w:t>3. Five-Component Pipeline</w:t>
      </w:r>
    </w:p>
    <w:p>
      <w:pPr>
        <w:pStyle w:val="ListBullet"/>
      </w:pPr>
      <w:r>
        <w:rPr>
          <w:sz w:val="20"/>
        </w:rPr>
        <w:t>Component 1 — Reporting standard: all plots hardcoded to 600 DPI .tif, bold English fonts/labels/legends/titles (grafik_ortak.py rcParams). In .docx reports, only headings carry color; all body text/tables are black-and-white — only the embedded plots remain in color.</w:t>
      </w:r>
    </w:p>
    <w:p>
      <w:pPr>
        <w:pStyle w:val="ListBullet"/>
      </w:pPr>
      <w:r>
        <w:rPr>
          <w:sz w:val="20"/>
        </w:rPr>
        <w:t>Component 2 — Database/API scraping (veri_indirici_1_jarvis_core_mof.py): Hugging Face `datasets` (jablonkagroup/core_mof_no_topo, see §2) as primary source, CoRE-MOF open CSV as secondary, and a procedural generator seeded from 12 well-known real MOF families as a tertiary fallback that NEVER blocks the pipeline. Pore volume / void fraction / surface area / LCD / PLD are estimated via a lightweight geometric proxy when not directly supplied.</w:t>
      </w:r>
    </w:p>
    <w:p>
      <w:pPr>
        <w:pStyle w:val="ListBullet"/>
      </w:pPr>
      <w:r>
        <w:rPr>
          <w:sz w:val="20"/>
        </w:rPr>
        <w:t>Component 3 — NLP literature mining (nlp_literatur_madencilik_2.py): CrossRef + arXiv APIs (keyless), regex-based extraction of MOF names + numeric capacity values (mmol/g, cm3/g, wt%) from real abstracts/titles near Xe/Kr/I2 keywords. Writes an empty CSV (never fabricated values) when no extractable text is returned.</w:t>
      </w:r>
    </w:p>
    <w:p>
      <w:pPr>
        <w:pStyle w:val="ListBullet"/>
      </w:pPr>
      <w:r>
        <w:rPr>
          <w:sz w:val="20"/>
        </w:rPr>
        <w:t>Component 4 — Structural data augmentation (veri_artirma_3_augmentasyon.py, pymatgen): missing-linker defects, metal-node substitution, -CH3/-NH2 functional group addition, and 3D Gaussian coordinate noise — expanding hundreds of base MOFs into thousands of augmented samples while preserving base_mof_id for leakage-safe K-fold grouping.</w:t>
      </w:r>
    </w:p>
    <w:p>
      <w:pPr>
        <w:pStyle w:val="ListBullet"/>
      </w:pPr>
      <w:r>
        <w:rPr>
          <w:sz w:val="20"/>
        </w:rPr>
        <w:t>Component 5 — Transfer learning (egitim_ortak.py): Stage A pretrains each encoder on a large proxy dataset (formation-energy/heat-of-adsorption proxy target) and saves ONLY the encoder weights. Stage B loads those weights, freezes the encoder for the first N epochs (linear probing), then unfreezes for full fine-tuning on the augmented gas-adsorption dataset (4 targets, masked multi-task loss for sparse labels).</w:t>
      </w:r>
    </w:p>
    <w:p>
      <w:r>
        <w:rPr>
          <w:b/>
          <w:color w:val="000000"/>
          <w:sz w:val="32"/>
        </w:rPr>
        <w:t>4. Hyperparameters (Code Defaults)</w:t>
      </w:r>
    </w:p>
    <w:p>
      <w:r>
        <w:rPr>
          <w:b w:val="0"/>
          <w:sz w:val="18"/>
        </w:rPr>
        <w:t>This is a STATIC methodology document, so the values below are the CODE DEFAULTS (egitim_ortak.py), imported programmatically (never hand-typed) so this text cannot drift from the source code. Every default can be overridden per-run via an environment variable without touching the code (e.g. for a fast smoke-test), and an override may be applied to one model but not another — so these defaults must NOT be read as 'what every model actually used'. The hyperparameters ACTUALLY used in a given run are auto-documented — read live from each model's &lt;Model&gt;/sonuclar/metrikler.json, with any value that differs between models broken out per-model — in §1 of the companion dynamic report 'MOF_Radyoaktif_Gaz_Adsorpsiyonu_Raporu.docx'. That report is also the only place that states which architectures were actually TRAINED in a given run; this document describes every architecture IMPLEMENTED in the repository.</w:t>
      </w:r>
    </w:p>
    <w:p/>
    <w:p>
      <w:pPr>
        <w:pStyle w:val="ListBullet"/>
      </w:pPr>
      <w:r>
        <w:rPr>
          <w:sz w:val="20"/>
        </w:rPr>
        <w:t>K (K-Fold count): 5  (env override: KFOLD_OVERRIDE)</w:t>
      </w:r>
    </w:p>
    <w:p>
      <w:pPr>
        <w:pStyle w:val="ListBullet"/>
      </w:pPr>
      <w:r>
        <w:rPr>
          <w:sz w:val="20"/>
        </w:rPr>
        <w:t>Fine-tune max epochs: 80  (env override: MAX_EPOCHS_OVERRIDE)</w:t>
      </w:r>
    </w:p>
    <w:p>
      <w:pPr>
        <w:pStyle w:val="ListBullet"/>
      </w:pPr>
      <w:r>
        <w:rPr>
          <w:sz w:val="20"/>
        </w:rPr>
        <w:t>Early-stopping patience: 12  (env override: PATIENCE_OVERRIDE)</w:t>
      </w:r>
    </w:p>
    <w:p>
      <w:pPr>
        <w:pStyle w:val="ListBullet"/>
      </w:pPr>
      <w:r>
        <w:rPr>
          <w:sz w:val="20"/>
        </w:rPr>
        <w:t>Encoder freeze duration (epochs): 5  (env override: FREEZE_ENCODER_EPOCHS_OVERRIDE)</w:t>
      </w:r>
    </w:p>
    <w:p>
      <w:pPr>
        <w:pStyle w:val="ListBullet"/>
      </w:pPr>
      <w:r>
        <w:rPr>
          <w:sz w:val="20"/>
        </w:rPr>
        <w:t>Learning rate (AdamW): 0.001  (env override: —)</w:t>
      </w:r>
    </w:p>
    <w:p>
      <w:pPr>
        <w:pStyle w:val="ListBullet"/>
      </w:pPr>
      <w:r>
        <w:rPr>
          <w:sz w:val="20"/>
        </w:rPr>
        <w:t>Weight decay: 1e-05  (env override: —)</w:t>
      </w:r>
    </w:p>
    <w:p>
      <w:pPr>
        <w:pStyle w:val="ListBullet"/>
      </w:pPr>
      <w:r>
        <w:rPr>
          <w:sz w:val="20"/>
        </w:rPr>
        <w:t>Batch size: 32  (env override: BATCH_SIZE_OVERRIDE)</w:t>
      </w:r>
    </w:p>
    <w:p>
      <w:pPr>
        <w:pStyle w:val="ListBullet"/>
      </w:pPr>
      <w:r>
        <w:rPr>
          <w:sz w:val="20"/>
        </w:rPr>
        <w:t>Hidden dim (encoder width): 128  (env override: —)</w:t>
      </w:r>
    </w:p>
    <w:p>
      <w:pPr>
        <w:pStyle w:val="ListBullet"/>
      </w:pPr>
      <w:r>
        <w:rPr>
          <w:sz w:val="20"/>
        </w:rPr>
        <w:t>Output embedding dim: 64  (env override: —)</w:t>
      </w:r>
    </w:p>
    <w:p>
      <w:pPr>
        <w:pStyle w:val="ListBullet"/>
      </w:pPr>
      <w:r>
        <w:rPr>
          <w:sz w:val="20"/>
        </w:rPr>
        <w:t>Radius-graph cutoff: 8.0 Å  (env override: —)</w:t>
      </w:r>
    </w:p>
    <w:p>
      <w:pPr>
        <w:pStyle w:val="ListBullet"/>
      </w:pPr>
      <w:r>
        <w:rPr>
          <w:sz w:val="20"/>
        </w:rPr>
        <w:t>Random seed: 42  (env override: —)</w:t>
      </w:r>
    </w:p>
    <w:p>
      <w:pPr>
        <w:pStyle w:val="ListBullet"/>
      </w:pPr>
      <w:r>
        <w:rPr>
          <w:sz w:val="20"/>
        </w:rPr>
        <w:t>Pretrain max epochs: 40  (env override: PRETRAIN_MAX_EPOCHS_OVERRIDE)</w:t>
      </w:r>
    </w:p>
    <w:p>
      <w:pPr>
        <w:pStyle w:val="ListBullet"/>
      </w:pPr>
      <w:r>
        <w:rPr>
          <w:sz w:val="20"/>
        </w:rPr>
        <w:t>Pretrain patience: 8  (env override: PRETRAIN_PATIENCE_OVERRIDE)</w:t>
      </w:r>
    </w:p>
    <w:p>
      <w:r>
        <w:rPr>
          <w:b/>
          <w:color w:val="000000"/>
          <w:sz w:val="32"/>
        </w:rPr>
        <w:t>5. Terminology Glossary</w:t>
      </w:r>
    </w:p>
    <w:p>
      <w:r>
        <w:rPr>
          <w:b w:val="0"/>
          <w:sz w:val="18"/>
        </w:rPr>
        <w:t>Plain-language definitions of abbreviations/terms used throughout both reports:</w:t>
      </w:r>
    </w:p>
    <w:p/>
    <w:p>
      <w:r>
        <w:rPr>
          <w:b/>
          <w:sz w:val="18"/>
        </w:rPr>
        <w:t>PLD (Pore Limiting Diameter)</w:t>
      </w:r>
    </w:p>
    <w:p>
      <w:r>
        <w:rPr>
          <w:b w:val="0"/>
          <w:sz w:val="17"/>
        </w:rPr>
        <w:t>Diameter of the largest sphere that can pass all the way through a MOF's pore network — the diffusion 'bottleneck'. If a gas molecule's kinetic diameter exceeds the PLD, it cannot pass through that pore.</w:t>
      </w:r>
    </w:p>
    <w:p/>
    <w:p>
      <w:r>
        <w:rPr>
          <w:b/>
          <w:sz w:val="18"/>
        </w:rPr>
        <w:t>LCD (Largest Cavity Diameter)</w:t>
      </w:r>
    </w:p>
    <w:p>
      <w:r>
        <w:rPr>
          <w:b w:val="0"/>
          <w:sz w:val="17"/>
        </w:rPr>
        <w:t>Diameter of the largest sphere that fits inside the MOF's largest internal cavity. Different from PLD: LCD measures internal pore SIZE, PLD measures the inter-pore passage bottleneck (LCD ≥ PLD always).</w:t>
      </w:r>
    </w:p>
    <w:p/>
    <w:p>
      <w:r>
        <w:rPr>
          <w:b/>
          <w:sz w:val="18"/>
        </w:rPr>
        <w:t>Kinetic Diameter</w:t>
      </w:r>
    </w:p>
    <w:p>
      <w:r>
        <w:rPr>
          <w:b w:val="0"/>
          <w:sz w:val="17"/>
        </w:rPr>
        <w:t>Effective size of a gas molecule governing its diffusion/sieving behavior (Xe ≈ 4.0-4.4 Å, Kr ≈ 3.6-3.8 Å); compared against PLD to predict size-sieving strength.</w:t>
      </w:r>
    </w:p>
    <w:p/>
    <w:p>
      <w:r>
        <w:rPr>
          <w:b/>
          <w:sz w:val="18"/>
        </w:rPr>
        <w:t>Void Fraction</w:t>
      </w:r>
    </w:p>
    <w:p>
      <w:r>
        <w:rPr>
          <w:b w:val="0"/>
          <w:sz w:val="17"/>
        </w:rPr>
        <w:t>Fraction (0-1) of a MOF unit cell's volume that is empty/accessible pore space.</w:t>
      </w:r>
    </w:p>
    <w:p/>
    <w:p>
      <w:r>
        <w:rPr>
          <w:b/>
          <w:sz w:val="18"/>
        </w:rPr>
        <w:t>Open Metal Site</w:t>
      </w:r>
    </w:p>
    <w:p>
      <w:r>
        <w:rPr>
          <w:b w:val="0"/>
          <w:sz w:val="17"/>
        </w:rPr>
        <w:t>A metal center with unsaturated coordination that can bind a gas molecule directly once solvent is removed — strengthens Xe/I2 adsorption.</w:t>
      </w:r>
    </w:p>
    <w:p/>
    <w:p>
      <w:r>
        <w:rPr>
          <w:b/>
          <w:sz w:val="18"/>
        </w:rPr>
        <w:t>Xe/Kr Selectivity</w:t>
      </w:r>
    </w:p>
    <w:p>
      <w:r>
        <w:rPr>
          <w:b w:val="0"/>
          <w:sz w:val="17"/>
        </w:rPr>
        <w:t>Ratio describing how preferentially a MOF adsorbs Xe over Kr — the key metric for separating radioactive off-gas isotopes.</w:t>
      </w:r>
    </w:p>
    <w:p/>
    <w:p>
      <w:r>
        <w:rPr>
          <w:b/>
          <w:sz w:val="18"/>
        </w:rPr>
        <w:t>R² / MAE / RMSE / MedianAE / MaxError / PearsonR (regression metrics)</w:t>
      </w:r>
    </w:p>
    <w:p>
      <w:r>
        <w:rPr>
          <w:b w:val="0"/>
          <w:sz w:val="17"/>
        </w:rPr>
        <w:t>R²=variance explained (1.0=perfect); MAE=mean absolute error (same units as target); RMSE=root-mean-squared error (penalizes large errors more than MAE); MedianAE=typical error, outlier-robust; MaxError=single worst-case error; PearsonR=linear correlation strength/direction (-1 to +1).</w:t>
      </w:r>
    </w:p>
    <w:p/>
    <w:p>
      <w:r>
        <w:rPr>
          <w:b/>
          <w:sz w:val="18"/>
        </w:rPr>
        <w:t>K-Fold / OOF (Out-of-Fold)</w:t>
      </w:r>
    </w:p>
    <w:p>
      <w:r>
        <w:rPr>
          <w:b w:val="0"/>
          <w:sz w:val="17"/>
        </w:rPr>
        <w:t>Data split into K parts; each fold is held out as test while the rest train. An 'OOF prediction' is only ever produced while a sample was in the TEST fold — no sample is ever evaluated with its own training data, which is why pooled OOF metrics are a fair overfitting check.</w:t>
      </w:r>
    </w:p>
    <w:p/>
    <w:p>
      <w:r>
        <w:rPr>
          <w:b/>
          <w:sz w:val="18"/>
        </w:rPr>
        <w:t>Permutation Importance (ΔMAE)</w:t>
      </w:r>
    </w:p>
    <w:p>
      <w:r>
        <w:rPr>
          <w:b w:val="0"/>
          <w:sz w:val="17"/>
        </w:rPr>
        <w:t>A feature group's values are randomly shuffled across samples and the resulting MAE degradation is measured; larger positive ΔMAE = the model depends on that feature group more.</w:t>
      </w:r>
    </w:p>
    <w:p/>
    <w:p>
      <w:r>
        <w:rPr>
          <w:b/>
          <w:sz w:val="18"/>
        </w:rPr>
        <w:t>Confusion-matrix classes</w:t>
      </w:r>
    </w:p>
    <w:p>
      <w:r>
        <w:rPr>
          <w:b w:val="0"/>
          <w:sz w:val="17"/>
        </w:rPr>
        <w:t>These are regression targets, so the confusion matrices do NOT use fixed physical thresholds. Classes are derived from each target's own QUARTILE distribution of true values (Q1/median/Q3), giving 4 equal-sized relative bins: &lt;Q1 / Q1-median / median-Q3 / &gt;Q3 ('low / mid-low / mid-high / high'). They are recomputed per target and per model, so the class boundaries differ between figures — each figure's actual numeric boundaries are printed in §6 of the dynamic report (see grafik_ortak._dinamik_esikler).</w:t>
      </w:r>
    </w:p>
    <w:p/>
    <w:p>
      <w:r>
        <w:rPr>
          <w:b/>
          <w:sz w:val="18"/>
        </w:rPr>
        <w:t>Feature-importance chart Roman numerals (I, II, III, ...)</w:t>
      </w:r>
    </w:p>
    <w:p>
      <w:r>
        <w:rPr>
          <w:b w:val="0"/>
          <w:sz w:val="17"/>
        </w:rPr>
        <w:t>Y-axis labels are assigned by IMPORTANCE RANK (most to least important), so which numeral maps to which feature group differs per model/run. The exact per-model mapping is written to &lt;Model&gt;/sonuclar/grafikler/Feature_Importance.txt and reproduced as a table under each model's chart in §6.7 of the dynamic report.</w:t>
      </w:r>
    </w:p>
    <w:p/>
    <w:p>
      <w:r>
        <w:rPr>
          <w:b/>
          <w:sz w:val="18"/>
        </w:rPr>
        <w:t>Aux (auxiliary) feature groups (Pore Geometry / Surface Area / Structural-Size / Chemical Modification / Composition-Derived / Crystal Structure)</w:t>
      </w:r>
    </w:p>
    <w:p>
      <w:r>
        <w:rPr>
          <w:b w:val="0"/>
          <w:sz w:val="17"/>
        </w:rPr>
        <w:t>The 6 categories used in permutation importance and GraphLIME: 'Crystal Structure' is the 3D atomistic arrangement learned by the graph encoder; the other 5 are precomputed porosity/composition numeric features (Pore Geometry = pore_volume/void_fraction/LCD/PLD; Surface Area = gravimetric+volumetric surface area; Structural/Size = density/atom+element count/metal fraction; Chemical Modification = open metal site+functional group; Composition-Derived = mean electronegativity difference/atomic radius/atomic number).</w:t>
      </w:r>
    </w:p>
    <w:p/>
    <w:p>
      <w:r>
        <w:rPr>
          <w:b/>
          <w:color w:val="000000"/>
          <w:sz w:val="32"/>
        </w:rPr>
        <w:t>6. Eleven GNN Architectures (Shared Interface)</w:t>
      </w:r>
    </w:p>
    <w:p>
      <w:r>
        <w:rPr>
          <w:b w:val="0"/>
          <w:sz w:val="20"/>
        </w:rPr>
        <w:t>All encoders implement encoder.forward(g: dict) -&gt; Tensor[n_graphs, 64] and share graf_ozellik_ortak.py (periodic 3D radius graph, cutoff=8.0 Å) + egitim_ortak.py (K-fold, early stopping, checkpointing, transfer learning, permutation importance).</w:t>
      </w:r>
    </w:p>
    <w:p>
      <w:pPr>
        <w:pStyle w:val="ListBullet"/>
      </w:pPr>
      <w:r>
        <w:rPr>
          <w:sz w:val="20"/>
        </w:rPr>
        <w:t>GraphGPS — GPSConv (local GINEConv + global multi-head attention).</w:t>
      </w:r>
    </w:p>
    <w:p>
      <w:pPr>
        <w:pStyle w:val="ListBullet"/>
      </w:pPr>
      <w:r>
        <w:rPr>
          <w:sz w:val="20"/>
        </w:rPr>
        <w:t>PNA-GNN — PNAConv (mean/min/max/std aggregators x identity/amplification/attenuation scalers).</w:t>
      </w:r>
    </w:p>
    <w:p>
      <w:pPr>
        <w:pStyle w:val="ListBullet"/>
      </w:pPr>
      <w:r>
        <w:rPr>
          <w:sz w:val="20"/>
        </w:rPr>
        <w:t>GIN — GINEConv (edge-feature-aware Graph Isomorphism Network).</w:t>
      </w:r>
    </w:p>
    <w:p>
      <w:pPr>
        <w:pStyle w:val="ListBullet"/>
      </w:pPr>
      <w:r>
        <w:rPr>
          <w:sz w:val="20"/>
        </w:rPr>
        <w:t>GAT — GATv2Conv (edge-distance-aware attention).</w:t>
      </w:r>
    </w:p>
    <w:p>
      <w:pPr>
        <w:pStyle w:val="ListBullet"/>
      </w:pPr>
      <w:r>
        <w:rPr>
          <w:sz w:val="20"/>
        </w:rPr>
        <w:t>GatedGCN — ResGatedGraphConv (learned edge gating).</w:t>
      </w:r>
    </w:p>
    <w:p>
      <w:pPr>
        <w:pStyle w:val="ListBullet"/>
      </w:pPr>
      <w:r>
        <w:rPr>
          <w:sz w:val="20"/>
        </w:rPr>
        <w:t>DeeperGCN — GENConv + DeepGCNLayer 'res+' blocks (8 layers).</w:t>
      </w:r>
    </w:p>
    <w:p>
      <w:pPr>
        <w:pStyle w:val="ListBullet"/>
      </w:pPr>
      <w:r>
        <w:rPr>
          <w:sz w:val="20"/>
        </w:rPr>
        <w:t>ECC — NNConv (dynamic edge-conditioned filter/weight generation).</w:t>
      </w:r>
    </w:p>
    <w:p>
      <w:pPr>
        <w:pStyle w:val="ListBullet"/>
      </w:pPr>
      <w:r>
        <w:rPr>
          <w:sz w:val="20"/>
        </w:rPr>
        <w:t>TFN — Tensor Field Network, from scratch, l≤1 Clebsch-Gordan coupling (no e3nn).</w:t>
      </w:r>
    </w:p>
    <w:p>
      <w:pPr>
        <w:pStyle w:val="ListBullet"/>
      </w:pPr>
      <w:r>
        <w:rPr>
          <w:sz w:val="20"/>
        </w:rPr>
        <w:t>EGNN — E(n)-Equivariant GNN, from scratch, invariant-distance message passing (lightest — chosen for XAI).</w:t>
      </w:r>
    </w:p>
    <w:p>
      <w:pPr>
        <w:pStyle w:val="ListBullet"/>
      </w:pPr>
      <w:r>
        <w:rPr>
          <w:sz w:val="20"/>
        </w:rPr>
        <w:t>SE(3)-Transformer — from scratch, l≤1 CG coupling + multi-head equivariant attention.</w:t>
      </w:r>
    </w:p>
    <w:p>
      <w:pPr>
        <w:pStyle w:val="ListBullet"/>
      </w:pPr>
      <w:r>
        <w:rPr>
          <w:sz w:val="20"/>
        </w:rPr>
        <w:t>DimeNet++ (autonomously added) — from scratch directional/angular message passing over (k,j,i) triplets (Fourier angular basis, fully vectorized triplet construction), chosen because pore-window angular geometry directly governs size-selective Xe/Kr/I2 sieving.</w:t>
      </w:r>
    </w:p>
    <w:p>
      <w:r>
        <w:rPr>
          <w:b/>
          <w:color w:val="000000"/>
          <w:sz w:val="32"/>
        </w:rPr>
        <w:t>7. Four XAI Methods (applied to EGNN — lightest model)</w:t>
      </w:r>
    </w:p>
    <w:p>
      <w:pPr>
        <w:pStyle w:val="ListBullet"/>
      </w:pPr>
      <w:r>
        <w:rPr>
          <w:sz w:val="20"/>
        </w:rPr>
        <w:t>GraphLIME — local linear surrogate over Bernoulli atom masks, fitted per target with a CROSS-VALIDATED Lasso (LassoCV). The regularization strength is selected per sample from the data rather than fixed: with a hardcoded alpha, the masking-induced prediction deltas of these large MOFs (72-172 atoms, whose per-atom effect is heavily diluted by 4 message-passing layers + LayerNorm) fell below the penalty threshold and every coefficient collapsed to exactly zero, producing empty explanations.</w:t>
      </w:r>
    </w:p>
    <w:p>
      <w:pPr>
        <w:pStyle w:val="ListBullet"/>
      </w:pPr>
      <w:r>
        <w:rPr>
          <w:sz w:val="20"/>
        </w:rPr>
        <w:t>Edge Attribution — vanilla gradient saliency + Integrated Gradients on an edge (RBF-output) mask.</w:t>
      </w:r>
    </w:p>
    <w:p>
      <w:pPr>
        <w:pStyle w:val="ListBullet"/>
      </w:pPr>
      <w:r>
        <w:rPr>
          <w:sz w:val="20"/>
        </w:rPr>
        <w:t>SubgraphX — Monte Carlo Tree Search over connected atom subsets, UCT selection, multi-target standardized-space reward.</w:t>
      </w:r>
    </w:p>
    <w:p>
      <w:pPr>
        <w:pStyle w:val="ListBullet"/>
      </w:pPr>
      <w:r>
        <w:rPr>
          <w:sz w:val="20"/>
        </w:rPr>
        <w:t>Integrated Gradients (autonomously added) — true continuous-input IG directly on atomic 3D coordinates and porosity/composition features (not a mask), satisfying the completeness axiom.</w:t>
      </w:r>
    </w:p>
    <w:p>
      <w:r>
        <w:rPr>
          <w:b/>
          <w:color w:val="000000"/>
          <w:sz w:val="32"/>
        </w:rPr>
        <w:t>8. Honesty / Limitations</w:t>
      </w:r>
    </w:p>
    <w:p>
      <w:pPr>
        <w:pStyle w:val="ListBullet"/>
      </w:pPr>
      <w:r>
        <w:rPr>
          <w:sz w:val="20"/>
        </w:rPr>
        <w:t>Gas-adsorption labels are a MIX of real NLP-mined literature values (rare, only applied to non-augmented originals) and physically-motivated proxy correlations — never presented as ground-truth experimental data (see 'label_source_&lt;target&gt;' columns).</w:t>
      </w:r>
    </w:p>
    <w:p>
      <w:pPr>
        <w:pStyle w:val="ListBullet"/>
      </w:pPr>
      <w:r>
        <w:rPr>
          <w:sz w:val="20"/>
        </w:rPr>
        <w:t>Procedural fallback structures (when live API access is unavailable) are simplified node+linker skeletons, not crystallographically refined structures.</w:t>
      </w:r>
    </w:p>
    <w:p>
      <w:pPr>
        <w:pStyle w:val="ListBullet"/>
      </w:pPr>
      <w:r>
        <w:rPr>
          <w:sz w:val="20"/>
        </w:rPr>
        <w:t>Default MAX_MATERIALS/MAX_MATERIALS_PRETRAIN/N_AUGMENT_PER_BASE are kept small for fast validation; scaling to production size requires only environment-variable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