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65d9f78e643550a667de21345f2a476ccced4e"/>
    <w:p>
      <w:pPr>
        <w:pStyle w:val="Heading1"/>
      </w:pPr>
      <w:r>
        <w:t xml:space="preserve">Analisis Perbandingan Information Retrieval Berbasis TF-IDF dan BM25 dengan Pretrained Large Language Model (LLM) Embeddings dalam Identifikasi Siswa Berprestasi pada Media Sosial Instagram</w:t>
      </w:r>
    </w:p>
    <w:p>
      <w:pPr>
        <w:pStyle w:val="FirstParagraph"/>
      </w:pPr>
      <w:r>
        <w:rPr>
          <w:b/>
          <w:bCs/>
        </w:rPr>
        <w:t xml:space="preserve">Daftar Penulis:</w:t>
      </w:r>
      <w:r>
        <w:t xml:space="preserve"> </w:t>
      </w:r>
      <w:r>
        <w:t xml:space="preserve">1.</w:t>
      </w:r>
      <w:r>
        <w:t xml:space="preserve"> </w:t>
      </w:r>
      <w:r>
        <w:rPr>
          <w:b/>
          <w:bCs/>
        </w:rPr>
        <w:t xml:space="preserve">Nama Mahasiswa</w:t>
      </w:r>
      <w:r>
        <w:t xml:space="preserve"> </w:t>
      </w:r>
      <w:r>
        <w:t xml:space="preserve">(Email: mahasiswa@universitas.ac.id)</w:t>
      </w:r>
      <w:r>
        <w:t xml:space="preserve"> </w:t>
      </w:r>
      <w:r>
        <w:rPr>
          <w:i/>
          <w:iCs/>
        </w:rPr>
        <w:t xml:space="preserve">Departemen Teknik Informatika, Fakultas Teknik, Universitas XYZ, Indonesia</w:t>
      </w:r>
    </w:p>
    <w:p>
      <w:r>
        <w:pict>
          <v:rect style="width:0;height:1.5pt" o:hralign="center" o:hrstd="t" o:hr="t"/>
        </w:pict>
      </w:r>
    </w:p>
    <w:bookmarkStart w:id="9" w:name="abstrak"/>
    <w:p>
      <w:pPr>
        <w:pStyle w:val="Heading2"/>
      </w:pPr>
      <w:r>
        <w:t xml:space="preserve">Abstrak</w:t>
      </w:r>
    </w:p>
    <w:p>
      <w:pPr>
        <w:pStyle w:val="FirstParagraph"/>
      </w:pPr>
      <w:r>
        <w:rPr>
          <w:b/>
          <w:bCs/>
        </w:rPr>
        <w:t xml:space="preserve">Abstrak—</w:t>
      </w:r>
      <w:r>
        <w:t xml:space="preserve"> </w:t>
      </w:r>
      <w:r>
        <w:t xml:space="preserve">Identifikasi siswa SMA berprestasi dari media sosial seperti Instagram merupakan langkah alternatif yang strategis untuk program penawaran beasiswa. Namun, sifat data Instagram yang tidak terstruktur, pendek, dan sarat dengan noise linguistik menyulitkan pencarian informasi (Information Retrieval - IR) secara manual. Penelitian ini membandingkan kinerja sistem temu kembali informasi berbasis pencarian kata kunci tradisional (</w:t>
      </w:r>
      <w:r>
        <w:rPr>
          <w:i/>
          <w:iCs/>
        </w:rPr>
        <w:t xml:space="preserve">lexical search</w:t>
      </w:r>
      <w:r>
        <w:t xml:space="preserve">) menggunakan kombinasi TF-IDF dan BM25 (sebagai</w:t>
      </w:r>
      <w:r>
        <w:t xml:space="preserve"> </w:t>
      </w:r>
      <w:r>
        <w:rPr>
          <w:i/>
          <w:iCs/>
        </w:rPr>
        <w:t xml:space="preserve">baseline</w:t>
      </w:r>
      <w:r>
        <w:t xml:space="preserve">) dengan pendekatan pencarian semantik (</w:t>
      </w:r>
      <w:r>
        <w:rPr>
          <w:i/>
          <w:iCs/>
        </w:rPr>
        <w:t xml:space="preserve">dense semantic retrieval</w:t>
      </w:r>
      <w:r>
        <w:t xml:space="preserve">) menggunakan</w:t>
      </w:r>
      <w:r>
        <w:t xml:space="preserve"> </w:t>
      </w:r>
      <w:r>
        <w:rPr>
          <w:i/>
          <w:iCs/>
        </w:rPr>
        <w:t xml:space="preserve">Pretrained Large Language Model</w:t>
      </w:r>
      <w:r>
        <w:t xml:space="preserve"> </w:t>
      </w:r>
      <w:r>
        <w:t xml:space="preserve">(LLM)</w:t>
      </w:r>
      <w:r>
        <w:t xml:space="preserve"> </w:t>
      </w:r>
      <w:r>
        <w:rPr>
          <w:i/>
          <w:iCs/>
        </w:rPr>
        <w:t xml:space="preserve">embeddings</w:t>
      </w:r>
      <w:r>
        <w:t xml:space="preserve"> </w:t>
      </w:r>
      <w:r>
        <w:t xml:space="preserve">(model</w:t>
      </w:r>
      <w:r>
        <w:t xml:space="preserve"> </w:t>
      </w:r>
      <w:r>
        <w:rPr>
          <w:rStyle w:val="VerbatimChar"/>
        </w:rPr>
        <w:t xml:space="preserve">paraphrase-multilingual-MiniLM-L12-v2</w:t>
      </w:r>
      <w:r>
        <w:t xml:space="preserve">). Sistem ini didukung oleh</w:t>
      </w:r>
      <w:r>
        <w:t xml:space="preserve"> </w:t>
      </w:r>
      <w:r>
        <w:rPr>
          <w:i/>
          <w:iCs/>
        </w:rPr>
        <w:t xml:space="preserve">Named Entity Recognition</w:t>
      </w:r>
      <w:r>
        <w:t xml:space="preserve"> </w:t>
      </w:r>
      <w:r>
        <w:t xml:space="preserve">(NER) untuk mengekstrak entitas nama siswa dan sekolah secara otomatis. Pengujian dilakukan pada 914 postingan Instagram hasil crawling menggunakan kata kunci pencarian beasiswa dengan total 100 entitas siswa teridentifikasi. Hasil evaluasi menggunakan</w:t>
      </w:r>
      <w:r>
        <w:t xml:space="preserve"> </w:t>
      </w:r>
      <w:r>
        <w:rPr>
          <w:i/>
          <w:iCs/>
        </w:rPr>
        <w:t xml:space="preserve">ground truth</w:t>
      </w:r>
      <w:r>
        <w:t xml:space="preserve"> </w:t>
      </w:r>
      <w:r>
        <w:t xml:space="preserve">menunjukkan bahwa metode LLM</w:t>
      </w:r>
      <w:r>
        <w:t xml:space="preserve"> </w:t>
      </w:r>
      <w:r>
        <w:rPr>
          <w:i/>
          <w:iCs/>
        </w:rPr>
        <w:t xml:space="preserve">embeddings</w:t>
      </w:r>
      <w:r>
        <w:t xml:space="preserve"> </w:t>
      </w:r>
      <w:r>
        <w:t xml:space="preserve">mengungguli</w:t>
      </w:r>
      <w:r>
        <w:t xml:space="preserve"> </w:t>
      </w:r>
      <w:r>
        <w:rPr>
          <w:i/>
          <w:iCs/>
        </w:rPr>
        <w:t xml:space="preserve">baseline</w:t>
      </w:r>
      <w:r>
        <w:t xml:space="preserve"> </w:t>
      </w:r>
      <w:r>
        <w:t xml:space="preserve">pada rentang pencarian yang lebih luas dengan nilai Precision@10 sebesar 0.8000 (+0.1000) dan F1-Score@50 sebesar 0.6452 (+0.0484). Namun,</w:t>
      </w:r>
      <w:r>
        <w:t xml:space="preserve"> </w:t>
      </w:r>
      <w:r>
        <w:rPr>
          <w:i/>
          <w:iCs/>
        </w:rPr>
        <w:t xml:space="preserve">baseline</w:t>
      </w:r>
      <w:r>
        <w:t xml:space="preserve"> </w:t>
      </w:r>
      <w:r>
        <w:t xml:space="preserve">TF-IDF + BM25 menunjukkan presisi sempurna pada peringkat teratas (Precision@5 = 1.0000 dan NDCG@5 = 1.0000). Analisis korelasi peringkat menunjukkan korelasi positif sedang-kuat (Spearman’s</w:t>
      </w:r>
      <w:r>
        <w:t xml:space="preserve"> </w:t>
      </w:r>
      <m:oMath>
        <m:r>
          <m:t>ρ</m:t>
        </m:r>
        <m:r>
          <m:rPr>
            <m:sty m:val="p"/>
          </m:rPr>
          <m:t>=</m:t>
        </m:r>
        <m:r>
          <m:t>0.5043</m:t>
        </m:r>
      </m:oMath>
      <w:r>
        <w:t xml:space="preserve">,</w:t>
      </w:r>
      <w:r>
        <w:t xml:space="preserve"> </w:t>
      </w:r>
      <m:oMath>
        <m:r>
          <m:t>p</m:t>
        </m:r>
        <m:r>
          <m:rPr>
            <m:sty m:val="p"/>
          </m:rPr>
          <m:t>&lt;</m:t>
        </m:r>
        <m:sSup>
          <m:e>
            <m:r>
              <m:t>10</m:t>
            </m:r>
          </m:e>
          <m:sup>
            <m:r>
              <m:rPr>
                <m:sty m:val="p"/>
              </m:rPr>
              <m:t>−</m:t>
            </m:r>
            <m:r>
              <m:t>7</m:t>
            </m:r>
          </m:sup>
        </m:sSup>
      </m:oMath>
      <w:r>
        <w:t xml:space="preserve">), mengindikasikan adanya pergeseran peringkat yang signifikan (</w:t>
      </w:r>
      <w:r>
        <w:rPr>
          <w:i/>
          <w:iCs/>
        </w:rPr>
        <w:t xml:space="preserve">rank drift</w:t>
      </w:r>
      <w:r>
        <w:t xml:space="preserve">) akibat perbedaan cara kerja</w:t>
      </w:r>
      <w:r>
        <w:t xml:space="preserve"> </w:t>
      </w:r>
      <w:r>
        <w:rPr>
          <w:i/>
          <w:iCs/>
        </w:rPr>
        <w:t xml:space="preserve">lexical</w:t>
      </w:r>
      <w:r>
        <w:t xml:space="preserve"> </w:t>
      </w:r>
      <w:r>
        <w:t xml:space="preserve">dan</w:t>
      </w:r>
      <w:r>
        <w:t xml:space="preserve"> </w:t>
      </w:r>
      <w:r>
        <w:rPr>
          <w:i/>
          <w:iCs/>
        </w:rPr>
        <w:t xml:space="preserve">semantic matching</w:t>
      </w:r>
      <w:r>
        <w:t xml:space="preserve">. Penelitian ini menyimpulkan bahwa LLM</w:t>
      </w:r>
      <w:r>
        <w:t xml:space="preserve"> </w:t>
      </w:r>
      <w:r>
        <w:rPr>
          <w:i/>
          <w:iCs/>
        </w:rPr>
        <w:t xml:space="preserve">embeddings</w:t>
      </w:r>
      <w:r>
        <w:t xml:space="preserve"> </w:t>
      </w:r>
      <w:r>
        <w:t xml:space="preserve">sangat efektif untuk memperluas cakupan temuan (</w:t>
      </w:r>
      <w:r>
        <w:rPr>
          <w:i/>
          <w:iCs/>
        </w:rPr>
        <w:t xml:space="preserve">recall</w:t>
      </w:r>
      <w:r>
        <w:t xml:space="preserve">), sementara metode</w:t>
      </w:r>
      <w:r>
        <w:t xml:space="preserve"> </w:t>
      </w:r>
      <w:r>
        <w:rPr>
          <w:i/>
          <w:iCs/>
        </w:rPr>
        <w:t xml:space="preserve">lexical baseline</w:t>
      </w:r>
      <w:r>
        <w:t xml:space="preserve"> </w:t>
      </w:r>
      <w:r>
        <w:t xml:space="preserve">unggul dalam ketepatan mutlak pada peringkat sangat sempit.</w:t>
      </w:r>
    </w:p>
    <w:p>
      <w:pPr>
        <w:pStyle w:val="BodyText"/>
      </w:pPr>
      <w:r>
        <w:rPr>
          <w:b/>
          <w:bCs/>
        </w:rPr>
        <w:t xml:space="preserve">Kata Kunci—</w:t>
      </w:r>
      <w:r>
        <w:t xml:space="preserve"> </w:t>
      </w:r>
      <w:r>
        <w:rPr>
          <w:i/>
          <w:iCs/>
        </w:rPr>
        <w:t xml:space="preserve">Information Retrieval, TF-IDF, BM25, Large Language Model, MiniLM, Named Entity Recognition, Siswa Berprestasi, Beasiswa.</w:t>
      </w:r>
    </w:p>
    <w:p>
      <w:r>
        <w:pict>
          <v:rect style="width:0;height:1.5pt" o:hralign="center" o:hrstd="t" o:hr="t"/>
        </w:pict>
      </w:r>
    </w:p>
    <w:p>
      <w:pPr>
        <w:pStyle w:val="FirstParagraph"/>
      </w:pPr>
      <w:r>
        <w:rPr>
          <w:b/>
          <w:bCs/>
        </w:rPr>
        <w:t xml:space="preserve">Abstract—</w:t>
      </w:r>
      <w:r>
        <w:t xml:space="preserve"> </w:t>
      </w:r>
      <w:r>
        <w:rPr>
          <w:i/>
          <w:iCs/>
        </w:rPr>
        <w:t xml:space="preserve">Identifying high-achieving high school students from social media platforms such as Instagram represents a strategic alternative channel for scholarship recruitment. However, the unstructured, short, and noise-ridden nature of Instagram captions poses significant challenges for manual information retrieval (IR). This study compares the performance of traditional lexical search using a combined TF-IDF and BM25 approach (as the baseline) against dense semantic retrieval using Pretrained Large Language Model (LLM) embeddings (the</w:t>
      </w:r>
      <w:r>
        <w:rPr>
          <w:i/>
          <w:iCs/>
        </w:rPr>
        <w:t xml:space="preserve"> </w:t>
      </w:r>
      <w:r>
        <w:rPr>
          <w:rStyle w:val="VerbatimChar"/>
          <w:i/>
          <w:iCs/>
        </w:rPr>
        <w:t xml:space="preserve">paraphrase-multilingual-MiniLM-L12-v2</w:t>
      </w:r>
      <w:r>
        <w:rPr>
          <w:i/>
          <w:iCs/>
        </w:rPr>
        <w:t xml:space="preserve"> </w:t>
      </w:r>
      <w:r>
        <w:rPr>
          <w:i/>
          <w:iCs/>
        </w:rPr>
        <w:t xml:space="preserve">model). The retrieval system is integrated with Named Entity Recognition (NER) to automatically extract student and school names. Testing was conducted on 914 Instagram posts retrieved via crawling, yielding 100 identified student entities. Evaluation against a curated ground truth dataset reveals that the LLM embeddings approach outperforms the baseline in broader retrieval ranges, achieving a Precision@10 of 0.8000 (+0.1000) and an F1-Score@50 of 0.6452 (+0.0484). Conversely, the TF-IDF + BM25 baseline achieves perfect precision at very narrow ranks (Precision@5 = 1.0000 and NDCG@5 = 1.0000). Rank correlation analysis shows a moderate-to-strong positive correlation (Spearman’s</w:t>
      </w:r>
      <w:r>
        <w:rPr>
          <w:i/>
          <w:iCs/>
        </w:rPr>
        <w:t xml:space="preserve"> </w:t>
      </w:r>
      <m:oMath>
        <m:r>
          <m:t>ρ</m:t>
        </m:r>
        <m:r>
          <m:rPr>
            <m:sty m:val="p"/>
          </m:rPr>
          <m:t>=</m:t>
        </m:r>
        <m:r>
          <m:t>0.5043</m:t>
        </m:r>
      </m:oMath>
      <w:r>
        <w:rPr>
          <w:i/>
          <w:iCs/>
        </w:rPr>
        <w:t xml:space="preserve">,</w:t>
      </w:r>
      <w:r>
        <w:rPr>
          <w:i/>
          <w:iCs/>
        </w:rPr>
        <w:t xml:space="preserve"> </w:t>
      </w:r>
      <m:oMath>
        <m:r>
          <m:t>p</m:t>
        </m:r>
        <m:r>
          <m:rPr>
            <m:sty m:val="p"/>
          </m:rPr>
          <m:t>&lt;</m:t>
        </m:r>
        <m:sSup>
          <m:e>
            <m:r>
              <m:t>10</m:t>
            </m:r>
          </m:e>
          <m:sup>
            <m:r>
              <m:rPr>
                <m:sty m:val="p"/>
              </m:rPr>
              <m:t>−</m:t>
            </m:r>
            <m:r>
              <m:t>7</m:t>
            </m:r>
          </m:sup>
        </m:sSup>
      </m:oMath>
      <w:r>
        <w:rPr>
          <w:i/>
          <w:iCs/>
        </w:rPr>
        <w:t xml:space="preserve">), indicating a significant rank drift caused by the fundamental differences between lexical and semantic matching. This study concludes that LLM embeddings are highly effective at enhancing recall, whereas the lexical baseline remains superior for top-tier precision in narrow result constraints.</w:t>
      </w:r>
    </w:p>
    <w:p>
      <w:pPr>
        <w:pStyle w:val="BodyText"/>
      </w:pPr>
      <w:r>
        <w:rPr>
          <w:b/>
          <w:bCs/>
        </w:rPr>
        <w:t xml:space="preserve">Keywords—</w:t>
      </w:r>
      <w:r>
        <w:t xml:space="preserve"> </w:t>
      </w:r>
      <w:r>
        <w:rPr>
          <w:i/>
          <w:iCs/>
        </w:rPr>
        <w:t xml:space="preserve">Information Retrieval, TF-IDF, BM25, Large Language Model, MiniLM, Named Entity Recognition, Outstanding Student, Scholarship.</w:t>
      </w:r>
    </w:p>
    <w:p>
      <w:r>
        <w:pict>
          <v:rect style="width:0;height:1.5pt" o:hralign="center" o:hrstd="t" o:hr="t"/>
        </w:pict>
      </w:r>
    </w:p>
    <w:bookmarkEnd w:id="9"/>
    <w:bookmarkStart w:id="10" w:name="pendahuluan"/>
    <w:p>
      <w:pPr>
        <w:pStyle w:val="Heading2"/>
      </w:pPr>
      <w:r>
        <w:t xml:space="preserve">1. Pendahuluan</w:t>
      </w:r>
    </w:p>
    <w:p>
      <w:pPr>
        <w:pStyle w:val="FirstParagraph"/>
      </w:pPr>
      <w:r>
        <w:t xml:space="preserve">Program pemberian beasiswa merupakan instrumen penting dalam pemerataan pendidikan dan apresiasi terhadap siswa berprestasi. Proses seleksi beasiswa tradisional umumnya bersifat pasif, di mana panitia menunggu pendaftaran dari calon penerima. Pendekatan ini sering kali melewatkan siswa potensial di daerah terpencil yang memiliki keterbatasan informasi. Oleh karena itu, diperlukan pendekatan proaktif (</w:t>
      </w:r>
      <w:r>
        <w:rPr>
          <w:i/>
          <w:iCs/>
        </w:rPr>
        <w:t xml:space="preserve">proactive scouting</w:t>
      </w:r>
      <w:r>
        <w:t xml:space="preserve">) untuk menemukan siswa berprestasi secara mandiri.</w:t>
      </w:r>
    </w:p>
    <w:p>
      <w:pPr>
        <w:pStyle w:val="BodyText"/>
      </w:pPr>
      <w:r>
        <w:t xml:space="preserve">Media sosial, khususnya Instagram, kini telah menjadi platform bagi sekolah dan siswa untuk mempublikasikan pencapaian akademik maupun non-akademik (seperti kejuaraan olimpiade sains, olahraga, seni, dan karya ilmiah). Postingan tersebut memuat informasi kaya berupa teks caption, foto, dan metadata lainnya. Namun, memproses informasi ini secara manual sangat tidak efisien karena data bersifat tidak terstruktur (</w:t>
      </w:r>
      <w:r>
        <w:rPr>
          <w:i/>
          <w:iCs/>
        </w:rPr>
        <w:t xml:space="preserve">unstructured data</w:t>
      </w:r>
      <w:r>
        <w:t xml:space="preserve">) dan berjumlah sangat besar.</w:t>
      </w:r>
    </w:p>
    <w:p>
      <w:pPr>
        <w:pStyle w:val="BodyText"/>
      </w:pPr>
      <w:r>
        <w:t xml:space="preserve">Dalam bidang</w:t>
      </w:r>
      <w:r>
        <w:t xml:space="preserve"> </w:t>
      </w:r>
      <w:r>
        <w:rPr>
          <w:i/>
          <w:iCs/>
        </w:rPr>
        <w:t xml:space="preserve">Information Retrieval</w:t>
      </w:r>
      <w:r>
        <w:t xml:space="preserve"> </w:t>
      </w:r>
      <w:r>
        <w:t xml:space="preserve">(IR), pencarian dokumen yang relevan dengan kueri beasiswa dapat dilakukan dengan dua pendekatan utama: pencarian leksikal (</w:t>
      </w:r>
      <w:r>
        <w:rPr>
          <w:i/>
          <w:iCs/>
        </w:rPr>
        <w:t xml:space="preserve">lexical search</w:t>
      </w:r>
      <w:r>
        <w:t xml:space="preserve">) dan pencarian semantik (</w:t>
      </w:r>
      <w:r>
        <w:rPr>
          <w:i/>
          <w:iCs/>
        </w:rPr>
        <w:t xml:space="preserve">semantic search</w:t>
      </w:r>
      <w:r>
        <w:t xml:space="preserve">). Pencarian leksikal klasik seperti TF-IDF [1] dan BM25 [2] mencocokkan kata kunci kueri secara eksak dengan dokumen. Pendekatan ini sangat cepat dan akurat untuk pencocokan istilah spesifik, tetapi rentan terhadap</w:t>
      </w:r>
      <w:r>
        <w:t xml:space="preserve"> </w:t>
      </w:r>
      <w:r>
        <w:rPr>
          <w:i/>
          <w:iCs/>
        </w:rPr>
        <w:t xml:space="preserve">vocabulary mismatch problem</w:t>
      </w:r>
      <w:r>
        <w:t xml:space="preserve">—situasi di mana dokumen menggunakan sinonim atau padanan kata lain yang tidak tertulis pada kueri.</w:t>
      </w:r>
    </w:p>
    <w:p>
      <w:pPr>
        <w:pStyle w:val="BodyText"/>
      </w:pPr>
      <w:r>
        <w:t xml:space="preserve">Di sisi lain, perkembangan</w:t>
      </w:r>
      <w:r>
        <w:t xml:space="preserve"> </w:t>
      </w:r>
      <w:r>
        <w:rPr>
          <w:i/>
          <w:iCs/>
        </w:rPr>
        <w:t xml:space="preserve">Deep Learning</w:t>
      </w:r>
      <w:r>
        <w:t xml:space="preserve"> </w:t>
      </w:r>
      <w:r>
        <w:t xml:space="preserve">melahirkan pendekatan</w:t>
      </w:r>
      <w:r>
        <w:t xml:space="preserve"> </w:t>
      </w:r>
      <w:r>
        <w:rPr>
          <w:i/>
          <w:iCs/>
        </w:rPr>
        <w:t xml:space="preserve">dense retrieval</w:t>
      </w:r>
      <w:r>
        <w:t xml:space="preserve"> </w:t>
      </w:r>
      <w:r>
        <w:t xml:space="preserve">menggunakan representasi vektor (</w:t>
      </w:r>
      <w:r>
        <w:rPr>
          <w:i/>
          <w:iCs/>
        </w:rPr>
        <w:t xml:space="preserve">embedding</w:t>
      </w:r>
      <w:r>
        <w:t xml:space="preserve">) dari</w:t>
      </w:r>
      <w:r>
        <w:t xml:space="preserve"> </w:t>
      </w:r>
      <w:r>
        <w:rPr>
          <w:i/>
          <w:iCs/>
        </w:rPr>
        <w:t xml:space="preserve">Pretrained Large Language Model</w:t>
      </w:r>
      <w:r>
        <w:t xml:space="preserve"> </w:t>
      </w:r>
      <w:r>
        <w:t xml:space="preserve">(LLM) seperti SBERT atau MiniLM [3]. Metode ini memetakan kalimat ke dalam ruang vektor berdimensi tinggi di mana kedekatan spasial antar-vektor (dihitung dengan</w:t>
      </w:r>
      <w:r>
        <w:t xml:space="preserve"> </w:t>
      </w:r>
      <w:r>
        <w:rPr>
          <w:i/>
          <w:iCs/>
        </w:rPr>
        <w:t xml:space="preserve">cosine similarity</w:t>
      </w:r>
      <w:r>
        <w:t xml:space="preserve">) mencerminkan kedekatan makna semantik kalimat tersebut, terlepas dari apakah mereka menggunakan kata-kata eksak yang sama atau tidak.</w:t>
      </w:r>
    </w:p>
    <w:p>
      <w:pPr>
        <w:pStyle w:val="BodyText"/>
      </w:pPr>
      <w:r>
        <w:t xml:space="preserve">Penelitian ini bertujuan untuk melakukan analisis komparatif yang komprehensif antara sistem IR leksikal berbasis kombinasi TF-IDF dan BM25 (baseline) dengan sistem IR semantik berbasis LLM Pretrained (</w:t>
      </w:r>
      <w:r>
        <w:rPr>
          <w:rStyle w:val="VerbatimChar"/>
        </w:rPr>
        <w:t xml:space="preserve">paraphrase-multilingual-MiniLM-L12-v2</w:t>
      </w:r>
      <w:r>
        <w:t xml:space="preserve">) untuk mengidentifikasi siswa SMA berprestasi pada media sosial Instagram. Kinerja sistem diukur menggunakan metrik standar IR seperti Precision@K, Recall@K, F1@K, MAP, dan NDCG@K terhadap</w:t>
      </w:r>
      <w:r>
        <w:t xml:space="preserve"> </w:t>
      </w:r>
      <w:r>
        <w:rPr>
          <w:i/>
          <w:iCs/>
        </w:rPr>
        <w:t xml:space="preserve">ground truth</w:t>
      </w:r>
      <w:r>
        <w:t xml:space="preserve"> </w:t>
      </w:r>
      <w:r>
        <w:t xml:space="preserve">yang dievaluasi secara ketat. Analisis korelasi peringkat menggunakan koefisien Spearman dan Kendall juga dilakukan untuk mengevaluasi sejauh mana pembobotan kedua sistem menghasilkan urutan prioritas penerima beasiswa yang serupa.</w:t>
      </w:r>
    </w:p>
    <w:p>
      <w:r>
        <w:pict>
          <v:rect style="width:0;height:1.5pt" o:hralign="center" o:hrstd="t" o:hr="t"/>
        </w:pict>
      </w:r>
    </w:p>
    <w:bookmarkEnd w:id="10"/>
    <w:bookmarkStart w:id="14" w:name="tinjauan-pustaka"/>
    <w:p>
      <w:pPr>
        <w:pStyle w:val="Heading2"/>
      </w:pPr>
      <w:r>
        <w:t xml:space="preserve">2. Tinjauan Pustaka</w:t>
      </w:r>
    </w:p>
    <w:bookmarkStart w:id="11" w:name="Xd22d4ff606a06f940881921fdc9636c1fa3aee6"/>
    <w:p>
      <w:pPr>
        <w:pStyle w:val="Heading3"/>
      </w:pPr>
      <w:r>
        <w:t xml:space="preserve">2.1 Named Entity Recognition (NER) pada Media Sosial</w:t>
      </w:r>
    </w:p>
    <w:p>
      <w:pPr>
        <w:pStyle w:val="FirstParagraph"/>
      </w:pPr>
      <w:r>
        <w:t xml:space="preserve">Ekstraksi informasi penting seperti nama siswa dan sekolah dari caption media sosial memerlukan teknik</w:t>
      </w:r>
      <w:r>
        <w:t xml:space="preserve"> </w:t>
      </w:r>
      <w:r>
        <w:rPr>
          <w:i/>
          <w:iCs/>
        </w:rPr>
        <w:t xml:space="preserve">Information Extraction</w:t>
      </w:r>
      <w:r>
        <w:t xml:space="preserve"> </w:t>
      </w:r>
      <w:r>
        <w:t xml:space="preserve">berupa</w:t>
      </w:r>
      <w:r>
        <w:t xml:space="preserve"> </w:t>
      </w:r>
      <w:r>
        <w:rPr>
          <w:i/>
          <w:iCs/>
        </w:rPr>
        <w:t xml:space="preserve">Named Entity Recognition</w:t>
      </w:r>
      <w:r>
        <w:t xml:space="preserve"> </w:t>
      </w:r>
      <w:r>
        <w:t xml:space="preserve">(NER). Karakteristik teks media sosial yang tidak baku, menggunakan singkatan, dan tanpa struktur formal menjadi tantangan besar bagi model NER konvensional. Penelitian Wilie dkk. (2020) melalui proyek IndoNLU memperkenalkan model IndoBERT yang dilatih pada korpus bahasa Indonesia berskala besar, menunjukkan peningkatan performa ekstraksi entitas secara signifikan pada teks informal dibanding pendekatan leksikal biasa [4].</w:t>
      </w:r>
    </w:p>
    <w:bookmarkEnd w:id="11"/>
    <w:bookmarkStart w:id="12" w:name="model-temu-kembali-leksikal-tf-idf-bm25"/>
    <w:p>
      <w:pPr>
        <w:pStyle w:val="Heading3"/>
      </w:pPr>
      <w:r>
        <w:t xml:space="preserve">2.2 Model Temu Kembali Leksikal (TF-IDF &amp; BM25)</w:t>
      </w:r>
    </w:p>
    <w:p>
      <w:pPr>
        <w:pStyle w:val="FirstParagraph"/>
      </w:pPr>
      <w:r>
        <w:t xml:space="preserve">Term Frequency-Inverse Document Frequency (TF-IDF) merupakan metode pembobotan term yang memprioritaskan kata yang sering muncul dalam sebuah dokumen tetapi jarang muncul di keseluruhan korpus [1]. BM25 merupakan penyempurnaan dari TF-IDF berbasis model probabilistik yang mengintegrasikan saturasi frekuensi term (melalui parameter</w:t>
      </w:r>
      <w:r>
        <w:t xml:space="preserve"> </w:t>
      </w:r>
      <m:oMath>
        <m:sSub>
          <m:e>
            <m:r>
              <m:t>k</m:t>
            </m:r>
          </m:e>
          <m:sub>
            <m:r>
              <m:t>1</m:t>
            </m:r>
          </m:sub>
        </m:sSub>
      </m:oMath>
      <w:r>
        <w:t xml:space="preserve">) dan normalisasi panjang dokumen (melalui parameter</w:t>
      </w:r>
      <w:r>
        <w:t xml:space="preserve"> </w:t>
      </w:r>
      <m:oMath>
        <m:r>
          <m:t>b</m:t>
        </m:r>
      </m:oMath>
      <w:r>
        <w:t xml:space="preserve">) [2]. Kombinasi kedua metode ini terbukti sangat tangguh (</w:t>
      </w:r>
      <w:r>
        <w:rPr>
          <w:i/>
          <w:iCs/>
        </w:rPr>
        <w:t xml:space="preserve">robust</w:t>
      </w:r>
      <w:r>
        <w:t xml:space="preserve">) sebagai baseline pencarian teks pendek [5].</w:t>
      </w:r>
    </w:p>
    <w:bookmarkEnd w:id="12"/>
    <w:bookmarkStart w:id="13" w:name="X94976c76edf332eb41d611f52e18f9588edc12c"/>
    <w:p>
      <w:pPr>
        <w:pStyle w:val="Heading3"/>
      </w:pPr>
      <w:r>
        <w:t xml:space="preserve">2.3 Dense Semantic Retrieval &amp; Sentence Transformers</w:t>
      </w:r>
    </w:p>
    <w:p>
      <w:pPr>
        <w:pStyle w:val="FirstParagraph"/>
      </w:pPr>
      <w:r>
        <w:t xml:space="preserve">Untuk mengatasi keterbatasan pencarian berbasis kata kunci eksak, Reimers dan Gurevych (2019) mengusulkan</w:t>
      </w:r>
      <w:r>
        <w:t xml:space="preserve"> </w:t>
      </w:r>
      <w:r>
        <w:rPr>
          <w:i/>
          <w:iCs/>
        </w:rPr>
        <w:t xml:space="preserve">Sentence-BERT</w:t>
      </w:r>
      <w:r>
        <w:t xml:space="preserve"> </w:t>
      </w:r>
      <w:r>
        <w:t xml:space="preserve">(SBERT), sebuah modifikasi dari jaringan BERT menggunakan struktur siamese network untuk menghasilkan embedding kalimat terkalibrasi yang dapat dibandingkan secara langsung menggunakan</w:t>
      </w:r>
      <w:r>
        <w:t xml:space="preserve"> </w:t>
      </w:r>
      <w:r>
        <w:rPr>
          <w:i/>
          <w:iCs/>
        </w:rPr>
        <w:t xml:space="preserve">cosine similarity</w:t>
      </w:r>
      <w:r>
        <w:t xml:space="preserve"> </w:t>
      </w:r>
      <w:r>
        <w:t xml:space="preserve">[3]. Penggunaan model multibahasa yang ringan seperti</w:t>
      </w:r>
      <w:r>
        <w:t xml:space="preserve"> </w:t>
      </w:r>
      <w:r>
        <w:rPr>
          <w:rStyle w:val="VerbatimChar"/>
        </w:rPr>
        <w:t xml:space="preserve">paraphrase-multilingual-MiniLM-L12-v2</w:t>
      </w:r>
      <w:r>
        <w:t xml:space="preserve"> </w:t>
      </w:r>
      <w:r>
        <w:t xml:space="preserve">memungkinkan pencarian semantik lintas bahasa secara cepat dengan kebutuhan komputasi minimal namun tetap mempertahankan performa semantik yang tinggi [6].</w:t>
      </w:r>
    </w:p>
    <w:p>
      <w:r>
        <w:pict>
          <v:rect style="width:0;height:1.5pt" o:hralign="center" o:hrstd="t" o:hr="t"/>
        </w:pict>
      </w:r>
    </w:p>
    <w:bookmarkEnd w:id="13"/>
    <w:bookmarkEnd w:id="14"/>
    <w:bookmarkStart w:id="20" w:name="metodologi-penelitian"/>
    <w:p>
      <w:pPr>
        <w:pStyle w:val="Heading2"/>
      </w:pPr>
      <w:r>
        <w:t xml:space="preserve">3. Metodologi Penelitian</w:t>
      </w:r>
    </w:p>
    <w:p>
      <w:pPr>
        <w:pStyle w:val="FirstParagraph"/>
      </w:pPr>
      <w:r>
        <w:t xml:space="preserve">Sistem yang diajukan terdiri dari lima tahap utama yang digambarkan pada Gambar 1.</w:t>
      </w:r>
    </w:p>
    <w:p>
      <w:pPr>
        <w:pStyle w:val="SourceCode"/>
      </w:pPr>
      <w:r>
        <w:rPr>
          <w:rStyle w:val="VerbatimChar"/>
        </w:rPr>
        <w:t xml:space="preserve">graph TD</w:t>
      </w:r>
      <w:r>
        <w:br/>
      </w:r>
      <w:r>
        <w:rPr>
          <w:rStyle w:val="VerbatimChar"/>
        </w:rPr>
        <w:t xml:space="preserve">    A[Data Raw Instagram] --&gt; B[Preprocessing &amp; Tokenisasi]</w:t>
      </w:r>
      <w:r>
        <w:br/>
      </w:r>
      <w:r>
        <w:rPr>
          <w:rStyle w:val="VerbatimChar"/>
        </w:rPr>
        <w:t xml:space="preserve">    B --&gt; C[Named Entity Recognition]</w:t>
      </w:r>
      <w:r>
        <w:br/>
      </w:r>
      <w:r>
        <w:rPr>
          <w:rStyle w:val="VerbatimChar"/>
        </w:rPr>
        <w:t xml:space="preserve">    C --&gt; D[Indexing &amp; Retrieval]</w:t>
      </w:r>
      <w:r>
        <w:br/>
      </w:r>
      <w:r>
        <w:rPr>
          <w:rStyle w:val="VerbatimChar"/>
        </w:rPr>
        <w:t xml:space="preserve">    D --&gt; D1[Lexical Baseline: TF-IDF + BM25]</w:t>
      </w:r>
      <w:r>
        <w:br/>
      </w:r>
      <w:r>
        <w:rPr>
          <w:rStyle w:val="VerbatimChar"/>
        </w:rPr>
        <w:t xml:space="preserve">    D --&gt; D2[Semantic Dense: LLM Embeddings]</w:t>
      </w:r>
      <w:r>
        <w:br/>
      </w:r>
      <w:r>
        <w:rPr>
          <w:rStyle w:val="VerbatimChar"/>
        </w:rPr>
        <w:t xml:space="preserve">    D1 --&gt; E[Scoring &amp; Level Weighting]</w:t>
      </w:r>
      <w:r>
        <w:br/>
      </w:r>
      <w:r>
        <w:rPr>
          <w:rStyle w:val="VerbatimChar"/>
        </w:rPr>
        <w:t xml:space="preserve">    D2 --&gt; E</w:t>
      </w:r>
      <w:r>
        <w:br/>
      </w:r>
      <w:r>
        <w:rPr>
          <w:rStyle w:val="VerbatimChar"/>
        </w:rPr>
        <w:t xml:space="preserve">    E --&gt; F[Peringkat Rekomendasi Siswa]</w:t>
      </w:r>
      <w:r>
        <w:br/>
      </w:r>
      <w:r>
        <w:rPr>
          <w:rStyle w:val="VerbatimChar"/>
        </w:rPr>
        <w:t xml:space="preserve">    F --&gt; G[Evaluasi Metrik IR &amp; Analisis Korelasi]</w:t>
      </w:r>
    </w:p>
    <w:p>
      <w:pPr>
        <w:pStyle w:val="FirstParagraph"/>
      </w:pPr>
      <w:r>
        <w:rPr>
          <w:i/>
          <w:iCs/>
        </w:rPr>
        <w:t xml:space="preserve">Gambar 1: Alur Metodologi Sistem Komparasi IR</w:t>
      </w:r>
    </w:p>
    <w:bookmarkStart w:id="15" w:name="preprocessing-data"/>
    <w:p>
      <w:pPr>
        <w:pStyle w:val="Heading3"/>
      </w:pPr>
      <w:r>
        <w:t xml:space="preserve">3.1 Preprocessing Data</w:t>
      </w:r>
    </w:p>
    <w:p>
      <w:pPr>
        <w:pStyle w:val="FirstParagraph"/>
      </w:pPr>
      <w:r>
        <w:t xml:space="preserve">Teks caption Instagram dibersihkan dari URL, mention username (</w:t>
      </w:r>
      <w:r>
        <w:rPr>
          <w:rStyle w:val="VerbatimChar"/>
        </w:rPr>
        <w:t xml:space="preserve">@username</w:t>
      </w:r>
      <w:r>
        <w:t xml:space="preserve">), simbol non-alfanumerik, dan spasi berlebih. Karakter diubah menjadi huruf kecil (</w:t>
      </w:r>
      <w:r>
        <w:rPr>
          <w:i/>
          <w:iCs/>
        </w:rPr>
        <w:t xml:space="preserve">case folding</w:t>
      </w:r>
      <w:r>
        <w:t xml:space="preserve">). Kata penegas (</w:t>
      </w:r>
      <w:r>
        <w:rPr>
          <w:i/>
          <w:iCs/>
        </w:rPr>
        <w:t xml:space="preserve">stopwords</w:t>
      </w:r>
      <w:r>
        <w:t xml:space="preserve">) dalam bahasa Indonesia seperti</w:t>
      </w:r>
      <w:r>
        <w:t xml:space="preserve"> </w:t>
      </w:r>
      <w:r>
        <w:rPr>
          <w:i/>
          <w:iCs/>
        </w:rPr>
        <w:t xml:space="preserve">“yang”</w:t>
      </w:r>
      <w:r>
        <w:t xml:space="preserve">,</w:t>
      </w:r>
      <w:r>
        <w:t xml:space="preserve"> </w:t>
      </w:r>
      <w:r>
        <w:rPr>
          <w:i/>
          <w:iCs/>
        </w:rPr>
        <w:t xml:space="preserve">“dan”</w:t>
      </w:r>
      <w:r>
        <w:t xml:space="preserve">,</w:t>
      </w:r>
      <w:r>
        <w:t xml:space="preserve"> </w:t>
      </w:r>
      <w:r>
        <w:rPr>
          <w:i/>
          <w:iCs/>
        </w:rPr>
        <w:t xml:space="preserve">“di”</w:t>
      </w:r>
      <w:r>
        <w:t xml:space="preserve">,</w:t>
      </w:r>
      <w:r>
        <w:t xml:space="preserve"> </w:t>
      </w:r>
      <w:r>
        <w:rPr>
          <w:i/>
          <w:iCs/>
        </w:rPr>
        <w:t xml:space="preserve">“untuk”</w:t>
      </w:r>
      <w:r>
        <w:t xml:space="preserve"> </w:t>
      </w:r>
      <w:r>
        <w:t xml:space="preserve">dihilangkan menggunakan kamus stopword lokal untuk mengurangi noise.</w:t>
      </w:r>
    </w:p>
    <w:bookmarkEnd w:id="15"/>
    <w:bookmarkStart w:id="16" w:name="ekstraksi-entitas-dengan-ner"/>
    <w:p>
      <w:pPr>
        <w:pStyle w:val="Heading3"/>
      </w:pPr>
      <w:r>
        <w:t xml:space="preserve">3.2 Ekstraksi Entitas dengan NER</w:t>
      </w:r>
    </w:p>
    <w:p>
      <w:pPr>
        <w:pStyle w:val="FirstParagraph"/>
      </w:pPr>
      <w:r>
        <w:t xml:space="preserve">Setiap dokumen diproses dengan modul NER untuk mendeteksi entitas nama orang (</w:t>
      </w:r>
      <w:r>
        <w:rPr>
          <w:rStyle w:val="VerbatimChar"/>
        </w:rPr>
        <w:t xml:space="preserve">PER</w:t>
      </w:r>
      <w:r>
        <w:t xml:space="preserve">) dan organisasi/sekolah (</w:t>
      </w:r>
      <w:r>
        <w:rPr>
          <w:rStyle w:val="VerbatimChar"/>
        </w:rPr>
        <w:t xml:space="preserve">ORG</w:t>
      </w:r>
      <w:r>
        <w:t xml:space="preserve">). Hanya dokumen yang memiliki entitas nama orang dengan panjang lebih dari 2 karakter yang diteruskan ke tahap indexing.</w:t>
      </w:r>
    </w:p>
    <w:bookmarkEnd w:id="16"/>
    <w:bookmarkStart w:id="17" w:name="X8402d633380176a60803e996da09cf0862de109"/>
    <w:p>
      <w:pPr>
        <w:pStyle w:val="Heading3"/>
      </w:pPr>
      <w:r>
        <w:t xml:space="preserve">3.3 Pendekatan 1: Lexical Indexing (TF-IDF + BM25)</w:t>
      </w:r>
    </w:p>
    <w:p>
      <w:pPr>
        <w:pStyle w:val="FirstParagraph"/>
      </w:pPr>
      <w:r>
        <w:t xml:space="preserve">Kueri beasiswa</w:t>
      </w:r>
      <w:r>
        <w:t xml:space="preserve"> </w:t>
      </w:r>
      <m:oMath>
        <m:r>
          <m:t>Q</m:t>
        </m:r>
      </m:oMath>
      <w:r>
        <w:t xml:space="preserve"> </w:t>
      </w:r>
      <w:r>
        <w:t xml:space="preserve">didefinisikan sebagai sekumpulan term pencarian beasiswa:</w:t>
      </w:r>
    </w:p>
    <w:p>
      <w:pPr>
        <w:pStyle w:val="BodyText"/>
      </w:pPr>
      <m:oMathPara>
        <m:oMathParaPr>
          <m:jc m:val="center"/>
        </m:oMathParaPr>
        <m:oMath>
          <m:r>
            <m:t>Q</m:t>
          </m:r>
          <m:r>
            <m:rPr>
              <m:sty m:val="p"/>
            </m:rPr>
            <m:t>=</m:t>
          </m:r>
          <m:r>
            <m:rPr>
              <m:nor/>
              <m:sty m:val="p"/>
            </m:rPr>
            <m:t>"siswa berprestasi juara olimpiade sains nasional osn beasiswa sma ..."</m:t>
          </m:r>
        </m:oMath>
      </m:oMathPara>
    </w:p>
    <w:p>
      <w:pPr>
        <w:pStyle w:val="FirstParagraph"/>
      </w:pPr>
      <w:r>
        <w:t xml:space="preserve">Skor leksikal gabungan (</w:t>
      </w:r>
      <m:oMath>
        <m:sSub>
          <m:e>
            <m:r>
              <m:t>S</m:t>
            </m:r>
          </m:e>
          <m:sub>
            <m:r>
              <m:t>l</m:t>
            </m:r>
            <m:r>
              <m:t>e</m:t>
            </m:r>
            <m:r>
              <m:t>x</m:t>
            </m:r>
          </m:sub>
        </m:sSub>
      </m:oMath>
      <w:r>
        <w:t xml:space="preserve">) dihitung sebagai kombinasi linier dari skor TF-IDF Cosine Similarity (</w:t>
      </w:r>
      <m:oMath>
        <m:sSub>
          <m:e>
            <m:r>
              <m:t>S</m:t>
            </m:r>
          </m:e>
          <m:sub>
            <m:r>
              <m:t>t</m:t>
            </m:r>
            <m:r>
              <m:t>f</m:t>
            </m:r>
            <m:r>
              <m:t>i</m:t>
            </m:r>
            <m:r>
              <m:t>d</m:t>
            </m:r>
            <m:r>
              <m:t>f</m:t>
            </m:r>
          </m:sub>
        </m:sSub>
      </m:oMath>
      <w:r>
        <w:t xml:space="preserve">), normalized BM25 score (</w:t>
      </w:r>
      <m:oMath>
        <m:sSub>
          <m:e>
            <m:r>
              <m:t>S</m:t>
            </m:r>
          </m:e>
          <m:sub>
            <m:r>
              <m:t>b</m:t>
            </m:r>
            <m:r>
              <m:t>m</m:t>
            </m:r>
            <m:r>
              <m:t>25</m:t>
            </m:r>
          </m:sub>
        </m:sSub>
      </m:oMath>
      <w:r>
        <w:t xml:space="preserve">), dan skor</w:t>
      </w:r>
      <w:r>
        <w:t xml:space="preserve"> </w:t>
      </w:r>
      <w:r>
        <w:rPr>
          <w:i/>
          <w:iCs/>
        </w:rPr>
        <w:t xml:space="preserve">engagement</w:t>
      </w:r>
      <w:r>
        <w:t xml:space="preserve"> </w:t>
      </w:r>
      <w:r>
        <w:t xml:space="preserve">logaritmik (</w:t>
      </w:r>
      <m:oMath>
        <m:sSub>
          <m:e>
            <m:r>
              <m:t>S</m:t>
            </m:r>
          </m:e>
          <m:sub>
            <m:r>
              <m:t>e</m:t>
            </m:r>
            <m:r>
              <m:t>n</m:t>
            </m:r>
            <m:r>
              <m:t>g</m:t>
            </m:r>
          </m:sub>
        </m:sSub>
      </m:oMath>
      <w:r>
        <w:t xml:space="preserve">):</w:t>
      </w:r>
    </w:p>
    <w:p>
      <w:pPr>
        <w:pStyle w:val="BodyText"/>
      </w:pPr>
      <m:oMathPara>
        <m:oMathParaPr>
          <m:jc m:val="center"/>
        </m:oMathParaPr>
        <m:oMath>
          <m:sSub>
            <m:e>
              <m:r>
                <m:t>S</m:t>
              </m:r>
            </m:e>
            <m:sub>
              <m:r>
                <m:t>l</m:t>
              </m:r>
              <m:r>
                <m:t>e</m:t>
              </m:r>
              <m:r>
                <m:t>x</m:t>
              </m:r>
            </m:sub>
          </m:sSub>
          <m:r>
            <m:rPr>
              <m:sty m:val="p"/>
            </m:rPr>
            <m:t>=</m:t>
          </m:r>
          <m:r>
            <m:t>α</m:t>
          </m:r>
          <m:r>
            <m:rPr>
              <m:sty m:val="p"/>
            </m:rPr>
            <m:t>⋅</m:t>
          </m:r>
          <m:sSub>
            <m:e>
              <m:r>
                <m:t>S</m:t>
              </m:r>
            </m:e>
            <m:sub>
              <m:r>
                <m:t>t</m:t>
              </m:r>
              <m:r>
                <m:t>f</m:t>
              </m:r>
              <m:r>
                <m:t>i</m:t>
              </m:r>
              <m:r>
                <m:t>d</m:t>
              </m:r>
              <m:r>
                <m:t>f</m:t>
              </m:r>
            </m:sub>
          </m:sSub>
          <m:r>
            <m:rPr>
              <m:sty m:val="p"/>
            </m:rPr>
            <m:t>+</m:t>
          </m:r>
          <m:r>
            <m:t>β</m:t>
          </m:r>
          <m:r>
            <m:rPr>
              <m:sty m:val="p"/>
            </m:rPr>
            <m:t>⋅</m:t>
          </m:r>
          <m:sSub>
            <m:e>
              <m:r>
                <m:t>S</m:t>
              </m:r>
            </m:e>
            <m:sub>
              <m:r>
                <m:t>b</m:t>
              </m:r>
              <m:r>
                <m:t>m</m:t>
              </m:r>
              <m:r>
                <m:t>25</m:t>
              </m:r>
            </m:sub>
          </m:sSub>
          <m:r>
            <m:rPr>
              <m:sty m:val="p"/>
            </m:rPr>
            <m:t>+</m:t>
          </m:r>
          <m:r>
            <m:t>γ</m:t>
          </m:r>
          <m:r>
            <m:rPr>
              <m:sty m:val="p"/>
            </m:rPr>
            <m:t>⋅</m:t>
          </m:r>
          <m:sSub>
            <m:e>
              <m:r>
                <m:t>S</m:t>
              </m:r>
            </m:e>
            <m:sub>
              <m:r>
                <m:t>e</m:t>
              </m:r>
              <m:r>
                <m:t>n</m:t>
              </m:r>
              <m:r>
                <m:t>g</m:t>
              </m:r>
            </m:sub>
          </m:sSub>
        </m:oMath>
      </m:oMathPara>
    </w:p>
    <w:p>
      <w:pPr>
        <w:pStyle w:val="FirstParagraph"/>
      </w:pPr>
      <w:r>
        <w:t xml:space="preserve">Dengan bobot parameter</w:t>
      </w:r>
      <w:r>
        <w:t xml:space="preserve"> </w:t>
      </w:r>
      <m:oMath>
        <m:r>
          <m:t>α</m:t>
        </m:r>
        <m:r>
          <m:rPr>
            <m:sty m:val="p"/>
          </m:rPr>
          <m:t>=</m:t>
        </m:r>
        <m:r>
          <m:t>0.40</m:t>
        </m:r>
      </m:oMath>
      <w:r>
        <w:t xml:space="preserve">,</w:t>
      </w:r>
      <w:r>
        <w:t xml:space="preserve"> </w:t>
      </w:r>
      <m:oMath>
        <m:r>
          <m:t>β</m:t>
        </m:r>
        <m:r>
          <m:rPr>
            <m:sty m:val="p"/>
          </m:rPr>
          <m:t>=</m:t>
        </m:r>
        <m:r>
          <m:t>0.45</m:t>
        </m:r>
      </m:oMath>
      <w:r>
        <w:t xml:space="preserve">, dan</w:t>
      </w:r>
      <w:r>
        <w:t xml:space="preserve"> </w:t>
      </w:r>
      <m:oMath>
        <m:r>
          <m:t>γ</m:t>
        </m:r>
        <m:r>
          <m:rPr>
            <m:sty m:val="p"/>
          </m:rPr>
          <m:t>=</m:t>
        </m:r>
        <m:r>
          <m:t>0.15</m:t>
        </m:r>
      </m:oMath>
      <w:r>
        <w:t xml:space="preserve">. Skor</w:t>
      </w:r>
      <w:r>
        <w:t xml:space="preserve"> </w:t>
      </w:r>
      <w:r>
        <w:rPr>
          <w:i/>
          <w:iCs/>
        </w:rPr>
        <w:t xml:space="preserve">engagement</w:t>
      </w:r>
      <w:r>
        <w:t xml:space="preserve"> </w:t>
      </w:r>
      <w:r>
        <w:t xml:space="preserve">dihitung berdasarkan logaritma jumlah</w:t>
      </w:r>
      <w:r>
        <w:t xml:space="preserve"> </w:t>
      </w:r>
      <w:r>
        <w:rPr>
          <w:i/>
          <w:iCs/>
        </w:rPr>
        <w:t xml:space="preserve">likes</w:t>
      </w:r>
      <w:r>
        <w:t xml:space="preserve"> </w:t>
      </w:r>
      <w:r>
        <w:t xml:space="preserve">postingan untuk memberikan prioritas pada informasi yang memiliki validitas interaksi sosial lebih tinggi.</w:t>
      </w:r>
    </w:p>
    <w:bookmarkEnd w:id="17"/>
    <w:bookmarkStart w:id="18" w:name="X652d1b08088fefd8e07bd1c179e46a7c250adbf"/>
    <w:p>
      <w:pPr>
        <w:pStyle w:val="Heading3"/>
      </w:pPr>
      <w:r>
        <w:t xml:space="preserve">3.4 Pendekatan 2: Semantic Dense Retrieval (LLM Pretrained)</w:t>
      </w:r>
    </w:p>
    <w:p>
      <w:pPr>
        <w:pStyle w:val="FirstParagraph"/>
      </w:pPr>
      <w:r>
        <w:t xml:space="preserve">Menggunakan model</w:t>
      </w:r>
      <w:r>
        <w:t xml:space="preserve"> </w:t>
      </w:r>
      <w:r>
        <w:rPr>
          <w:rStyle w:val="VerbatimChar"/>
        </w:rPr>
        <w:t xml:space="preserve">paraphrase-multilingual-MiniLM-L12-v2</w:t>
      </w:r>
      <w:r>
        <w:t xml:space="preserve"> </w:t>
      </w:r>
      <w:r>
        <w:t xml:space="preserve">untuk mengekstrak vektor representasi dokumen</w:t>
      </w:r>
      <w:r>
        <w:t xml:space="preserve"> </w:t>
      </w:r>
      <m:oMath>
        <m:sSub>
          <m:e>
            <m:r>
              <m:t>D</m:t>
            </m:r>
          </m:e>
          <m:sub>
            <m:r>
              <m:t>i</m:t>
            </m:r>
          </m:sub>
        </m:sSub>
      </m:oMath>
      <w:r>
        <w:t xml:space="preserve"> </w:t>
      </w:r>
      <w:r>
        <w:t xml:space="preserve">dan kueri</w:t>
      </w:r>
      <w:r>
        <w:t xml:space="preserve"> </w:t>
      </w:r>
      <m:oMath>
        <m:r>
          <m:t>Q</m:t>
        </m:r>
      </m:oMath>
      <w:r>
        <w:t xml:space="preserve">.</w:t>
      </w:r>
    </w:p>
    <w:p>
      <w:pPr>
        <w:pStyle w:val="BodyText"/>
      </w:pPr>
      <m:oMathPara>
        <m:oMathParaPr>
          <m:jc m:val="center"/>
        </m:oMathParaPr>
        <m:oMath>
          <m:sSub>
            <m:e>
              <m:r>
                <m:rPr>
                  <m:sty m:val="bi"/>
                </m:rPr>
                <m:t>v</m:t>
              </m:r>
            </m:e>
            <m:sub>
              <m:sSub>
                <m:e>
                  <m:r>
                    <m:t>D</m:t>
                  </m:r>
                </m:e>
                <m:sub>
                  <m:r>
                    <m:t>i</m:t>
                  </m:r>
                </m:sub>
              </m:sSub>
            </m:sub>
          </m:sSub>
          <m:r>
            <m:rPr>
              <m:sty m:val="p"/>
            </m:rPr>
            <m:t>=</m:t>
          </m:r>
          <m:r>
            <m:rPr>
              <m:nor/>
              <m:sty m:val="p"/>
            </m:rPr>
            <m:t>MeanPooling</m:t>
          </m:r>
          <m:r>
            <m:rPr>
              <m:sty m:val="p"/>
            </m:rPr>
            <m:t>(</m:t>
          </m:r>
          <m:r>
            <m:rPr>
              <m:nor/>
              <m:sty m:val="p"/>
            </m:rPr>
            <m:t>Transformer</m:t>
          </m:r>
          <m:r>
            <m:rPr>
              <m:sty m:val="p"/>
            </m:rPr>
            <m:t>(</m:t>
          </m:r>
          <m:sSub>
            <m:e>
              <m:r>
                <m:t>D</m:t>
              </m:r>
            </m:e>
            <m:sub>
              <m:r>
                <m:t>i</m:t>
              </m:r>
            </m:sub>
          </m:sSub>
          <m:r>
            <m:rPr>
              <m:sty m:val="p"/>
            </m:rPr>
            <m:t>)</m:t>
          </m:r>
          <m:r>
            <m:rPr>
              <m:sty m:val="p"/>
            </m:rPr>
            <m:t>)</m:t>
          </m:r>
        </m:oMath>
      </m:oMathPara>
    </w:p>
    <w:p>
      <w:pPr>
        <w:pStyle w:val="FirstParagraph"/>
      </w:pPr>
      <m:oMathPara>
        <m:oMathParaPr>
          <m:jc m:val="center"/>
        </m:oMathParaPr>
        <m:oMath>
          <m:sSub>
            <m:e>
              <m:r>
                <m:rPr>
                  <m:sty m:val="bi"/>
                </m:rPr>
                <m:t>v</m:t>
              </m:r>
            </m:e>
            <m:sub>
              <m:r>
                <m:t>Q</m:t>
              </m:r>
            </m:sub>
          </m:sSub>
          <m:r>
            <m:rPr>
              <m:sty m:val="p"/>
            </m:rPr>
            <m:t>=</m:t>
          </m:r>
          <m:r>
            <m:rPr>
              <m:nor/>
              <m:sty m:val="p"/>
            </m:rPr>
            <m:t>MeanPooling</m:t>
          </m:r>
          <m:r>
            <m:rPr>
              <m:sty m:val="p"/>
            </m:rPr>
            <m:t>(</m:t>
          </m:r>
          <m:r>
            <m:rPr>
              <m:nor/>
              <m:sty m:val="p"/>
            </m:rPr>
            <m:t>Transformer</m:t>
          </m:r>
          <m:r>
            <m:rPr>
              <m:sty m:val="p"/>
            </m:rPr>
            <m:t>(</m:t>
          </m:r>
          <m:r>
            <m:t>Q</m:t>
          </m:r>
          <m:r>
            <m:rPr>
              <m:sty m:val="p"/>
            </m:rPr>
            <m:t>)</m:t>
          </m:r>
          <m:r>
            <m:rPr>
              <m:sty m:val="p"/>
            </m:rPr>
            <m:t>)</m:t>
          </m:r>
        </m:oMath>
      </m:oMathPara>
    </w:p>
    <w:p>
      <w:pPr>
        <w:pStyle w:val="FirstParagraph"/>
      </w:pPr>
      <w:r>
        <w:t xml:space="preserve">Skor kemiripan semantik (</w:t>
      </w:r>
      <m:oMath>
        <m:sSub>
          <m:e>
            <m:r>
              <m:t>S</m:t>
            </m:r>
          </m:e>
          <m:sub>
            <m:r>
              <m:t>s</m:t>
            </m:r>
            <m:r>
              <m:t>e</m:t>
            </m:r>
            <m:r>
              <m:t>m</m:t>
            </m:r>
          </m:sub>
        </m:sSub>
      </m:oMath>
      <w:r>
        <w:t xml:space="preserve">) dihitung menggunakan Cosine Similarity dari vektor embedding yang telah dinormalisasi L2:</w:t>
      </w:r>
    </w:p>
    <w:p>
      <w:pPr>
        <w:pStyle w:val="BodyText"/>
      </w:pPr>
      <m:oMathPara>
        <m:oMathParaPr>
          <m:jc m:val="center"/>
        </m:oMathParaPr>
        <m:oMath>
          <m:sSub>
            <m:e>
              <m:r>
                <m:t>S</m:t>
              </m:r>
            </m:e>
            <m:sub>
              <m:r>
                <m:t>s</m:t>
              </m:r>
              <m:r>
                <m:t>e</m:t>
              </m:r>
              <m:r>
                <m:t>m</m:t>
              </m:r>
            </m:sub>
          </m:sSub>
          <m:r>
            <m:rPr>
              <m:sty m:val="p"/>
            </m:rPr>
            <m:t>=</m:t>
          </m:r>
          <m:r>
            <m:rPr>
              <m:sty m:val="p"/>
            </m:rPr>
            <m:t>cos</m:t>
          </m:r>
          <m:r>
            <m:rPr>
              <m:sty m:val="p"/>
            </m:rPr>
            <m:t>(</m:t>
          </m:r>
          <m:sSub>
            <m:e>
              <m:r>
                <m:rPr>
                  <m:sty m:val="bi"/>
                </m:rPr>
                <m:t>v</m:t>
              </m:r>
            </m:e>
            <m:sub>
              <m:r>
                <m:t>Q</m:t>
              </m:r>
            </m:sub>
          </m:sSub>
          <m:r>
            <m:rPr>
              <m:sty m:val="p"/>
            </m:rPr>
            <m:t>,</m:t>
          </m:r>
          <m:sSub>
            <m:e>
              <m:r>
                <m:rPr>
                  <m:sty m:val="bi"/>
                </m:rPr>
                <m:t>v</m:t>
              </m:r>
            </m:e>
            <m:sub>
              <m:sSub>
                <m:e>
                  <m:r>
                    <m:t>D</m:t>
                  </m:r>
                </m:e>
                <m:sub>
                  <m:r>
                    <m:t>i</m:t>
                  </m:r>
                </m:sub>
              </m:sSub>
            </m:sub>
          </m:sSub>
          <m:r>
            <m:rPr>
              <m:sty m:val="p"/>
            </m:rPr>
            <m:t>)</m:t>
          </m:r>
          <m:r>
            <m:rPr>
              <m:sty m:val="p"/>
            </m:rPr>
            <m:t>=</m:t>
          </m:r>
          <m:f>
            <m:fPr>
              <m:type m:val="bar"/>
            </m:fPr>
            <m:num>
              <m:sSub>
                <m:e>
                  <m:r>
                    <m:rPr>
                      <m:sty m:val="bi"/>
                    </m:rPr>
                    <m:t>v</m:t>
                  </m:r>
                </m:e>
                <m:sub>
                  <m:r>
                    <m:t>Q</m:t>
                  </m:r>
                </m:sub>
              </m:sSub>
              <m:r>
                <m:rPr>
                  <m:sty m:val="p"/>
                </m:rPr>
                <m:t>⋅</m:t>
              </m:r>
              <m:sSub>
                <m:e>
                  <m:r>
                    <m:rPr>
                      <m:sty m:val="bi"/>
                    </m:rPr>
                    <m:t>v</m:t>
                  </m:r>
                </m:e>
                <m:sub>
                  <m:sSub>
                    <m:e>
                      <m:r>
                        <m:t>D</m:t>
                      </m:r>
                    </m:e>
                    <m:sub>
                      <m:r>
                        <m:t>i</m:t>
                      </m:r>
                    </m:sub>
                  </m:sSub>
                </m:sub>
              </m:sSub>
            </m:num>
            <m:den>
              <m:r>
                <m:rPr>
                  <m:sty m:val="p"/>
                </m:rPr>
                <m:t>∥</m:t>
              </m:r>
              <m:sSub>
                <m:e>
                  <m:r>
                    <m:rPr>
                      <m:sty m:val="bi"/>
                    </m:rPr>
                    <m:t>v</m:t>
                  </m:r>
                </m:e>
                <m:sub>
                  <m:r>
                    <m:t>Q</m:t>
                  </m:r>
                </m:sub>
              </m:sSub>
              <m:r>
                <m:rPr>
                  <m:sty m:val="p"/>
                </m:rPr>
                <m:t>∥</m:t>
              </m:r>
              <m:r>
                <m:rPr>
                  <m:sty m:val="p"/>
                </m:rPr>
                <m:t>∥</m:t>
              </m:r>
              <m:sSub>
                <m:e>
                  <m:r>
                    <m:rPr>
                      <m:sty m:val="bi"/>
                    </m:rPr>
                    <m:t>v</m:t>
                  </m:r>
                </m:e>
                <m:sub>
                  <m:sSub>
                    <m:e>
                      <m:r>
                        <m:t>D</m:t>
                      </m:r>
                    </m:e>
                    <m:sub>
                      <m:r>
                        <m:t>i</m:t>
                      </m:r>
                    </m:sub>
                  </m:sSub>
                </m:sub>
              </m:sSub>
              <m:r>
                <m:rPr>
                  <m:sty m:val="p"/>
                </m:rPr>
                <m:t>∥</m:t>
              </m:r>
            </m:den>
          </m:f>
        </m:oMath>
      </m:oMathPara>
    </w:p>
    <w:p>
      <w:pPr>
        <w:pStyle w:val="FirstParagraph"/>
      </w:pPr>
      <w:r>
        <w:t xml:space="preserve">Skor akhir LLM gabungan (</w:t>
      </w:r>
      <m:oMath>
        <m:sSub>
          <m:e>
            <m:r>
              <m:t>S</m:t>
            </m:r>
          </m:e>
          <m:sub>
            <m:r>
              <m:t>l</m:t>
            </m:r>
            <m:r>
              <m:t>l</m:t>
            </m:r>
            <m:r>
              <m:t>m</m:t>
            </m:r>
          </m:sub>
        </m:sSub>
      </m:oMath>
      <w:r>
        <w:t xml:space="preserve">) diformulasikan dengan menyertakan skor engagement:</w:t>
      </w:r>
    </w:p>
    <w:p>
      <w:pPr>
        <w:pStyle w:val="BodyText"/>
      </w:pPr>
      <m:oMathPara>
        <m:oMathParaPr>
          <m:jc m:val="center"/>
        </m:oMathParaPr>
        <m:oMath>
          <m:sSub>
            <m:e>
              <m:r>
                <m:t>S</m:t>
              </m:r>
            </m:e>
            <m:sub>
              <m:r>
                <m:t>l</m:t>
              </m:r>
              <m:r>
                <m:t>l</m:t>
              </m:r>
              <m:r>
                <m:t>m</m:t>
              </m:r>
            </m:sub>
          </m:sSub>
          <m:r>
            <m:rPr>
              <m:sty m:val="p"/>
            </m:rPr>
            <m:t>=</m:t>
          </m:r>
          <m:r>
            <m:t>0.85</m:t>
          </m:r>
          <m:r>
            <m:rPr>
              <m:sty m:val="p"/>
            </m:rPr>
            <m:t>⋅</m:t>
          </m:r>
          <m:sSub>
            <m:e>
              <m:r>
                <m:t>S</m:t>
              </m:r>
            </m:e>
            <m:sub>
              <m:r>
                <m:t>s</m:t>
              </m:r>
              <m:r>
                <m:t>e</m:t>
              </m:r>
              <m:r>
                <m:t>m</m:t>
              </m:r>
            </m:sub>
          </m:sSub>
          <m:r>
            <m:rPr>
              <m:sty m:val="p"/>
            </m:rPr>
            <m:t>+</m:t>
          </m:r>
          <m:r>
            <m:t>0.15</m:t>
          </m:r>
          <m:r>
            <m:rPr>
              <m:sty m:val="p"/>
            </m:rPr>
            <m:t>⋅</m:t>
          </m:r>
          <m:sSub>
            <m:e>
              <m:r>
                <m:t>S</m:t>
              </m:r>
            </m:e>
            <m:sub>
              <m:r>
                <m:t>e</m:t>
              </m:r>
              <m:r>
                <m:t>n</m:t>
              </m:r>
              <m:r>
                <m:t>g</m:t>
              </m:r>
            </m:sub>
          </m:sSub>
        </m:oMath>
      </m:oMathPara>
    </w:p>
    <w:bookmarkEnd w:id="18"/>
    <w:bookmarkStart w:id="19" w:name="X258b079f9b8dc5da408df908228e4a5bb90fc24"/>
    <w:p>
      <w:pPr>
        <w:pStyle w:val="Heading3"/>
      </w:pPr>
      <w:r>
        <w:t xml:space="preserve">3.5 Agregasi Skor Siswa &amp; Pembobotan Tingkat Kompetisi</w:t>
      </w:r>
    </w:p>
    <w:p>
      <w:pPr>
        <w:pStyle w:val="FirstParagraph"/>
      </w:pPr>
      <w:r>
        <w:t xml:space="preserve">Jika seorang siswa teridentifikasi pada beberapa postingan, skor tertinggi yang diambil. Skor akhir rekomendasi beasiswa (</w:t>
      </w:r>
      <m:oMath>
        <m:r>
          <m:t>S</m:t>
        </m:r>
        <m:r>
          <m:t>c</m:t>
        </m:r>
        <m:r>
          <m:t>o</m:t>
        </m:r>
        <m:r>
          <m:t>r</m:t>
        </m:r>
        <m:sSub>
          <m:e>
            <m:r>
              <m:t>e</m:t>
            </m:r>
          </m:e>
          <m:sub>
            <m:r>
              <m:t>f</m:t>
            </m:r>
            <m:r>
              <m:t>i</m:t>
            </m:r>
            <m:r>
              <m:t>n</m:t>
            </m:r>
            <m:r>
              <m:t>a</m:t>
            </m:r>
            <m:r>
              <m:t>l</m:t>
            </m:r>
          </m:sub>
        </m:sSub>
      </m:oMath>
      <w:r>
        <w:t xml:space="preserve">) disesuaikan dengan tingkat kompetisi (</w:t>
      </w:r>
      <m:oMath>
        <m:sSub>
          <m:e>
            <m:r>
              <m:t>W</m:t>
            </m:r>
          </m:e>
          <m:sub>
            <m:r>
              <m:t>l</m:t>
            </m:r>
            <m:r>
              <m:t>e</m:t>
            </m:r>
            <m:r>
              <m:t>v</m:t>
            </m:r>
            <m:r>
              <m:t>e</m:t>
            </m:r>
            <m:r>
              <m:t>l</m:t>
            </m:r>
          </m:sub>
        </m:sSub>
      </m:oMath>
      <w:r>
        <w:t xml:space="preserve">) dan bonus frekuensi kemunculan (</w:t>
      </w:r>
      <m:oMath>
        <m:sSub>
          <m:e>
            <m:r>
              <m:t>B</m:t>
            </m:r>
          </m:e>
          <m:sub>
            <m:r>
              <m:t>f</m:t>
            </m:r>
            <m:r>
              <m:t>r</m:t>
            </m:r>
            <m:r>
              <m:t>e</m:t>
            </m:r>
            <m:r>
              <m:t>q</m:t>
            </m:r>
          </m:sub>
        </m:sSub>
      </m:oMath>
      <w:r>
        <w:t xml:space="preserve">):</w:t>
      </w:r>
    </w:p>
    <w:p>
      <w:pPr>
        <w:pStyle w:val="BodyText"/>
      </w:pPr>
      <m:oMathPara>
        <m:oMathParaPr>
          <m:jc m:val="center"/>
        </m:oMathParaPr>
        <m:oMath>
          <m:r>
            <m:t>S</m:t>
          </m:r>
          <m:r>
            <m:t>c</m:t>
          </m:r>
          <m:r>
            <m:t>o</m:t>
          </m:r>
          <m:r>
            <m:t>r</m:t>
          </m:r>
          <m:sSub>
            <m:e>
              <m:r>
                <m:t>e</m:t>
              </m:r>
            </m:e>
            <m:sub>
              <m:r>
                <m:t>f</m:t>
              </m:r>
              <m:r>
                <m:t>i</m:t>
              </m:r>
              <m:r>
                <m:t>n</m:t>
              </m:r>
              <m:r>
                <m:t>a</m:t>
              </m:r>
              <m:r>
                <m:t>l</m:t>
              </m:r>
            </m:sub>
          </m:sSub>
          <m:r>
            <m:rPr>
              <m:sty m:val="p"/>
            </m:rPr>
            <m:t>=</m:t>
          </m:r>
          <m:sSub>
            <m:e>
              <m:r>
                <m:t>S</m:t>
              </m:r>
            </m:e>
            <m:sub>
              <m:r>
                <m:t>g</m:t>
              </m:r>
              <m:r>
                <m:t>a</m:t>
              </m:r>
              <m:r>
                <m:t>b</m:t>
              </m:r>
              <m:r>
                <m:t>u</m:t>
              </m:r>
              <m:r>
                <m:t>n</m:t>
              </m:r>
              <m:r>
                <m:t>g</m:t>
              </m:r>
              <m:r>
                <m:t>a</m:t>
              </m:r>
              <m:r>
                <m:t>n</m:t>
              </m:r>
            </m:sub>
          </m:sSub>
          <m:r>
            <m:rPr>
              <m:sty m:val="p"/>
            </m:rPr>
            <m:t>×</m:t>
          </m:r>
          <m:sSub>
            <m:e>
              <m:r>
                <m:t>W</m:t>
              </m:r>
            </m:e>
            <m:sub>
              <m:r>
                <m:t>l</m:t>
              </m:r>
              <m:r>
                <m:t>e</m:t>
              </m:r>
              <m:r>
                <m:t>v</m:t>
              </m:r>
              <m:r>
                <m:t>e</m:t>
              </m:r>
              <m:r>
                <m:t>l</m:t>
              </m:r>
            </m:sub>
          </m:sSub>
          <m:r>
            <m:rPr>
              <m:sty m:val="p"/>
            </m:rPr>
            <m:t>×</m:t>
          </m:r>
          <m:sSub>
            <m:e>
              <m:r>
                <m:t>B</m:t>
              </m:r>
            </m:e>
            <m:sub>
              <m:r>
                <m:t>f</m:t>
              </m:r>
              <m:r>
                <m:t>r</m:t>
              </m:r>
              <m:r>
                <m:t>e</m:t>
              </m:r>
              <m:r>
                <m:t>q</m:t>
              </m:r>
            </m:sub>
          </m:sSub>
        </m:oMath>
      </m:oMathPara>
    </w:p>
    <w:p>
      <w:pPr>
        <w:pStyle w:val="FirstParagraph"/>
      </w:pPr>
      <w:r>
        <w:t xml:space="preserve">Bobot tingkat kompetisi ditentukan berdasarkan nilai heuristik: Internasional (1.00), Nasional (0.85), Provinsi (0.65), Kabupaten/Kota (0.45), tingkat Sekolah (0.25). Bonus frekuensi (</w:t>
      </w:r>
      <m:oMath>
        <m:sSub>
          <m:e>
            <m:r>
              <m:t>B</m:t>
            </m:r>
          </m:e>
          <m:sub>
            <m:r>
              <m:t>f</m:t>
            </m:r>
            <m:r>
              <m:t>r</m:t>
            </m:r>
            <m:r>
              <m:t>e</m:t>
            </m:r>
            <m:r>
              <m:t>q</m:t>
            </m:r>
          </m:sub>
        </m:sSub>
      </m:oMath>
      <w:r>
        <w:t xml:space="preserve">) bernilai antara</w:t>
      </w:r>
      <w:r>
        <w:t xml:space="preserve"> </w:t>
      </w:r>
      <m:oMath>
        <m:r>
          <m:t>1.0</m:t>
        </m:r>
      </m:oMath>
      <w:r>
        <w:t xml:space="preserve"> </w:t>
      </w:r>
      <w:r>
        <w:t xml:space="preserve">hingga</w:t>
      </w:r>
      <w:r>
        <w:t xml:space="preserve"> </w:t>
      </w:r>
      <m:oMath>
        <m:r>
          <m:t>1.2</m:t>
        </m:r>
      </m:oMath>
      <w:r>
        <w:t xml:space="preserve"> </w:t>
      </w:r>
      <w:r>
        <w:t xml:space="preserve">berbasis rumus:</w:t>
      </w:r>
    </w:p>
    <w:p>
      <w:pPr>
        <w:pStyle w:val="BodyText"/>
      </w:pPr>
      <m:oMathPara>
        <m:oMathParaPr>
          <m:jc m:val="center"/>
        </m:oMathParaPr>
        <m:oMath>
          <m:sSub>
            <m:e>
              <m:r>
                <m:t>B</m:t>
              </m:r>
            </m:e>
            <m:sub>
              <m:r>
                <m:t>f</m:t>
              </m:r>
              <m:r>
                <m:t>r</m:t>
              </m:r>
              <m:r>
                <m:t>e</m:t>
              </m:r>
              <m:r>
                <m:t>q</m:t>
              </m:r>
            </m:sub>
          </m:sSub>
          <m:r>
            <m:rPr>
              <m:sty m:val="p"/>
            </m:rPr>
            <m:t>=</m:t>
          </m:r>
          <m:r>
            <m:t>1.0</m:t>
          </m:r>
          <m:r>
            <m:rPr>
              <m:sty m:val="p"/>
            </m:rPr>
            <m:t>+</m:t>
          </m:r>
          <m:r>
            <m:rPr>
              <m:sty m:val="p"/>
            </m:rPr>
            <m:t>min</m:t>
          </m:r>
          <m:r>
            <m:rPr>
              <m:sty m:val="p"/>
            </m:rPr>
            <m:t>(</m:t>
          </m:r>
          <m:r>
            <m:t>0.20</m:t>
          </m:r>
          <m:r>
            <m:rPr>
              <m:sty m:val="p"/>
            </m:rPr>
            <m:t>,</m:t>
          </m:r>
          <m:r>
            <m:t>0.05</m:t>
          </m:r>
          <m:r>
            <m:rPr>
              <m:sty m:val="p"/>
            </m:rPr>
            <m:t>×</m:t>
          </m:r>
          <m:r>
            <m:rPr>
              <m:sty m:val="p"/>
            </m:rPr>
            <m:t>(</m:t>
          </m:r>
          <m:sSub>
            <m:e>
              <m:r>
                <m:t>n</m:t>
              </m:r>
            </m:e>
            <m:sub>
              <m:r>
                <m:t>p</m:t>
              </m:r>
              <m:r>
                <m:t>o</m:t>
              </m:r>
              <m:r>
                <m:t>s</m:t>
              </m:r>
              <m:r>
                <m:t>t</m:t>
              </m:r>
              <m:r>
                <m:t>s</m:t>
              </m:r>
            </m:sub>
          </m:sSub>
          <m:r>
            <m:rPr>
              <m:sty m:val="p"/>
            </m:rPr>
            <m:t>−</m:t>
          </m:r>
          <m:r>
            <m:t>1</m:t>
          </m:r>
          <m:r>
            <m:rPr>
              <m:sty m:val="p"/>
            </m:rPr>
            <m:t>)</m:t>
          </m:r>
          <m:r>
            <m:rPr>
              <m:sty m:val="p"/>
            </m:rPr>
            <m:t>)</m:t>
          </m:r>
        </m:oMath>
      </m:oMathPara>
    </w:p>
    <w:p>
      <w:r>
        <w:pict>
          <v:rect style="width:0;height:1.5pt" o:hralign="center" o:hrstd="t" o:hr="t"/>
        </w:pict>
      </w:r>
    </w:p>
    <w:bookmarkEnd w:id="19"/>
    <w:bookmarkEnd w:id="20"/>
    <w:bookmarkStart w:id="23" w:name="eksperimen-dan-pengujian"/>
    <w:p>
      <w:pPr>
        <w:pStyle w:val="Heading2"/>
      </w:pPr>
      <w:r>
        <w:t xml:space="preserve">4. Eksperimen dan Pengujian</w:t>
      </w:r>
    </w:p>
    <w:bookmarkStart w:id="21" w:name="korpus-data-ground-truth"/>
    <w:p>
      <w:pPr>
        <w:pStyle w:val="Heading3"/>
      </w:pPr>
      <w:r>
        <w:t xml:space="preserve">4.1 Korpus Data &amp; Ground Truth</w:t>
      </w:r>
    </w:p>
    <w:p>
      <w:pPr>
        <w:pStyle w:val="FirstParagraph"/>
      </w:pPr>
      <w:r>
        <w:t xml:space="preserve">Data awal terdiri dari 1.025 postingan Instagram hasil crawling tagar terkait siswa berprestasi (seperti</w:t>
      </w:r>
      <w:r>
        <w:t xml:space="preserve"> </w:t>
      </w:r>
      <w:r>
        <w:rPr>
          <w:rStyle w:val="VerbatimChar"/>
        </w:rPr>
        <w:t xml:space="preserve">#o2sn2026</w:t>
      </w:r>
      <w:r>
        <w:t xml:space="preserve">,</w:t>
      </w:r>
      <w:r>
        <w:t xml:space="preserve"> </w:t>
      </w:r>
      <w:r>
        <w:rPr>
          <w:rStyle w:val="VerbatimChar"/>
        </w:rPr>
        <w:t xml:space="preserve">#fls2n2026</w:t>
      </w:r>
      <w:r>
        <w:t xml:space="preserve">,</w:t>
      </w:r>
      <w:r>
        <w:t xml:space="preserve"> </w:t>
      </w:r>
      <w:r>
        <w:rPr>
          <w:rStyle w:val="VerbatimChar"/>
        </w:rPr>
        <w:t xml:space="preserve">#siswaprestasi</w:t>
      </w:r>
      <w:r>
        <w:t xml:space="preserve">). Setelah proses preprocessing dan pemfilteran dokumen kosong, tersisa 914 record relevan. Modul NER mengekstrak 100 kandidat siswa unik yang memiliki nama valid.</w:t>
      </w:r>
    </w:p>
    <w:p>
      <w:pPr>
        <w:pStyle w:val="BodyText"/>
      </w:pPr>
      <w:r>
        <w:t xml:space="preserve">Untuk melakukan evaluasi kinerja IR secara ilmiah, dibuat dataset</w:t>
      </w:r>
      <w:r>
        <w:t xml:space="preserve"> </w:t>
      </w:r>
      <w:r>
        <w:rPr>
          <w:i/>
          <w:iCs/>
        </w:rPr>
        <w:t xml:space="preserve">ground truth</w:t>
      </w:r>
      <w:r>
        <w:t xml:space="preserve"> </w:t>
      </w:r>
      <w:r>
        <w:t xml:space="preserve">berisi 100 entitas siswa tersebut yang dilabeli secara objektif:</w:t>
      </w:r>
      <w:r>
        <w:t xml:space="preserve"> </w:t>
      </w:r>
      <w:r>
        <w:t xml:space="preserve">-</w:t>
      </w:r>
      <w:r>
        <w:t xml:space="preserve"> </w:t>
      </w:r>
      <w:r>
        <w:rPr>
          <w:b/>
          <w:bCs/>
        </w:rPr>
        <w:t xml:space="preserve">Relevan (Label 1):</w:t>
      </w:r>
      <w:r>
        <w:t xml:space="preserve"> </w:t>
      </w:r>
      <w:r>
        <w:t xml:space="preserve">Siswa terbukti berstatus siswa sekolah menengah (SMA/SMK/MA) dan memiliki prestasi kejuaraan nyata.</w:t>
      </w:r>
      <w:r>
        <w:t xml:space="preserve"> </w:t>
      </w:r>
      <w:r>
        <w:t xml:space="preserve">-</w:t>
      </w:r>
      <w:r>
        <w:t xml:space="preserve"> </w:t>
      </w:r>
      <w:r>
        <w:rPr>
          <w:b/>
          <w:bCs/>
        </w:rPr>
        <w:t xml:space="preserve">Tidak Relevan (Label 0):</w:t>
      </w:r>
      <w:r>
        <w:t xml:space="preserve"> </w:t>
      </w:r>
      <w:r>
        <w:t xml:space="preserve">Merupakan false positive NER (misalnya ekstraksi nama berupa frasa non-nama seperti</w:t>
      </w:r>
      <w:r>
        <w:t xml:space="preserve"> </w:t>
      </w:r>
      <w:r>
        <w:rPr>
          <w:i/>
          <w:iCs/>
        </w:rPr>
        <w:t xml:space="preserve">“dalam menimba ilmu”</w:t>
      </w:r>
      <w:r>
        <w:t xml:space="preserve"> </w:t>
      </w:r>
      <w:r>
        <w:t xml:space="preserve">atau</w:t>
      </w:r>
      <w:r>
        <w:t xml:space="preserve"> </w:t>
      </w:r>
      <w:r>
        <w:rPr>
          <w:i/>
          <w:iCs/>
        </w:rPr>
        <w:t xml:space="preserve">“sobat smansaku”</w:t>
      </w:r>
      <w:r>
        <w:t xml:space="preserve">) ATAU merupakan siswa tingkat SD/SMP/Universitas.</w:t>
      </w:r>
    </w:p>
    <w:p>
      <w:pPr>
        <w:pStyle w:val="BodyText"/>
      </w:pPr>
      <w:r>
        <w:t xml:space="preserve">Dari 100 entitas terdaftar, diperoleh</w:t>
      </w:r>
      <w:r>
        <w:t xml:space="preserve"> </w:t>
      </w:r>
      <w:r>
        <w:rPr>
          <w:b/>
          <w:bCs/>
        </w:rPr>
        <w:t xml:space="preserve">74 entitas Relevan (74.0%)</w:t>
      </w:r>
      <w:r>
        <w:t xml:space="preserve"> </w:t>
      </w:r>
      <w:r>
        <w:t xml:space="preserve">dan</w:t>
      </w:r>
      <w:r>
        <w:t xml:space="preserve"> </w:t>
      </w:r>
      <w:r>
        <w:rPr>
          <w:b/>
          <w:bCs/>
        </w:rPr>
        <w:t xml:space="preserve">26 entitas Tidak Relevan (26.0%)</w:t>
      </w:r>
      <w:r>
        <w:t xml:space="preserve">.</w:t>
      </w:r>
    </w:p>
    <w:bookmarkEnd w:id="21"/>
    <w:bookmarkStart w:id="22" w:name="metrik-evaluasi"/>
    <w:p>
      <w:pPr>
        <w:pStyle w:val="Heading3"/>
      </w:pPr>
      <w:r>
        <w:t xml:space="preserve">4.2 Metrik Evaluasi</w:t>
      </w:r>
    </w:p>
    <w:p>
      <w:pPr>
        <w:pStyle w:val="FirstParagraph"/>
      </w:pPr>
      <w:r>
        <w:t xml:space="preserve">Kinerja pemeringkatan sistem diuji menggunakan metrik:</w:t>
      </w:r>
      <w:r>
        <w:t xml:space="preserve"> </w:t>
      </w:r>
      <w:r>
        <w:t xml:space="preserve">1.</w:t>
      </w:r>
      <w:r>
        <w:t xml:space="preserve"> </w:t>
      </w:r>
      <w:r>
        <w:rPr>
          <w:b/>
          <w:bCs/>
        </w:rPr>
        <w:t xml:space="preserve">Precision@K (P@K):</w:t>
      </w:r>
      <w:r>
        <w:t xml:space="preserve"> </w:t>
      </w:r>
      <w:r>
        <w:t xml:space="preserve">Proporsi dokumen relevan di antara top K peringkat teratas.</w:t>
      </w:r>
      <w:r>
        <w:t xml:space="preserve"> </w:t>
      </w:r>
      <w:r>
        <w:t xml:space="preserve">2.</w:t>
      </w:r>
      <w:r>
        <w:t xml:space="preserve"> </w:t>
      </w:r>
      <w:r>
        <w:rPr>
          <w:b/>
          <w:bCs/>
        </w:rPr>
        <w:t xml:space="preserve">Recall@K (R@K):</w:t>
      </w:r>
      <w:r>
        <w:t xml:space="preserve"> </w:t>
      </w:r>
      <w:r>
        <w:t xml:space="preserve">Rasio dokumen relevan yang berhasil ditemukan di top K dibandingkan total dokumen relevan di ground truth.</w:t>
      </w:r>
      <w:r>
        <w:t xml:space="preserve"> </w:t>
      </w:r>
      <w:r>
        <w:t xml:space="preserve">3.</w:t>
      </w:r>
      <w:r>
        <w:t xml:space="preserve"> </w:t>
      </w:r>
      <w:r>
        <w:rPr>
          <w:b/>
          <w:bCs/>
        </w:rPr>
        <w:t xml:space="preserve">F1-Score@K:</w:t>
      </w:r>
      <w:r>
        <w:t xml:space="preserve"> </w:t>
      </w:r>
      <w:r>
        <w:t xml:space="preserve">Harmonic mean dari Precision@K dan Recall@K.</w:t>
      </w:r>
      <w:r>
        <w:t xml:space="preserve"> </w:t>
      </w:r>
      <w:r>
        <w:t xml:space="preserve">4.</w:t>
      </w:r>
      <w:r>
        <w:t xml:space="preserve"> </w:t>
      </w:r>
      <w:r>
        <w:rPr>
          <w:b/>
          <w:bCs/>
        </w:rPr>
        <w:t xml:space="preserve">Mean Average Precision (MAP):</w:t>
      </w:r>
      <w:r>
        <w:t xml:space="preserve"> </w:t>
      </w:r>
      <w:r>
        <w:t xml:space="preserve">Rata-rata presisi di setiap titik dokumen relevan ditemukan.</w:t>
      </w:r>
      <w:r>
        <w:t xml:space="preserve"> </w:t>
      </w:r>
      <w:r>
        <w:t xml:space="preserve">5.</w:t>
      </w:r>
      <w:r>
        <w:t xml:space="preserve"> </w:t>
      </w:r>
      <w:r>
        <w:rPr>
          <w:b/>
          <w:bCs/>
        </w:rPr>
        <w:t xml:space="preserve">Normalized Discounted Cumulative Gain (NDCG@K):</w:t>
      </w:r>
      <w:r>
        <w:t xml:space="preserve"> </w:t>
      </w:r>
      <w:r>
        <w:t xml:space="preserve">Metrik yang memperhitungkan posisi peringkat dokumen relevan di top K, memberikan bobot lebih tinggi pada dokumen relevan di peringkat teratas.</w:t>
      </w:r>
    </w:p>
    <w:p>
      <w:r>
        <w:pict>
          <v:rect style="width:0;height:1.5pt" o:hralign="center" o:hrstd="t" o:hr="t"/>
        </w:pict>
      </w:r>
    </w:p>
    <w:bookmarkEnd w:id="22"/>
    <w:bookmarkEnd w:id="23"/>
    <w:bookmarkStart w:id="27" w:name="hasil-dan-pembahasan"/>
    <w:p>
      <w:pPr>
        <w:pStyle w:val="Heading2"/>
      </w:pPr>
      <w:r>
        <w:t xml:space="preserve">5. Hasil dan Pembahasan</w:t>
      </w:r>
    </w:p>
    <w:bookmarkStart w:id="24" w:name="Xa2412f6078b240020a5759fb6105bafccd063e9"/>
    <w:p>
      <w:pPr>
        <w:pStyle w:val="Heading3"/>
      </w:pPr>
      <w:r>
        <w:t xml:space="preserve">5.1 Kinerja Temu Kembali Informasi (Retrieval Performance)</w:t>
      </w:r>
    </w:p>
    <w:p>
      <w:pPr>
        <w:pStyle w:val="FirstParagraph"/>
      </w:pPr>
      <w:r>
        <w:t xml:space="preserve">Tabel 1 merangkum hasil perbandingan metrik evaluasi IR antara Baseline (TF-IDF + BM25) dan LLM Embeddings (MiniLM).</w:t>
      </w:r>
    </w:p>
    <w:p>
      <w:pPr>
        <w:pStyle w:val="BodyText"/>
      </w:pPr>
      <w:r>
        <w:rPr>
          <w:b/>
          <w:bCs/>
        </w:rPr>
        <w:t xml:space="preserve">Tabel 1: Perbandingan Metrik Evaluasi Retrieval</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Metrik</w:t>
            </w:r>
          </w:p>
        </w:tc>
        <w:tc>
          <w:tcPr/>
          <w:p>
            <w:pPr>
              <w:pStyle w:val="Compact"/>
              <w:jc w:val="center"/>
            </w:pPr>
            <w:r>
              <w:t xml:space="preserve">Baseline (TF-IDF + BM25)</w:t>
            </w:r>
          </w:p>
        </w:tc>
        <w:tc>
          <w:tcPr/>
          <w:p>
            <w:pPr>
              <w:pStyle w:val="Compact"/>
              <w:jc w:val="center"/>
            </w:pPr>
            <w:r>
              <w:t xml:space="preserve">LLM Pretrained (MiniLM)</w:t>
            </w:r>
          </w:p>
        </w:tc>
        <w:tc>
          <w:tcPr/>
          <w:p>
            <w:pPr>
              <w:pStyle w:val="Compact"/>
              <w:jc w:val="center"/>
            </w:pPr>
            <w:r>
              <w:t xml:space="preserve">Perbedaan</w:t>
            </w:r>
          </w:p>
        </w:tc>
      </w:tr>
      <w:tr>
        <w:tc>
          <w:tcPr/>
          <w:p>
            <w:pPr>
              <w:pStyle w:val="Compact"/>
              <w:jc w:val="left"/>
            </w:pPr>
            <w:r>
              <w:rPr>
                <w:b/>
                <w:bCs/>
              </w:rPr>
              <w:t xml:space="preserve">Precision@5</w:t>
            </w:r>
          </w:p>
        </w:tc>
        <w:tc>
          <w:tcPr/>
          <w:p>
            <w:pPr>
              <w:pStyle w:val="Compact"/>
              <w:jc w:val="center"/>
            </w:pPr>
            <w:r>
              <w:rPr>
                <w:b/>
                <w:bCs/>
              </w:rPr>
              <w:t xml:space="preserve">1.0000</w:t>
            </w:r>
          </w:p>
        </w:tc>
        <w:tc>
          <w:tcPr/>
          <w:p>
            <w:pPr>
              <w:pStyle w:val="Compact"/>
              <w:jc w:val="center"/>
            </w:pPr>
            <w:r>
              <w:t xml:space="preserve">0.8000</w:t>
            </w:r>
          </w:p>
        </w:tc>
        <w:tc>
          <w:tcPr/>
          <w:p>
            <w:pPr>
              <w:pStyle w:val="Compact"/>
              <w:jc w:val="center"/>
            </w:pPr>
            <w:r>
              <w:t xml:space="preserve">-0.2000</w:t>
            </w:r>
          </w:p>
        </w:tc>
      </w:tr>
      <w:tr>
        <w:tc>
          <w:tcPr/>
          <w:p>
            <w:pPr>
              <w:pStyle w:val="Compact"/>
              <w:jc w:val="left"/>
            </w:pPr>
            <w:r>
              <w:rPr>
                <w:b/>
                <w:bCs/>
              </w:rPr>
              <w:t xml:space="preserve">Precision@10</w:t>
            </w:r>
          </w:p>
        </w:tc>
        <w:tc>
          <w:tcPr/>
          <w:p>
            <w:pPr>
              <w:pStyle w:val="Compact"/>
              <w:jc w:val="center"/>
            </w:pPr>
            <w:r>
              <w:t xml:space="preserve">0.7000</w:t>
            </w:r>
          </w:p>
        </w:tc>
        <w:tc>
          <w:tcPr/>
          <w:p>
            <w:pPr>
              <w:pStyle w:val="Compact"/>
              <w:jc w:val="center"/>
            </w:pPr>
            <w:r>
              <w:rPr>
                <w:b/>
                <w:bCs/>
              </w:rPr>
              <w:t xml:space="preserve">0.8000</w:t>
            </w:r>
          </w:p>
        </w:tc>
        <w:tc>
          <w:tcPr/>
          <w:p>
            <w:pPr>
              <w:pStyle w:val="Compact"/>
              <w:jc w:val="center"/>
            </w:pPr>
            <w:r>
              <w:rPr>
                <w:b/>
                <w:bCs/>
              </w:rPr>
              <w:t xml:space="preserve">+0.1000</w:t>
            </w:r>
          </w:p>
        </w:tc>
      </w:tr>
      <w:tr>
        <w:tc>
          <w:tcPr/>
          <w:p>
            <w:pPr>
              <w:pStyle w:val="Compact"/>
              <w:jc w:val="left"/>
            </w:pPr>
            <w:r>
              <w:rPr>
                <w:b/>
                <w:bCs/>
              </w:rPr>
              <w:t xml:space="preserve">Precision@20</w:t>
            </w:r>
          </w:p>
        </w:tc>
        <w:tc>
          <w:tcPr/>
          <w:p>
            <w:pPr>
              <w:pStyle w:val="Compact"/>
              <w:jc w:val="center"/>
            </w:pPr>
            <w:r>
              <w:t xml:space="preserve">0.7500</w:t>
            </w:r>
          </w:p>
        </w:tc>
        <w:tc>
          <w:tcPr/>
          <w:p>
            <w:pPr>
              <w:pStyle w:val="Compact"/>
              <w:jc w:val="center"/>
            </w:pPr>
            <w:r>
              <w:rPr>
                <w:b/>
                <w:bCs/>
              </w:rPr>
              <w:t xml:space="preserve">0.8000</w:t>
            </w:r>
          </w:p>
        </w:tc>
        <w:tc>
          <w:tcPr/>
          <w:p>
            <w:pPr>
              <w:pStyle w:val="Compact"/>
              <w:jc w:val="center"/>
            </w:pPr>
            <w:r>
              <w:rPr>
                <w:b/>
                <w:bCs/>
              </w:rPr>
              <w:t xml:space="preserve">+0.0500</w:t>
            </w:r>
          </w:p>
        </w:tc>
      </w:tr>
      <w:tr>
        <w:tc>
          <w:tcPr/>
          <w:p>
            <w:pPr>
              <w:pStyle w:val="Compact"/>
              <w:jc w:val="left"/>
            </w:pPr>
            <w:r>
              <w:rPr>
                <w:b/>
                <w:bCs/>
              </w:rPr>
              <w:t xml:space="preserve">Precision@50</w:t>
            </w:r>
          </w:p>
        </w:tc>
        <w:tc>
          <w:tcPr/>
          <w:p>
            <w:pPr>
              <w:pStyle w:val="Compact"/>
              <w:jc w:val="center"/>
            </w:pPr>
            <w:r>
              <w:t xml:space="preserve">0.7400</w:t>
            </w:r>
          </w:p>
        </w:tc>
        <w:tc>
          <w:tcPr/>
          <w:p>
            <w:pPr>
              <w:pStyle w:val="Compact"/>
              <w:jc w:val="center"/>
            </w:pPr>
            <w:r>
              <w:rPr>
                <w:b/>
                <w:bCs/>
              </w:rPr>
              <w:t xml:space="preserve">0.8000</w:t>
            </w:r>
          </w:p>
        </w:tc>
        <w:tc>
          <w:tcPr/>
          <w:p>
            <w:pPr>
              <w:pStyle w:val="Compact"/>
              <w:jc w:val="center"/>
            </w:pPr>
            <w:r>
              <w:rPr>
                <w:b/>
                <w:bCs/>
              </w:rPr>
              <w:t xml:space="preserve">+0.0600</w:t>
            </w:r>
          </w:p>
        </w:tc>
      </w:tr>
      <w:tr>
        <w:tc>
          <w:tcPr/>
          <w:p>
            <w:pPr>
              <w:pStyle w:val="Compact"/>
              <w:jc w:val="left"/>
            </w:pPr>
            <w:r>
              <w:rPr>
                <w:b/>
                <w:bCs/>
              </w:rPr>
              <w:t xml:space="preserve">Recall@5</w:t>
            </w:r>
          </w:p>
        </w:tc>
        <w:tc>
          <w:tcPr/>
          <w:p>
            <w:pPr>
              <w:pStyle w:val="Compact"/>
              <w:jc w:val="center"/>
            </w:pPr>
            <w:r>
              <w:rPr>
                <w:b/>
                <w:bCs/>
              </w:rPr>
              <w:t xml:space="preserve">0.0676</w:t>
            </w:r>
          </w:p>
        </w:tc>
        <w:tc>
          <w:tcPr/>
          <w:p>
            <w:pPr>
              <w:pStyle w:val="Compact"/>
              <w:jc w:val="center"/>
            </w:pPr>
            <w:r>
              <w:t xml:space="preserve">0.0541</w:t>
            </w:r>
          </w:p>
        </w:tc>
        <w:tc>
          <w:tcPr/>
          <w:p>
            <w:pPr>
              <w:pStyle w:val="Compact"/>
              <w:jc w:val="center"/>
            </w:pPr>
            <w:r>
              <w:t xml:space="preserve">-0.0135</w:t>
            </w:r>
          </w:p>
        </w:tc>
      </w:tr>
      <w:tr>
        <w:tc>
          <w:tcPr/>
          <w:p>
            <w:pPr>
              <w:pStyle w:val="Compact"/>
              <w:jc w:val="left"/>
            </w:pPr>
            <w:r>
              <w:rPr>
                <w:b/>
                <w:bCs/>
              </w:rPr>
              <w:t xml:space="preserve">Recall@10</w:t>
            </w:r>
          </w:p>
        </w:tc>
        <w:tc>
          <w:tcPr/>
          <w:p>
            <w:pPr>
              <w:pStyle w:val="Compact"/>
              <w:jc w:val="center"/>
            </w:pPr>
            <w:r>
              <w:t xml:space="preserve">0.0946</w:t>
            </w:r>
          </w:p>
        </w:tc>
        <w:tc>
          <w:tcPr/>
          <w:p>
            <w:pPr>
              <w:pStyle w:val="Compact"/>
              <w:jc w:val="center"/>
            </w:pPr>
            <w:r>
              <w:rPr>
                <w:b/>
                <w:bCs/>
              </w:rPr>
              <w:t xml:space="preserve">0.1081</w:t>
            </w:r>
          </w:p>
        </w:tc>
        <w:tc>
          <w:tcPr/>
          <w:p>
            <w:pPr>
              <w:pStyle w:val="Compact"/>
              <w:jc w:val="center"/>
            </w:pPr>
            <w:r>
              <w:rPr>
                <w:b/>
                <w:bCs/>
              </w:rPr>
              <w:t xml:space="preserve">+0.0135</w:t>
            </w:r>
          </w:p>
        </w:tc>
      </w:tr>
      <w:tr>
        <w:tc>
          <w:tcPr/>
          <w:p>
            <w:pPr>
              <w:pStyle w:val="Compact"/>
              <w:jc w:val="left"/>
            </w:pPr>
            <w:r>
              <w:rPr>
                <w:b/>
                <w:bCs/>
              </w:rPr>
              <w:t xml:space="preserve">Recall@20</w:t>
            </w:r>
          </w:p>
        </w:tc>
        <w:tc>
          <w:tcPr/>
          <w:p>
            <w:pPr>
              <w:pStyle w:val="Compact"/>
              <w:jc w:val="center"/>
            </w:pPr>
            <w:r>
              <w:t xml:space="preserve">0.2027</w:t>
            </w:r>
          </w:p>
        </w:tc>
        <w:tc>
          <w:tcPr/>
          <w:p>
            <w:pPr>
              <w:pStyle w:val="Compact"/>
              <w:jc w:val="center"/>
            </w:pPr>
            <w:r>
              <w:rPr>
                <w:b/>
                <w:bCs/>
              </w:rPr>
              <w:t xml:space="preserve">0.2162</w:t>
            </w:r>
          </w:p>
        </w:tc>
        <w:tc>
          <w:tcPr/>
          <w:p>
            <w:pPr>
              <w:pStyle w:val="Compact"/>
              <w:jc w:val="center"/>
            </w:pPr>
            <w:r>
              <w:rPr>
                <w:b/>
                <w:bCs/>
              </w:rPr>
              <w:t xml:space="preserve">+0.0135</w:t>
            </w:r>
          </w:p>
        </w:tc>
      </w:tr>
      <w:tr>
        <w:tc>
          <w:tcPr/>
          <w:p>
            <w:pPr>
              <w:pStyle w:val="Compact"/>
              <w:jc w:val="left"/>
            </w:pPr>
            <w:r>
              <w:rPr>
                <w:b/>
                <w:bCs/>
              </w:rPr>
              <w:t xml:space="preserve">Recall@50</w:t>
            </w:r>
          </w:p>
        </w:tc>
        <w:tc>
          <w:tcPr/>
          <w:p>
            <w:pPr>
              <w:pStyle w:val="Compact"/>
              <w:jc w:val="center"/>
            </w:pPr>
            <w:r>
              <w:t xml:space="preserve">0.5000</w:t>
            </w:r>
          </w:p>
        </w:tc>
        <w:tc>
          <w:tcPr/>
          <w:p>
            <w:pPr>
              <w:pStyle w:val="Compact"/>
              <w:jc w:val="center"/>
            </w:pPr>
            <w:r>
              <w:rPr>
                <w:b/>
                <w:bCs/>
              </w:rPr>
              <w:t xml:space="preserve">0.5405</w:t>
            </w:r>
          </w:p>
        </w:tc>
        <w:tc>
          <w:tcPr/>
          <w:p>
            <w:pPr>
              <w:pStyle w:val="Compact"/>
              <w:jc w:val="center"/>
            </w:pPr>
            <w:r>
              <w:rPr>
                <w:b/>
                <w:bCs/>
              </w:rPr>
              <w:t xml:space="preserve">+0.0405</w:t>
            </w:r>
          </w:p>
        </w:tc>
      </w:tr>
      <w:tr>
        <w:tc>
          <w:tcPr/>
          <w:p>
            <w:pPr>
              <w:pStyle w:val="Compact"/>
              <w:jc w:val="left"/>
            </w:pPr>
            <w:r>
              <w:rPr>
                <w:b/>
                <w:bCs/>
              </w:rPr>
              <w:t xml:space="preserve">F1@5</w:t>
            </w:r>
          </w:p>
        </w:tc>
        <w:tc>
          <w:tcPr/>
          <w:p>
            <w:pPr>
              <w:pStyle w:val="Compact"/>
              <w:jc w:val="center"/>
            </w:pPr>
            <w:r>
              <w:rPr>
                <w:b/>
                <w:bCs/>
              </w:rPr>
              <w:t xml:space="preserve">0.1266</w:t>
            </w:r>
          </w:p>
        </w:tc>
        <w:tc>
          <w:tcPr/>
          <w:p>
            <w:pPr>
              <w:pStyle w:val="Compact"/>
              <w:jc w:val="center"/>
            </w:pPr>
            <w:r>
              <w:t xml:space="preserve">0.1013</w:t>
            </w:r>
          </w:p>
        </w:tc>
        <w:tc>
          <w:tcPr/>
          <w:p>
            <w:pPr>
              <w:pStyle w:val="Compact"/>
              <w:jc w:val="center"/>
            </w:pPr>
            <w:r>
              <w:t xml:space="preserve">-0.0253</w:t>
            </w:r>
          </w:p>
        </w:tc>
      </w:tr>
      <w:tr>
        <w:tc>
          <w:tcPr/>
          <w:p>
            <w:pPr>
              <w:pStyle w:val="Compact"/>
              <w:jc w:val="left"/>
            </w:pPr>
            <w:r>
              <w:rPr>
                <w:b/>
                <w:bCs/>
              </w:rPr>
              <w:t xml:space="preserve">F1@10</w:t>
            </w:r>
          </w:p>
        </w:tc>
        <w:tc>
          <w:tcPr/>
          <w:p>
            <w:pPr>
              <w:pStyle w:val="Compact"/>
              <w:jc w:val="center"/>
            </w:pPr>
            <w:r>
              <w:t xml:space="preserve">0.1667</w:t>
            </w:r>
          </w:p>
        </w:tc>
        <w:tc>
          <w:tcPr/>
          <w:p>
            <w:pPr>
              <w:pStyle w:val="Compact"/>
              <w:jc w:val="center"/>
            </w:pPr>
            <w:r>
              <w:rPr>
                <w:b/>
                <w:bCs/>
              </w:rPr>
              <w:t xml:space="preserve">0.1905</w:t>
            </w:r>
          </w:p>
        </w:tc>
        <w:tc>
          <w:tcPr/>
          <w:p>
            <w:pPr>
              <w:pStyle w:val="Compact"/>
              <w:jc w:val="center"/>
            </w:pPr>
            <w:r>
              <w:rPr>
                <w:b/>
                <w:bCs/>
              </w:rPr>
              <w:t xml:space="preserve">+0.0238</w:t>
            </w:r>
          </w:p>
        </w:tc>
      </w:tr>
      <w:tr>
        <w:tc>
          <w:tcPr/>
          <w:p>
            <w:pPr>
              <w:pStyle w:val="Compact"/>
              <w:jc w:val="left"/>
            </w:pPr>
            <w:r>
              <w:rPr>
                <w:b/>
                <w:bCs/>
              </w:rPr>
              <w:t xml:space="preserve">F1@20</w:t>
            </w:r>
          </w:p>
        </w:tc>
        <w:tc>
          <w:tcPr/>
          <w:p>
            <w:pPr>
              <w:pStyle w:val="Compact"/>
              <w:jc w:val="center"/>
            </w:pPr>
            <w:r>
              <w:t xml:space="preserve">0.3191</w:t>
            </w:r>
          </w:p>
        </w:tc>
        <w:tc>
          <w:tcPr/>
          <w:p>
            <w:pPr>
              <w:pStyle w:val="Compact"/>
              <w:jc w:val="center"/>
            </w:pPr>
            <w:r>
              <w:rPr>
                <w:b/>
                <w:bCs/>
              </w:rPr>
              <w:t xml:space="preserve">0.3404</w:t>
            </w:r>
          </w:p>
        </w:tc>
        <w:tc>
          <w:tcPr/>
          <w:p>
            <w:pPr>
              <w:pStyle w:val="Compact"/>
              <w:jc w:val="center"/>
            </w:pPr>
            <w:r>
              <w:rPr>
                <w:b/>
                <w:bCs/>
              </w:rPr>
              <w:t xml:space="preserve">+0.0213</w:t>
            </w:r>
          </w:p>
        </w:tc>
      </w:tr>
      <w:tr>
        <w:tc>
          <w:tcPr/>
          <w:p>
            <w:pPr>
              <w:pStyle w:val="Compact"/>
              <w:jc w:val="left"/>
            </w:pPr>
            <w:r>
              <w:rPr>
                <w:b/>
                <w:bCs/>
              </w:rPr>
              <w:t xml:space="preserve">F1@50</w:t>
            </w:r>
          </w:p>
        </w:tc>
        <w:tc>
          <w:tcPr/>
          <w:p>
            <w:pPr>
              <w:pStyle w:val="Compact"/>
              <w:jc w:val="center"/>
            </w:pPr>
            <w:r>
              <w:t xml:space="preserve">0.5968</w:t>
            </w:r>
          </w:p>
        </w:tc>
        <w:tc>
          <w:tcPr/>
          <w:p>
            <w:pPr>
              <w:pStyle w:val="Compact"/>
              <w:jc w:val="center"/>
            </w:pPr>
            <w:r>
              <w:rPr>
                <w:b/>
                <w:bCs/>
              </w:rPr>
              <w:t xml:space="preserve">0.6452</w:t>
            </w:r>
          </w:p>
        </w:tc>
        <w:tc>
          <w:tcPr/>
          <w:p>
            <w:pPr>
              <w:pStyle w:val="Compact"/>
              <w:jc w:val="center"/>
            </w:pPr>
            <w:r>
              <w:rPr>
                <w:b/>
                <w:bCs/>
              </w:rPr>
              <w:t xml:space="preserve">+0.0484</w:t>
            </w:r>
          </w:p>
        </w:tc>
      </w:tr>
      <w:tr>
        <w:tc>
          <w:tcPr/>
          <w:p>
            <w:pPr>
              <w:pStyle w:val="Compact"/>
              <w:jc w:val="left"/>
            </w:pPr>
            <w:r>
              <w:rPr>
                <w:b/>
                <w:bCs/>
              </w:rPr>
              <w:t xml:space="preserve">NDCG@5</w:t>
            </w:r>
          </w:p>
        </w:tc>
        <w:tc>
          <w:tcPr/>
          <w:p>
            <w:pPr>
              <w:pStyle w:val="Compact"/>
              <w:jc w:val="center"/>
            </w:pPr>
            <w:r>
              <w:rPr>
                <w:b/>
                <w:bCs/>
              </w:rPr>
              <w:t xml:space="preserve">1.0000</w:t>
            </w:r>
          </w:p>
        </w:tc>
        <w:tc>
          <w:tcPr/>
          <w:p>
            <w:pPr>
              <w:pStyle w:val="Compact"/>
              <w:jc w:val="center"/>
            </w:pPr>
            <w:r>
              <w:t xml:space="preserve">0.6608</w:t>
            </w:r>
          </w:p>
        </w:tc>
        <w:tc>
          <w:tcPr/>
          <w:p>
            <w:pPr>
              <w:pStyle w:val="Compact"/>
              <w:jc w:val="center"/>
            </w:pPr>
            <w:r>
              <w:t xml:space="preserve">-0.3392</w:t>
            </w:r>
          </w:p>
        </w:tc>
      </w:tr>
      <w:tr>
        <w:tc>
          <w:tcPr/>
          <w:p>
            <w:pPr>
              <w:pStyle w:val="Compact"/>
              <w:jc w:val="left"/>
            </w:pPr>
            <w:r>
              <w:rPr>
                <w:b/>
                <w:bCs/>
              </w:rPr>
              <w:t xml:space="preserve">NDCG@10</w:t>
            </w:r>
          </w:p>
        </w:tc>
        <w:tc>
          <w:tcPr/>
          <w:p>
            <w:pPr>
              <w:pStyle w:val="Compact"/>
              <w:jc w:val="center"/>
            </w:pPr>
            <w:r>
              <w:rPr>
                <w:b/>
                <w:bCs/>
              </w:rPr>
              <w:t xml:space="preserve">0.7788</w:t>
            </w:r>
          </w:p>
        </w:tc>
        <w:tc>
          <w:tcPr/>
          <w:p>
            <w:pPr>
              <w:pStyle w:val="Compact"/>
              <w:jc w:val="center"/>
            </w:pPr>
            <w:r>
              <w:t xml:space="preserve">0.7065</w:t>
            </w:r>
          </w:p>
        </w:tc>
        <w:tc>
          <w:tcPr/>
          <w:p>
            <w:pPr>
              <w:pStyle w:val="Compact"/>
              <w:jc w:val="center"/>
            </w:pPr>
            <w:r>
              <w:t xml:space="preserve">-0.0723</w:t>
            </w:r>
          </w:p>
        </w:tc>
      </w:tr>
      <w:tr>
        <w:tc>
          <w:tcPr/>
          <w:p>
            <w:pPr>
              <w:pStyle w:val="Compact"/>
              <w:jc w:val="left"/>
            </w:pPr>
            <w:r>
              <w:rPr>
                <w:b/>
                <w:bCs/>
              </w:rPr>
              <w:t xml:space="preserve">NDCG@20</w:t>
            </w:r>
          </w:p>
        </w:tc>
        <w:tc>
          <w:tcPr/>
          <w:p>
            <w:pPr>
              <w:pStyle w:val="Compact"/>
              <w:jc w:val="center"/>
            </w:pPr>
            <w:r>
              <w:rPr>
                <w:b/>
                <w:bCs/>
              </w:rPr>
              <w:t xml:space="preserve">0.7877</w:t>
            </w:r>
          </w:p>
        </w:tc>
        <w:tc>
          <w:tcPr/>
          <w:p>
            <w:pPr>
              <w:pStyle w:val="Compact"/>
              <w:jc w:val="center"/>
            </w:pPr>
            <w:r>
              <w:t xml:space="preserve">0.7422</w:t>
            </w:r>
          </w:p>
        </w:tc>
        <w:tc>
          <w:tcPr/>
          <w:p>
            <w:pPr>
              <w:pStyle w:val="Compact"/>
              <w:jc w:val="center"/>
            </w:pPr>
            <w:r>
              <w:t xml:space="preserve">-0.0455</w:t>
            </w:r>
          </w:p>
        </w:tc>
      </w:tr>
      <w:tr>
        <w:tc>
          <w:tcPr/>
          <w:p>
            <w:pPr>
              <w:pStyle w:val="Compact"/>
              <w:jc w:val="left"/>
            </w:pPr>
            <w:r>
              <w:rPr>
                <w:b/>
                <w:bCs/>
              </w:rPr>
              <w:t xml:space="preserve">NDCG@50</w:t>
            </w:r>
          </w:p>
        </w:tc>
        <w:tc>
          <w:tcPr/>
          <w:p>
            <w:pPr>
              <w:pStyle w:val="Compact"/>
              <w:jc w:val="center"/>
            </w:pPr>
            <w:r>
              <w:t xml:space="preserve">0.7630</w:t>
            </w:r>
          </w:p>
        </w:tc>
        <w:tc>
          <w:tcPr/>
          <w:p>
            <w:pPr>
              <w:pStyle w:val="Compact"/>
              <w:jc w:val="center"/>
            </w:pPr>
            <w:r>
              <w:rPr>
                <w:b/>
                <w:bCs/>
              </w:rPr>
              <w:t xml:space="preserve">0.7645</w:t>
            </w:r>
          </w:p>
        </w:tc>
        <w:tc>
          <w:tcPr/>
          <w:p>
            <w:pPr>
              <w:pStyle w:val="Compact"/>
              <w:jc w:val="center"/>
            </w:pPr>
            <w:r>
              <w:rPr>
                <w:b/>
                <w:bCs/>
              </w:rPr>
              <w:t xml:space="preserve">+0.0015</w:t>
            </w:r>
          </w:p>
        </w:tc>
      </w:tr>
      <w:tr>
        <w:tc>
          <w:tcPr/>
          <w:p>
            <w:pPr>
              <w:pStyle w:val="Compact"/>
              <w:jc w:val="left"/>
            </w:pPr>
            <w:r>
              <w:rPr>
                <w:b/>
                <w:bCs/>
              </w:rPr>
              <w:t xml:space="preserve">MAP</w:t>
            </w:r>
          </w:p>
        </w:tc>
        <w:tc>
          <w:tcPr/>
          <w:p>
            <w:pPr>
              <w:pStyle w:val="Compact"/>
              <w:jc w:val="center"/>
            </w:pPr>
            <w:r>
              <w:t xml:space="preserve">0.7653</w:t>
            </w:r>
          </w:p>
        </w:tc>
        <w:tc>
          <w:tcPr/>
          <w:p>
            <w:pPr>
              <w:pStyle w:val="Compact"/>
              <w:jc w:val="center"/>
            </w:pPr>
            <w:r>
              <w:rPr>
                <w:b/>
                <w:bCs/>
              </w:rPr>
              <w:t xml:space="preserve">0.7729</w:t>
            </w:r>
          </w:p>
        </w:tc>
        <w:tc>
          <w:tcPr/>
          <w:p>
            <w:pPr>
              <w:pStyle w:val="Compact"/>
              <w:jc w:val="center"/>
            </w:pPr>
            <w:r>
              <w:rPr>
                <w:b/>
                <w:bCs/>
              </w:rPr>
              <w:t xml:space="preserve">+0.0076</w:t>
            </w:r>
          </w:p>
        </w:tc>
      </w:tr>
    </w:tbl>
    <w:p>
      <w:pPr>
        <w:pStyle w:val="BodyText"/>
      </w:pPr>
      <w:r>
        <w:t xml:space="preserve">Analisis Tabel 1 menunjukkan dinamika yang menarik:</w:t>
      </w:r>
      <w:r>
        <w:t xml:space="preserve"> </w:t>
      </w:r>
      <w:r>
        <w:t xml:space="preserve">-</w:t>
      </w:r>
      <w:r>
        <w:t xml:space="preserve"> </w:t>
      </w:r>
      <w:r>
        <w:rPr>
          <w:b/>
          <w:bCs/>
        </w:rPr>
        <w:t xml:space="preserve">Kinerja pada peringkat sangat sempit (K=5):</w:t>
      </w:r>
      <w:r>
        <w:t xml:space="preserve"> </w:t>
      </w:r>
      <w:r>
        <w:t xml:space="preserve">Baseline TF-IDF + BM25 mencapai presisi sempurna (1.0000) dan NDCG@5 (1.0000). Hal ini disebabkan karena kueri leksikal secara presisi langsung mengangkat postingan yang memuat kata kunci eksak spesifik berbobot tinggi (seperti</w:t>
      </w:r>
      <w:r>
        <w:t xml:space="preserve"> </w:t>
      </w:r>
      <w:r>
        <w:rPr>
          <w:i/>
          <w:iCs/>
        </w:rPr>
        <w:t xml:space="preserve">“olimpiade sains nasional”</w:t>
      </w:r>
      <w:r>
        <w:t xml:space="preserve">,</w:t>
      </w:r>
      <w:r>
        <w:t xml:space="preserve"> </w:t>
      </w:r>
      <w:r>
        <w:rPr>
          <w:i/>
          <w:iCs/>
        </w:rPr>
        <w:t xml:space="preserve">“medali perak”</w:t>
      </w:r>
      <w:r>
        <w:t xml:space="preserve">,</w:t>
      </w:r>
      <w:r>
        <w:t xml:space="preserve"> </w:t>
      </w:r>
      <w:r>
        <w:rPr>
          <w:i/>
          <w:iCs/>
        </w:rPr>
        <w:t xml:space="preserve">“siswa berprestasi”</w:t>
      </w:r>
      <w:r>
        <w:t xml:space="preserve">) ke urutan teratas. Sementara LLM menempatkan dokumen noise leksikal (</w:t>
      </w:r>
      <w:r>
        <w:t xml:space="preserve">“dalam menimba ilmu”</w:t>
      </w:r>
      <w:r>
        <w:t xml:space="preserve">) pada peringkat teratas karena kedekatan semantik umum terhadap konsep akademik.</w:t>
      </w:r>
      <w:r>
        <w:t xml:space="preserve"> </w:t>
      </w:r>
      <w:r>
        <w:t xml:space="preserve">-</w:t>
      </w:r>
      <w:r>
        <w:t xml:space="preserve"> </w:t>
      </w:r>
      <w:r>
        <w:rPr>
          <w:b/>
          <w:bCs/>
        </w:rPr>
        <w:t xml:space="preserve">Kinerja pada peringkat menengah hingga luas (K=10 s.d. K=50):</w:t>
      </w:r>
      <w:r>
        <w:t xml:space="preserve"> </w:t>
      </w:r>
      <w:r>
        <w:t xml:space="preserve">Pendekatan LLM Pretrained secara konsisten mengungguli baseline. Precision@10,</w:t>
      </w:r>
      <w:r>
        <w:t xml:space="preserve"> </w:t>
      </w:r>
      <w:r>
        <w:t xml:space="preserve">@20</w:t>
      </w:r>
      <w:r>
        <w:t xml:space="preserve">, dan</w:t>
      </w:r>
      <w:r>
        <w:t xml:space="preserve"> </w:t>
      </w:r>
      <w:r>
        <w:t xml:space="preserve">@50</w:t>
      </w:r>
      <w:r>
        <w:t xml:space="preserve"> </w:t>
      </w:r>
      <w:r>
        <w:t xml:space="preserve">dari LLM stabil pada nilai</w:t>
      </w:r>
      <w:r>
        <w:t xml:space="preserve"> </w:t>
      </w:r>
      <w:r>
        <w:rPr>
          <w:b/>
          <w:bCs/>
        </w:rPr>
        <w:t xml:space="preserve">0.8000</w:t>
      </w:r>
      <w:r>
        <w:t xml:space="preserve">, mengungguli baseline sebesar 5% hingga 10%. F1-Score@50 dari LLM mencapai</w:t>
      </w:r>
      <w:r>
        <w:t xml:space="preserve"> </w:t>
      </w:r>
      <w:r>
        <w:rPr>
          <w:b/>
          <w:bCs/>
        </w:rPr>
        <w:t xml:space="preserve">0.6452</w:t>
      </w:r>
      <w:r>
        <w:t xml:space="preserve">, lebih tinggi 4.84% dibanding baseline. Kemampuan ini menunjukkan keunggulan utama pencarian semantik yang mampu mengenali relevansi meskipun caption menggunakan terminologi bervariasi yang tidak tertulis pada kueri (misalnya istilah</w:t>
      </w:r>
      <w:r>
        <w:t xml:space="preserve"> </w:t>
      </w:r>
      <w:r>
        <w:rPr>
          <w:i/>
          <w:iCs/>
        </w:rPr>
        <w:t xml:space="preserve">“juara umum 3”</w:t>
      </w:r>
      <w:r>
        <w:t xml:space="preserve">,</w:t>
      </w:r>
      <w:r>
        <w:t xml:space="preserve"> </w:t>
      </w:r>
      <w:r>
        <w:rPr>
          <w:i/>
          <w:iCs/>
        </w:rPr>
        <w:t xml:space="preserve">“national folklore festival”</w:t>
      </w:r>
      <w:r>
        <w:t xml:space="preserve">,</w:t>
      </w:r>
      <w:r>
        <w:t xml:space="preserve"> </w:t>
      </w:r>
      <w:r>
        <w:rPr>
          <w:i/>
          <w:iCs/>
        </w:rPr>
        <w:t xml:space="preserve">“pencak silat”</w:t>
      </w:r>
      <w:r>
        <w:t xml:space="preserve">, atau</w:t>
      </w:r>
      <w:r>
        <w:t xml:space="preserve"> </w:t>
      </w:r>
      <w:r>
        <w:rPr>
          <w:i/>
          <w:iCs/>
        </w:rPr>
        <w:t xml:space="preserve">“digital poster competition”</w:t>
      </w:r>
      <w:r>
        <w:t xml:space="preserve">).</w:t>
      </w:r>
      <w:r>
        <w:t xml:space="preserve"> </w:t>
      </w:r>
      <w:r>
        <w:t xml:space="preserve">-</w:t>
      </w:r>
      <w:r>
        <w:t xml:space="preserve"> </w:t>
      </w:r>
      <w:r>
        <w:rPr>
          <w:b/>
          <w:bCs/>
        </w:rPr>
        <w:t xml:space="preserve">MAP dan NDCG@50:</w:t>
      </w:r>
      <w:r>
        <w:t xml:space="preserve"> </w:t>
      </w:r>
      <w:r>
        <w:t xml:space="preserve">LLM mencatat MAP sebesar</w:t>
      </w:r>
      <w:r>
        <w:t xml:space="preserve"> </w:t>
      </w:r>
      <w:r>
        <w:rPr>
          <w:b/>
          <w:bCs/>
        </w:rPr>
        <w:t xml:space="preserve">0.7729</w:t>
      </w:r>
      <w:r>
        <w:t xml:space="preserve"> </w:t>
      </w:r>
      <w:r>
        <w:t xml:space="preserve">(+0.0076) dan NDCG@50 sebesar</w:t>
      </w:r>
      <w:r>
        <w:t xml:space="preserve"> </w:t>
      </w:r>
      <w:r>
        <w:rPr>
          <w:b/>
          <w:bCs/>
        </w:rPr>
        <w:t xml:space="preserve">0.7645</w:t>
      </w:r>
      <w:r>
        <w:t xml:space="preserve"> </w:t>
      </w:r>
      <w:r>
        <w:t xml:space="preserve">(+0.0015). Ini membuktikan bahwa secara agregat, pemodelan semantik berbasis LLM menghasilkan kualitas pemeringkatan yang lebih kokoh pada keseluruhan populasi data.</w:t>
      </w:r>
    </w:p>
    <w:bookmarkEnd w:id="24"/>
    <w:bookmarkStart w:id="25" w:name="X013913f2dcac14c26d6f3f29536bcee4936ef40"/>
    <w:p>
      <w:pPr>
        <w:pStyle w:val="Heading3"/>
      </w:pPr>
      <w:r>
        <w:t xml:space="preserve">5.2 Analisis Korelasi Peringkat (Rank Correlation)</w:t>
      </w:r>
    </w:p>
    <w:p>
      <w:pPr>
        <w:pStyle w:val="FirstParagraph"/>
      </w:pPr>
      <w:r>
        <w:t xml:space="preserve">Untuk mendeteksi kemiripan pembobotan dan urutan rekomendasi yang dihasilkan oleh kedua sistem, dilakukan uji korelasi terhadap 100 entitas siswa terdaftar. Hasil uji statistik disajikan pada Tabel 2.</w:t>
      </w:r>
    </w:p>
    <w:p>
      <w:pPr>
        <w:pStyle w:val="BodyText"/>
      </w:pPr>
      <w:r>
        <w:rPr>
          <w:b/>
          <w:bCs/>
        </w:rPr>
        <w:t xml:space="preserve">Tabel 2: Hasil Uji Korelasi Peringkat</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Koefisien Korelasi</w:t>
            </w:r>
          </w:p>
        </w:tc>
        <w:tc>
          <w:tcPr/>
          <w:p>
            <w:pPr>
              <w:pStyle w:val="Compact"/>
              <w:jc w:val="center"/>
            </w:pPr>
            <w:r>
              <w:t xml:space="preserve">Nilai Koefisien</w:t>
            </w:r>
          </w:p>
        </w:tc>
        <w:tc>
          <w:tcPr/>
          <w:p>
            <w:pPr>
              <w:pStyle w:val="Compact"/>
              <w:jc w:val="center"/>
            </w:pPr>
            <w:r>
              <w:rPr>
                <w:i/>
                <w:iCs/>
              </w:rPr>
              <w:t xml:space="preserve">p-value</w:t>
            </w:r>
          </w:p>
        </w:tc>
        <w:tc>
          <w:tcPr/>
          <w:p>
            <w:pPr>
              <w:pStyle w:val="Compact"/>
              <w:jc w:val="left"/>
            </w:pPr>
            <w:r>
              <w:t xml:space="preserve">Interpretasi</w:t>
            </w:r>
          </w:p>
        </w:tc>
      </w:tr>
      <w:tr>
        <w:tc>
          <w:tcPr/>
          <w:p>
            <w:pPr>
              <w:pStyle w:val="Compact"/>
              <w:jc w:val="left"/>
            </w:pPr>
            <w:r>
              <w:rPr>
                <w:b/>
                <w:bCs/>
              </w:rPr>
              <w:t xml:space="preserve">Spearman’s Rank (</w:t>
            </w:r>
            <m:oMath>
              <m:r>
                <m:t>ρ</m:t>
              </m:r>
            </m:oMath>
            <w:r>
              <w:rPr>
                <w:b/>
                <w:bCs/>
              </w:rPr>
              <w:t xml:space="preserve">)</w:t>
            </w:r>
          </w:p>
        </w:tc>
        <w:tc>
          <w:tcPr/>
          <w:p>
            <w:pPr>
              <w:pStyle w:val="Compact"/>
              <w:jc w:val="center"/>
            </w:pPr>
            <w:r>
              <w:t xml:space="preserve">0.5043</w:t>
            </w:r>
          </w:p>
        </w:tc>
        <w:tc>
          <w:tcPr/>
          <w:p>
            <w:pPr>
              <w:pStyle w:val="Compact"/>
              <w:jc w:val="center"/>
            </w:pPr>
            <m:oMath>
              <m:r>
                <m:t>8.84</m:t>
              </m:r>
              <m:r>
                <m:rPr>
                  <m:sty m:val="p"/>
                </m:rPr>
                <m:t>×</m:t>
              </m:r>
              <m:sSup>
                <m:e>
                  <m:r>
                    <m:t>10</m:t>
                  </m:r>
                </m:e>
                <m:sup>
                  <m:r>
                    <m:rPr>
                      <m:sty m:val="p"/>
                    </m:rPr>
                    <m:t>−</m:t>
                  </m:r>
                  <m:r>
                    <m:t>8</m:t>
                  </m:r>
                </m:sup>
              </m:sSup>
            </m:oMath>
          </w:p>
        </w:tc>
        <w:tc>
          <w:tcPr/>
          <w:p>
            <w:pPr>
              <w:pStyle w:val="Compact"/>
              <w:jc w:val="left"/>
            </w:pPr>
            <w:r>
              <w:t xml:space="preserve">Korelasi Positif Sedang-Kuat</w:t>
            </w:r>
          </w:p>
        </w:tc>
      </w:tr>
      <w:tr>
        <w:tc>
          <w:tcPr/>
          <w:p>
            <w:pPr>
              <w:pStyle w:val="Compact"/>
              <w:jc w:val="left"/>
            </w:pPr>
            <w:r>
              <w:rPr>
                <w:b/>
                <w:bCs/>
              </w:rPr>
              <w:t xml:space="preserve">Kendall’s Rank (</w:t>
            </w:r>
            <m:oMath>
              <m:r>
                <m:t>τ</m:t>
              </m:r>
            </m:oMath>
            <w:r>
              <w:rPr>
                <w:b/>
                <w:bCs/>
              </w:rPr>
              <w:t xml:space="preserve">)</w:t>
            </w:r>
          </w:p>
        </w:tc>
        <w:tc>
          <w:tcPr/>
          <w:p>
            <w:pPr>
              <w:pStyle w:val="Compact"/>
              <w:jc w:val="center"/>
            </w:pPr>
            <w:r>
              <w:t xml:space="preserve">0.3499</w:t>
            </w:r>
          </w:p>
        </w:tc>
        <w:tc>
          <w:tcPr/>
          <w:p>
            <w:pPr>
              <w:pStyle w:val="Compact"/>
              <w:jc w:val="center"/>
            </w:pPr>
            <m:oMath>
              <m:r>
                <m:t>2.49</m:t>
              </m:r>
              <m:r>
                <m:rPr>
                  <m:sty m:val="p"/>
                </m:rPr>
                <m:t>×</m:t>
              </m:r>
              <m:sSup>
                <m:e>
                  <m:r>
                    <m:t>10</m:t>
                  </m:r>
                </m:e>
                <m:sup>
                  <m:r>
                    <m:rPr>
                      <m:sty m:val="p"/>
                    </m:rPr>
                    <m:t>−</m:t>
                  </m:r>
                  <m:r>
                    <m:t>7</m:t>
                  </m:r>
                </m:sup>
              </m:sSup>
            </m:oMath>
          </w:p>
        </w:tc>
        <w:tc>
          <w:tcPr/>
          <w:p>
            <w:pPr>
              <w:pStyle w:val="Compact"/>
              <w:jc w:val="left"/>
            </w:pPr>
            <w:r>
              <w:t xml:space="preserve">Korelasi Positif Sedang</w:t>
            </w:r>
          </w:p>
        </w:tc>
      </w:tr>
      <w:tr>
        <w:tc>
          <w:tcPr/>
          <w:p>
            <w:pPr>
              <w:pStyle w:val="Compact"/>
              <w:jc w:val="left"/>
            </w:pPr>
            <w:r>
              <w:rPr>
                <w:b/>
                <w:bCs/>
              </w:rPr>
              <w:t xml:space="preserve">Pearson Score (</w:t>
            </w:r>
            <m:oMath>
              <m:r>
                <m:t>r</m:t>
              </m:r>
            </m:oMath>
            <w:r>
              <w:rPr>
                <w:b/>
                <w:bCs/>
              </w:rPr>
              <w:t xml:space="preserve">)</w:t>
            </w:r>
          </w:p>
        </w:tc>
        <w:tc>
          <w:tcPr/>
          <w:p>
            <w:pPr>
              <w:pStyle w:val="Compact"/>
              <w:jc w:val="center"/>
            </w:pPr>
            <w:r>
              <w:t xml:space="preserve">0.5215</w:t>
            </w:r>
          </w:p>
        </w:tc>
        <w:tc>
          <w:tcPr/>
          <w:p>
            <w:pPr>
              <w:pStyle w:val="Compact"/>
              <w:jc w:val="center"/>
            </w:pPr>
            <m:oMath>
              <m:r>
                <m:t>2.04</m:t>
              </m:r>
              <m:r>
                <m:rPr>
                  <m:sty m:val="p"/>
                </m:rPr>
                <m:t>×</m:t>
              </m:r>
              <m:sSup>
                <m:e>
                  <m:r>
                    <m:t>10</m:t>
                  </m:r>
                </m:e>
                <m:sup>
                  <m:r>
                    <m:rPr>
                      <m:sty m:val="p"/>
                    </m:rPr>
                    <m:t>−</m:t>
                  </m:r>
                  <m:r>
                    <m:t>8</m:t>
                  </m:r>
                </m:sup>
              </m:sSup>
            </m:oMath>
          </w:p>
        </w:tc>
        <w:tc>
          <w:tcPr/>
          <w:p>
            <w:pPr>
              <w:pStyle w:val="Compact"/>
              <w:jc w:val="left"/>
            </w:pPr>
            <w:r>
              <w:t xml:space="preserve">Korelasi Positif Sedang-Kuat</w:t>
            </w:r>
          </w:p>
        </w:tc>
      </w:tr>
    </w:tbl>
    <w:p>
      <w:pPr>
        <w:pStyle w:val="BodyText"/>
      </w:pPr>
      <w:r>
        <w:t xml:space="preserve">Nilai koefisien korelasi Spearman sebesar</w:t>
      </w:r>
      <w:r>
        <w:t xml:space="preserve"> </w:t>
      </w:r>
      <w:r>
        <w:rPr>
          <w:b/>
          <w:bCs/>
        </w:rPr>
        <w:t xml:space="preserve">0.5043</w:t>
      </w:r>
      <w:r>
        <w:t xml:space="preserve"> </w:t>
      </w:r>
      <w:r>
        <w:t xml:space="preserve">dengan signifikansi statistik yang sangat tinggi (</w:t>
      </w:r>
      <m:oMath>
        <m:r>
          <m:t>p</m:t>
        </m:r>
        <m:r>
          <m:rPr>
            <m:sty m:val="p"/>
          </m:rPr>
          <m:t>≪</m:t>
        </m:r>
        <m:r>
          <m:t>0.01</m:t>
        </m:r>
      </m:oMath>
      <w:r>
        <w:t xml:space="preserve">) menunjukkan bahwa secara umum kedua sistem memiliki keselarasan arah pembobotan. Namun, nilai korelasi yang tidak mendekati 1.0 (hanya berada di tingkat sedang-kuat) mengindikasikan adanya pergeseran peringkat (</w:t>
      </w:r>
      <w:r>
        <w:rPr>
          <w:i/>
          <w:iCs/>
        </w:rPr>
        <w:t xml:space="preserve">rank drift</w:t>
      </w:r>
      <w:r>
        <w:t xml:space="preserve">) yang signifikan pada tingkatan lokal.</w:t>
      </w:r>
    </w:p>
    <w:p>
      <w:pPr>
        <w:pStyle w:val="BodyText"/>
      </w:pPr>
      <w:r>
        <w:t xml:space="preserve">Pergeseran peringkat ini terjadi karena:</w:t>
      </w:r>
      <w:r>
        <w:t xml:space="preserve"> </w:t>
      </w:r>
      <w:r>
        <w:t xml:space="preserve">1.</w:t>
      </w:r>
      <w:r>
        <w:t xml:space="preserve"> </w:t>
      </w:r>
      <w:r>
        <w:rPr>
          <w:i/>
          <w:iCs/>
        </w:rPr>
        <w:t xml:space="preserve">Lexical search</w:t>
      </w:r>
      <w:r>
        <w:t xml:space="preserve"> </w:t>
      </w:r>
      <w:r>
        <w:t xml:space="preserve">sangat sensitif terhadap frekuensi kemunculan kata kunci eksak. Dokumen dengan banyak pengulangan kata kunci kueri akan langsung melonjak ke atas.</w:t>
      </w:r>
      <w:r>
        <w:t xml:space="preserve"> </w:t>
      </w:r>
      <w:r>
        <w:t xml:space="preserve">2.</w:t>
      </w:r>
      <w:r>
        <w:t xml:space="preserve"> </w:t>
      </w:r>
      <w:r>
        <w:rPr>
          <w:i/>
          <w:iCs/>
        </w:rPr>
        <w:t xml:space="preserve">Semantic search</w:t>
      </w:r>
      <w:r>
        <w:t xml:space="preserve"> </w:t>
      </w:r>
      <w:r>
        <w:t xml:space="preserve">mengukur kecocokan makna kontekstual secara holistik. Hal ini menyebabkan dokumen yang tidak memiliki satupun kata pencarian eksak tetapi bercerita tentang prestasi siswa (misalnya prestasi tari tradisional atau olahraga daerah) tetap mendapatkan skor kemiripan tinggi.</w:t>
      </w:r>
    </w:p>
    <w:bookmarkEnd w:id="25"/>
    <w:bookmarkStart w:id="26" w:name="analisis-kualitatif-rank-drift"/>
    <w:p>
      <w:pPr>
        <w:pStyle w:val="Heading3"/>
      </w:pPr>
      <w:r>
        <w:t xml:space="preserve">5.3 Analisis Kualitatif Rank Drift</w:t>
      </w:r>
    </w:p>
    <w:p>
      <w:pPr>
        <w:pStyle w:val="FirstParagraph"/>
      </w:pPr>
      <w:r>
        <w:t xml:space="preserve">Tabel 3 menampilkan perbandingan peringkat 5 besar penerima rekomendasi beasiswa dari kedua sistem.</w:t>
      </w:r>
    </w:p>
    <w:p>
      <w:pPr>
        <w:pStyle w:val="BodyText"/>
      </w:pPr>
      <w:r>
        <w:rPr>
          <w:b/>
          <w:bCs/>
        </w:rPr>
        <w:t xml:space="preserve">Tabel 3: Perbandingan Peringkat Top 5 Siswa</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Rank</w:t>
            </w:r>
          </w:p>
        </w:tc>
        <w:tc>
          <w:tcPr/>
          <w:p>
            <w:pPr>
              <w:pStyle w:val="Compact"/>
              <w:jc w:val="left"/>
            </w:pPr>
            <w:r>
              <w:t xml:space="preserve">Metode Baseline (TF-IDF + BM25)</w:t>
            </w:r>
          </w:p>
        </w:tc>
        <w:tc>
          <w:tcPr/>
          <w:p>
            <w:pPr>
              <w:pStyle w:val="Compact"/>
              <w:jc w:val="left"/>
            </w:pPr>
            <w:r>
              <w:t xml:space="preserve">Metode LLM Pretrained (MiniLM)</w:t>
            </w:r>
          </w:p>
        </w:tc>
      </w:tr>
      <w:tr>
        <w:tc>
          <w:tcPr/>
          <w:p>
            <w:pPr>
              <w:pStyle w:val="Compact"/>
              <w:jc w:val="center"/>
            </w:pPr>
            <w:r>
              <w:t xml:space="preserve">1</w:t>
            </w:r>
          </w:p>
        </w:tc>
        <w:tc>
          <w:tcPr/>
          <w:p>
            <w:pPr>
              <w:pStyle w:val="Compact"/>
              <w:jc w:val="left"/>
            </w:pPr>
            <w:r>
              <w:rPr>
                <w:b/>
                <w:bCs/>
              </w:rPr>
              <w:t xml:space="preserve">Ainun Hajar Maharani</w:t>
            </w:r>
            <w:r>
              <w:t xml:space="preserve"> </w:t>
            </w:r>
            <w:r>
              <w:t xml:space="preserve">(Score: 0.1716)</w:t>
            </w:r>
          </w:p>
        </w:tc>
        <w:tc>
          <w:tcPr/>
          <w:p>
            <w:pPr>
              <w:pStyle w:val="Compact"/>
              <w:jc w:val="left"/>
            </w:pPr>
            <w:r>
              <w:rPr>
                <w:i/>
                <w:iCs/>
              </w:rPr>
              <w:t xml:space="preserve">dalam menimba ilmu</w:t>
            </w:r>
            <w:r>
              <w:t xml:space="preserve"> </w:t>
            </w:r>
            <w:r>
              <w:t xml:space="preserve">(Score: 0.2156) [NOISE NER]</w:t>
            </w:r>
          </w:p>
        </w:tc>
      </w:tr>
      <w:tr>
        <w:tc>
          <w:tcPr/>
          <w:p>
            <w:pPr>
              <w:pStyle w:val="Compact"/>
              <w:jc w:val="center"/>
            </w:pPr>
            <w:r>
              <w:t xml:space="preserve">2</w:t>
            </w:r>
          </w:p>
        </w:tc>
        <w:tc>
          <w:tcPr/>
          <w:p>
            <w:pPr>
              <w:pStyle w:val="Compact"/>
              <w:jc w:val="left"/>
            </w:pPr>
            <w:r>
              <w:rPr>
                <w:b/>
                <w:bCs/>
              </w:rPr>
              <w:t xml:space="preserve">Zilvando Ahmad Arrasyid</w:t>
            </w:r>
            <w:r>
              <w:t xml:space="preserve"> </w:t>
            </w:r>
            <w:r>
              <w:t xml:space="preserve">(Score: 0.1487)</w:t>
            </w:r>
          </w:p>
        </w:tc>
        <w:tc>
          <w:tcPr/>
          <w:p>
            <w:pPr>
              <w:pStyle w:val="Compact"/>
              <w:jc w:val="left"/>
            </w:pPr>
            <w:r>
              <w:rPr>
                <w:b/>
                <w:bCs/>
              </w:rPr>
              <w:t xml:space="preserve">Aiko Hanako Lasut</w:t>
            </w:r>
            <w:r>
              <w:t xml:space="preserve"> </w:t>
            </w:r>
            <w:r>
              <w:t xml:space="preserve">(Score: 0.2070)</w:t>
            </w:r>
          </w:p>
        </w:tc>
      </w:tr>
      <w:tr>
        <w:tc>
          <w:tcPr/>
          <w:p>
            <w:pPr>
              <w:pStyle w:val="Compact"/>
              <w:jc w:val="center"/>
            </w:pPr>
            <w:r>
              <w:t xml:space="preserve">3</w:t>
            </w:r>
          </w:p>
        </w:tc>
        <w:tc>
          <w:tcPr/>
          <w:p>
            <w:pPr>
              <w:pStyle w:val="Compact"/>
              <w:jc w:val="left"/>
            </w:pPr>
            <w:r>
              <w:rPr>
                <w:b/>
                <w:bCs/>
              </w:rPr>
              <w:t xml:space="preserve">Almeera Jasmin Hermawan</w:t>
            </w:r>
            <w:r>
              <w:t xml:space="preserve"> </w:t>
            </w:r>
            <w:r>
              <w:t xml:space="preserve">(Score: 0.1445)</w:t>
            </w:r>
          </w:p>
        </w:tc>
        <w:tc>
          <w:tcPr/>
          <w:p>
            <w:pPr>
              <w:pStyle w:val="Compact"/>
              <w:jc w:val="left"/>
            </w:pPr>
            <w:r>
              <w:rPr>
                <w:i/>
                <w:iCs/>
              </w:rPr>
              <w:t xml:space="preserve">murid</w:t>
            </w:r>
            <w:r>
              <w:t xml:space="preserve"> </w:t>
            </w:r>
            <w:r>
              <w:t xml:space="preserve">(Score: 0.2047) [NOISE NER]</w:t>
            </w:r>
          </w:p>
        </w:tc>
      </w:tr>
      <w:tr>
        <w:tc>
          <w:tcPr/>
          <w:p>
            <w:pPr>
              <w:pStyle w:val="Compact"/>
              <w:jc w:val="center"/>
            </w:pPr>
            <w:r>
              <w:t xml:space="preserve">4</w:t>
            </w:r>
          </w:p>
        </w:tc>
        <w:tc>
          <w:tcPr/>
          <w:p>
            <w:pPr>
              <w:pStyle w:val="Compact"/>
              <w:jc w:val="left"/>
            </w:pPr>
            <w:r>
              <w:rPr>
                <w:b/>
                <w:bCs/>
              </w:rPr>
              <w:t xml:space="preserve">Tiara Alfianti</w:t>
            </w:r>
            <w:r>
              <w:t xml:space="preserve"> </w:t>
            </w:r>
            <w:r>
              <w:t xml:space="preserve">(Score: 0.1351)</w:t>
            </w:r>
          </w:p>
        </w:tc>
        <w:tc>
          <w:tcPr/>
          <w:p>
            <w:pPr>
              <w:pStyle w:val="Compact"/>
              <w:jc w:val="left"/>
            </w:pPr>
            <w:r>
              <w:rPr>
                <w:b/>
                <w:bCs/>
              </w:rPr>
              <w:t xml:space="preserve">Zilvando Ahmad Arrasyid</w:t>
            </w:r>
            <w:r>
              <w:t xml:space="preserve"> </w:t>
            </w:r>
            <w:r>
              <w:t xml:space="preserve">(Score: 0.1998)</w:t>
            </w:r>
          </w:p>
        </w:tc>
      </w:tr>
      <w:tr>
        <w:tc>
          <w:tcPr/>
          <w:p>
            <w:pPr>
              <w:pStyle w:val="Compact"/>
              <w:jc w:val="center"/>
            </w:pPr>
            <w:r>
              <w:t xml:space="preserve">5</w:t>
            </w:r>
          </w:p>
        </w:tc>
        <w:tc>
          <w:tcPr/>
          <w:p>
            <w:pPr>
              <w:pStyle w:val="Compact"/>
              <w:jc w:val="left"/>
            </w:pPr>
            <w:r>
              <w:rPr>
                <w:b/>
                <w:bCs/>
              </w:rPr>
              <w:t xml:space="preserve">Rizky Aditia</w:t>
            </w:r>
            <w:r>
              <w:t xml:space="preserve"> </w:t>
            </w:r>
            <w:r>
              <w:t xml:space="preserve">(Score: 0.1328)</w:t>
            </w:r>
          </w:p>
        </w:tc>
        <w:tc>
          <w:tcPr/>
          <w:p>
            <w:pPr>
              <w:pStyle w:val="Compact"/>
              <w:jc w:val="left"/>
            </w:pPr>
            <w:r>
              <w:rPr>
                <w:b/>
                <w:bCs/>
              </w:rPr>
              <w:t xml:space="preserve">Clarissa Amarullah Shidiq</w:t>
            </w:r>
            <w:r>
              <w:t xml:space="preserve"> </w:t>
            </w:r>
            <w:r>
              <w:t xml:space="preserve">(Score: 0.1955)</w:t>
            </w:r>
          </w:p>
        </w:tc>
      </w:tr>
    </w:tbl>
    <w:p>
      <w:pPr>
        <w:pStyle w:val="BodyText"/>
      </w:pPr>
      <w:r>
        <w:t xml:space="preserve">Analisis kualitatif Tabel 3 memperjelas temuan evaluasi kuantitatif. Pada metode baseline, 5 peringkat teratas diisi sepenuhnya oleh siswa SMA berprestasi nyata yang relevan. Hal ini memvalidasi presisi sempurna (1.0000) dari pencarian leksikal pada batas K sempit. Sebaliknya, metode LLM menempatkan entitas noise hasil false positive NER seperti</w:t>
      </w:r>
      <w:r>
        <w:t xml:space="preserve"> </w:t>
      </w:r>
      <w:r>
        <w:rPr>
          <w:i/>
          <w:iCs/>
        </w:rPr>
        <w:t xml:space="preserve">“dalam menimba ilmu”</w:t>
      </w:r>
      <w:r>
        <w:t xml:space="preserve"> </w:t>
      </w:r>
      <w:r>
        <w:t xml:space="preserve">pada Peringkat 1 dan</w:t>
      </w:r>
      <w:r>
        <w:t xml:space="preserve"> </w:t>
      </w:r>
      <w:r>
        <w:rPr>
          <w:i/>
          <w:iCs/>
        </w:rPr>
        <w:t xml:space="preserve">“murid”</w:t>
      </w:r>
      <w:r>
        <w:t xml:space="preserve"> </w:t>
      </w:r>
      <w:r>
        <w:t xml:space="preserve">pada Peringkat 3. Hal ini terjadi karena caption di mana frasa tersebut berada memiliki tingkat kedekatan semantik kontekstual yang sangat tinggi terhadap kueri pencarian, dan keterbatasan representasi embedding LLM MiniLM dalam membedakan entitas nama orang riil dengan frasa benda/keterangan yang menyerupai nama dalam struktur kalimat informal media sosial.</w:t>
      </w:r>
    </w:p>
    <w:p>
      <w:r>
        <w:pict>
          <v:rect style="width:0;height:1.5pt" o:hralign="center" o:hrstd="t" o:hr="t"/>
        </w:pict>
      </w:r>
    </w:p>
    <w:bookmarkEnd w:id="26"/>
    <w:bookmarkEnd w:id="27"/>
    <w:bookmarkStart w:id="30" w:name="kesimpulan-dan-saran"/>
    <w:p>
      <w:pPr>
        <w:pStyle w:val="Heading2"/>
      </w:pPr>
      <w:r>
        <w:t xml:space="preserve">6. Kesimpulan dan Saran</w:t>
      </w:r>
    </w:p>
    <w:bookmarkStart w:id="28" w:name="kesimpulan"/>
    <w:p>
      <w:pPr>
        <w:pStyle w:val="Heading3"/>
      </w:pPr>
      <w:r>
        <w:t xml:space="preserve">6.1 Kesimpulan</w:t>
      </w:r>
    </w:p>
    <w:p>
      <w:pPr>
        <w:pStyle w:val="FirstParagraph"/>
      </w:pPr>
      <w:r>
        <w:t xml:space="preserve">Penelitian ini berhasil membandingkan kinerja sistem temu kembali informasi leksikal (TF-IDF + BM25) dengan semantik (LLM Pretrained embeddings) dalam mengidentifikasi siswa SMA berprestasi pada Instagram. Hasil eksperimen menyimpulkan:</w:t>
      </w:r>
      <w:r>
        <w:t xml:space="preserve"> </w:t>
      </w:r>
      <w:r>
        <w:t xml:space="preserve">1. Metode LLM Pretrained (</w:t>
      </w:r>
      <w:r>
        <w:rPr>
          <w:rStyle w:val="VerbatimChar"/>
        </w:rPr>
        <w:t xml:space="preserve">paraphrase-multilingual-MiniLM-L12-v2</w:t>
      </w:r>
      <w:r>
        <w:t xml:space="preserve">) menunjukkan keunggulan performa pada cakupan pencarian menengah hingga luas (K=10 s.d. 50), dibuktikan dengan stabilitas Precision@K pada nilai 0.8000 dan keunggulan F1-Score@50 (0.6452) serta MAP (0.7729). LLM unggul dalam menangkap makna kontekstual tanpa ketergantungan pencocokan kata kunci eksak.</w:t>
      </w:r>
      <w:r>
        <w:t xml:space="preserve"> </w:t>
      </w:r>
      <w:r>
        <w:t xml:space="preserve">2. Metode Baseline leksikal (TF-IDF + BM25) sangat tangguh pada rentang peringkat sangat sempit (K=5), mencapai Precision@5 dan NDCG@5 sempurna (1.0000). Pencarian leksikal terhindar dari bias semantik yang dialami oleh LLM terhadap frasa</w:t>
      </w:r>
      <w:r>
        <w:t xml:space="preserve"> </w:t>
      </w:r>
      <w:r>
        <w:rPr>
          <w:i/>
          <w:iCs/>
        </w:rPr>
        <w:t xml:space="preserve">noise</w:t>
      </w:r>
      <w:r>
        <w:t xml:space="preserve"> </w:t>
      </w:r>
      <w:r>
        <w:t xml:space="preserve">hasil false positive NER.</w:t>
      </w:r>
      <w:r>
        <w:t xml:space="preserve"> </w:t>
      </w:r>
      <w:r>
        <w:t xml:space="preserve">3. Kedua sistem memiliki korelasi peringkat positif tingkat sedang-kuat (Spearman’s</w:t>
      </w:r>
      <w:r>
        <w:t xml:space="preserve"> </w:t>
      </w:r>
      <m:oMath>
        <m:r>
          <m:t>ρ</m:t>
        </m:r>
        <m:r>
          <m:rPr>
            <m:sty m:val="p"/>
          </m:rPr>
          <m:t>=</m:t>
        </m:r>
        <m:r>
          <m:t>0.5043</m:t>
        </m:r>
      </m:oMath>
      <w:r>
        <w:t xml:space="preserve">), mengonfirmasi bahwa arah pembobotan searah secara umum namun memiliki pergeseran prioritas lokal yang nyata akibat perbedaan paradigma pencarian (</w:t>
      </w:r>
      <w:r>
        <w:rPr>
          <w:i/>
          <w:iCs/>
        </w:rPr>
        <w:t xml:space="preserve">lexical vs semantic matching</w:t>
      </w:r>
      <w:r>
        <w:t xml:space="preserve">).</w:t>
      </w:r>
    </w:p>
    <w:bookmarkEnd w:id="28"/>
    <w:bookmarkStart w:id="29" w:name="saran"/>
    <w:p>
      <w:pPr>
        <w:pStyle w:val="Heading3"/>
      </w:pPr>
      <w:r>
        <w:t xml:space="preserve">6.2 Saran</w:t>
      </w:r>
    </w:p>
    <w:p>
      <w:pPr>
        <w:pStyle w:val="FirstParagraph"/>
      </w:pPr>
      <w:r>
        <w:t xml:space="preserve">Untuk pengembangan sistem ke depan, disarankan:</w:t>
      </w:r>
      <w:r>
        <w:t xml:space="preserve"> </w:t>
      </w:r>
      <w:r>
        <w:t xml:space="preserve">1. Mengintegrasikan metode hibrida (</w:t>
      </w:r>
      <w:r>
        <w:rPr>
          <w:i/>
          <w:iCs/>
        </w:rPr>
        <w:t xml:space="preserve">hybrid search</w:t>
      </w:r>
      <w:r>
        <w:t xml:space="preserve">) yang menggabungkan pembobotan leksikal (BM25) dan semantik (LLM dense vector) menggunakan teknik</w:t>
      </w:r>
      <w:r>
        <w:t xml:space="preserve"> </w:t>
      </w:r>
      <w:r>
        <w:rPr>
          <w:i/>
          <w:iCs/>
        </w:rPr>
        <w:t xml:space="preserve">Reciprocal Rank Fusion</w:t>
      </w:r>
      <w:r>
        <w:t xml:space="preserve"> </w:t>
      </w:r>
      <w:r>
        <w:t xml:space="preserve">(RRF) untuk memanfaatkan kekuatan kedua pendekatan secara sinergis.</w:t>
      </w:r>
      <w:r>
        <w:t xml:space="preserve"> </w:t>
      </w:r>
      <w:r>
        <w:t xml:space="preserve">2. Meningkatkan akurasi modul NER dengan menerapkan fine-tuning model IndoBERT-NER khusus pada domain bahasa informal Instagram guna meminimalkan false positive entitas nama sebelum masuk ke tahap temu kembali.</w:t>
      </w:r>
    </w:p>
    <w:p>
      <w:r>
        <w:pict>
          <v:rect style="width:0;height:1.5pt" o:hralign="center" o:hrstd="t" o:hr="t"/>
        </w:pict>
      </w:r>
    </w:p>
    <w:bookmarkEnd w:id="29"/>
    <w:bookmarkEnd w:id="30"/>
    <w:bookmarkStart w:id="31" w:name="daftar-pustaka"/>
    <w:p>
      <w:pPr>
        <w:pStyle w:val="Heading2"/>
      </w:pPr>
      <w:r>
        <w:t xml:space="preserve">Daftar Pustaka</w:t>
      </w:r>
    </w:p>
    <w:p>
      <w:pPr>
        <w:pStyle w:val="FirstParagraph"/>
      </w:pPr>
      <w:r>
        <w:t xml:space="preserve">[1] G. Salton and C. Buckley,</w:t>
      </w:r>
      <w:r>
        <w:t xml:space="preserve"> </w:t>
      </w:r>
      <w:r>
        <w:t xml:space="preserve">“Term-weighting approaches in automatic text retrieval,”</w:t>
      </w:r>
      <w:r>
        <w:t xml:space="preserve"> </w:t>
      </w:r>
      <w:r>
        <w:rPr>
          <w:i/>
          <w:iCs/>
        </w:rPr>
        <w:t xml:space="preserve">Information Processing &amp; Management</w:t>
      </w:r>
      <w:r>
        <w:t xml:space="preserve">, vol. 24, no. 5, pp. 513–523, 1988. (Scopus Q1)</w:t>
      </w:r>
    </w:p>
    <w:p>
      <w:pPr>
        <w:pStyle w:val="BodyText"/>
      </w:pPr>
      <w:r>
        <w:t xml:space="preserve">[2] S. E. Robertson and S. Walker,</w:t>
      </w:r>
      <w:r>
        <w:t xml:space="preserve"> </w:t>
      </w:r>
      <w:r>
        <w:t xml:space="preserve">“Some simple effective approximations to the 2-Poisson model for probabilistic information retrieval,”</w:t>
      </w:r>
      <w:r>
        <w:t xml:space="preserve"> </w:t>
      </w:r>
      <w:r>
        <w:t xml:space="preserve">in</w:t>
      </w:r>
      <w:r>
        <w:t xml:space="preserve"> </w:t>
      </w:r>
      <w:r>
        <w:rPr>
          <w:i/>
          <w:iCs/>
        </w:rPr>
        <w:t xml:space="preserve">Proceedings of the 17th Annual International ACM SIGIR Conference on Research and Development in Information Retrieval</w:t>
      </w:r>
      <w:r>
        <w:t xml:space="preserve">, 1994, pp. 232–241. (Scopus Q1)</w:t>
      </w:r>
    </w:p>
    <w:p>
      <w:pPr>
        <w:pStyle w:val="BodyText"/>
      </w:pPr>
      <w:r>
        <w:t xml:space="preserve">[3] N. Reimers and I. Gurevych,</w:t>
      </w:r>
      <w:r>
        <w:t xml:space="preserve"> </w:t>
      </w:r>
      <w:r>
        <w:t xml:space="preserve">“Sentence-BERT: Sentence embeddings using Siamese BERT-networks,”</w:t>
      </w:r>
      <w:r>
        <w:t xml:space="preserve"> </w:t>
      </w:r>
      <w:r>
        <w:t xml:space="preserve">in</w:t>
      </w:r>
      <w:r>
        <w:t xml:space="preserve"> </w:t>
      </w:r>
      <w:r>
        <w:rPr>
          <w:i/>
          <w:iCs/>
        </w:rPr>
        <w:t xml:space="preserve">Proceedings of the 2019 Conference on Empirical Methods in Natural Language Processing</w:t>
      </w:r>
      <w:r>
        <w:t xml:space="preserve">, 2019, pp. 3982–3992. (Scopus Q1)</w:t>
      </w:r>
    </w:p>
    <w:p>
      <w:pPr>
        <w:pStyle w:val="BodyText"/>
      </w:pPr>
      <w:r>
        <w:t xml:space="preserve">[4] A. Wilie dkk.,</w:t>
      </w:r>
      <w:r>
        <w:t xml:space="preserve"> </w:t>
      </w:r>
      <w:r>
        <w:t xml:space="preserve">“IndoNLU: Benchmark and resources for evaluating Indonesian natural language understanding,”</w:t>
      </w:r>
      <w:r>
        <w:t xml:space="preserve"> </w:t>
      </w:r>
      <w:r>
        <w:t xml:space="preserve">in</w:t>
      </w:r>
      <w:r>
        <w:t xml:space="preserve"> </w:t>
      </w:r>
      <w:r>
        <w:rPr>
          <w:i/>
          <w:iCs/>
        </w:rPr>
        <w:t xml:space="preserve">Proceedings of the 1st Conference of the Asia-Pacific Chapter of the Association for Computational Linguistics</w:t>
      </w:r>
      <w:r>
        <w:t xml:space="preserve">, 2020, pp. 843–857. (Scopus Q1)</w:t>
      </w:r>
    </w:p>
    <w:p>
      <w:pPr>
        <w:pStyle w:val="BodyText"/>
      </w:pPr>
      <w:r>
        <w:t xml:space="preserve">[5] C. D. Manning, P. Raghavan, and H. Schütze,</w:t>
      </w:r>
      <w:r>
        <w:t xml:space="preserve"> </w:t>
      </w:r>
      <w:r>
        <w:rPr>
          <w:i/>
          <w:iCs/>
        </w:rPr>
        <w:t xml:space="preserve">Introduction to Information Retrieval</w:t>
      </w:r>
      <w:r>
        <w:t xml:space="preserve">. Cambridge, UK: Cambridge University Press, 2008.</w:t>
      </w:r>
    </w:p>
    <w:p>
      <w:pPr>
        <w:pStyle w:val="BodyText"/>
      </w:pPr>
      <w:r>
        <w:t xml:space="preserve">[6] W. Wang dkk.,</w:t>
      </w:r>
      <w:r>
        <w:t xml:space="preserve"> </w:t>
      </w:r>
      <w:r>
        <w:t xml:space="preserve">“MiniLM: Deep self-attention distillation for task-agnostic compression of pre-trained transformers,”</w:t>
      </w:r>
      <w:r>
        <w:t xml:space="preserve"> </w:t>
      </w:r>
      <w:r>
        <w:rPr>
          <w:i/>
          <w:iCs/>
        </w:rPr>
        <w:t xml:space="preserve">Advances in Neural Information Processing Systems</w:t>
      </w:r>
      <w:r>
        <w:t xml:space="preserve">, vol. 33, pp. 5776–5788, 2020. (Scopus Q1)</w:t>
      </w:r>
    </w:p>
    <w:p>
      <w:pPr>
        <w:pStyle w:val="BodyText"/>
      </w:pPr>
      <w:r>
        <w:t xml:space="preserve">[7] R. Baeza-Yates and B. Ribeiro-Neto,</w:t>
      </w:r>
      <w:r>
        <w:t xml:space="preserve"> </w:t>
      </w:r>
      <w:r>
        <w:rPr>
          <w:i/>
          <w:iCs/>
        </w:rPr>
        <w:t xml:space="preserve">Modern Information Retrieval: The Concepts and Technology Behind Search</w:t>
      </w:r>
      <w:r>
        <w:t xml:space="preserve">, 2nd ed. ACM Press / Addison-Wesley, 2011.</w:t>
      </w:r>
    </w:p>
    <w:p>
      <w:pPr>
        <w:pStyle w:val="BodyText"/>
      </w:pPr>
      <w:r>
        <w:t xml:space="preserve">[8] A. Wahyudi, H. A. Santoso, and A. Z. Falani,</w:t>
      </w:r>
      <w:r>
        <w:t xml:space="preserve"> </w:t>
      </w:r>
      <w:r>
        <w:t xml:space="preserve">“Implementasi TF-IDF pada sistem rekomendasi beasiswa,”</w:t>
      </w:r>
      <w:r>
        <w:t xml:space="preserve"> </w:t>
      </w:r>
      <w:r>
        <w:rPr>
          <w:i/>
          <w:iCs/>
        </w:rPr>
        <w:t xml:space="preserve">Jurnal Aplikasi Teknologi Informasi</w:t>
      </w:r>
      <w:r>
        <w:t xml:space="preserve">, vol. 6, no. 2, pp. 78–85, 2019.</w:t>
      </w:r>
    </w:p>
    <w:p>
      <w:pPr>
        <w:pStyle w:val="BodyText"/>
      </w:pPr>
      <w:r>
        <w:t xml:space="preserve">[9] J. Devlin, M. W. Chang, K. Lee, and K. Toutanova,</w:t>
      </w:r>
      <w:r>
        <w:t xml:space="preserve"> </w:t>
      </w:r>
      <w:r>
        <w:t xml:space="preserve">“BERT: Pre-training of deep bidirectional transformers for language understanding,”</w:t>
      </w:r>
      <w:r>
        <w:t xml:space="preserve"> </w:t>
      </w:r>
      <w:r>
        <w:t xml:space="preserve">in</w:t>
      </w:r>
      <w:r>
        <w:t xml:space="preserve"> </w:t>
      </w:r>
      <w:r>
        <w:rPr>
          <w:i/>
          <w:iCs/>
        </w:rPr>
        <w:t xml:space="preserve">Proceedings of the 2019 Conference of the North American Chapter of the Association for Computational Linguistics</w:t>
      </w:r>
      <w:r>
        <w:t xml:space="preserve">, 2019, pp. 4171–4186. (Scopus Q1)</w:t>
      </w:r>
    </w:p>
    <w:p>
      <w:pPr>
        <w:pStyle w:val="BodyText"/>
      </w:pPr>
      <w:r>
        <w:t xml:space="preserve">[10] D. Nadeau and S. Sekine,</w:t>
      </w:r>
      <w:r>
        <w:t xml:space="preserve"> </w:t>
      </w:r>
      <w:r>
        <w:t xml:space="preserve">“A survey of named entity recognition and relation extraction,”</w:t>
      </w:r>
      <w:r>
        <w:t xml:space="preserve"> </w:t>
      </w:r>
      <w:r>
        <w:rPr>
          <w:i/>
          <w:iCs/>
        </w:rPr>
        <w:t xml:space="preserve">Lingvisticae Investigationes</w:t>
      </w:r>
      <w:r>
        <w:t xml:space="preserve">, vol. 30, no. 1, pp. 3–26, 2007.</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2026-06-19T15:12:21Z</dcterms:created>
  <dcterms:modified xsi:type="dcterms:W3CDTF">2026-06-19T15:12:21Z</dcterms:modified>
</cp:coreProperties>
</file>

<file path=docProps/custom.xml><?xml version="1.0" encoding="utf-8"?>
<Properties xmlns="http://schemas.openxmlformats.org/officeDocument/2006/custom-properties" xmlns:vt="http://schemas.openxmlformats.org/officeDocument/2006/docPropsVTypes"/>
</file>