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3"/>
      </w:pPr>
      <w:r>
        <w:t>1.1. Цель</w:t>
      </w:r>
    </w:p>
    <w:p>
      <w:r>
        <w:t>Определить порядок эксплуатации осмометра (модель K‑7400S Semi‑Micro Osmometer, версия руководства V3700) для получения достоверных измерений осмотического давления и точки замерзания образцов в лабораторных условиях.</w:t>
      </w:r>
    </w:p>
    <w:p>
      <w:pPr>
        <w:pStyle w:val="3"/>
      </w:pPr>
      <w:r>
        <w:t>1.2. Область применения</w:t>
      </w:r>
    </w:p>
    <w:p>
      <w:r>
        <w:t>Данная процедура применяется к:</w:t>
      </w:r>
    </w:p>
    <w:p>
      <w:r>
        <w:t>всем сотрудникам лаборатории, осуществляющим измерения осмотического давления и точки замерзания;</w:t>
      </w:r>
    </w:p>
    <w:p>
      <w:r>
        <w:t>осмометру K‑7400S, установленному в лаборатории химического анализа;</w:t>
      </w:r>
    </w:p>
    <w:p>
      <w:r>
        <w:t>образцам, температура которых находится в диапазоне 0 °C – 30 °C.</w:t>
      </w:r>
    </w:p>
    <w:p>
      <w:pPr>
        <w:pStyle w:val="3"/>
      </w:pPr>
      <w:r>
        <w:t>1.3. Нормативные ссылки</w:t>
      </w:r>
    </w:p>
    <w:p>
      <w:r>
        <w:t>Руководство пользователя K‑7400S Semi‑Micro Osmometer, версия V3700 (дата выпуска — 03 2017);</w:t>
      </w:r>
    </w:p>
    <w:p>
      <w:r>
        <w:t>ГОСТ 12.2.007.0‑75 «Оборудование лабораторное. Общие требования безопасности»;</w:t>
      </w:r>
    </w:p>
    <w:p>
      <w:r>
        <w:t>ISO 9001:2015 – Система менеджмента качества (разделы, касающиеся контроля измерительных средств).</w:t>
      </w:r>
    </w:p>
    <w:p>
      <w:pPr>
        <w:pStyle w:val="3"/>
      </w:pPr>
      <w:r>
        <w:t>1.4. Ответственность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102"/>
        <w:gridCol w:w="5102"/>
      </w:tblGrid>
      <w:tr>
        <w:tc>
          <w:tcPr>
            <w:tcW w:type="dxa" w:w="5102"/>
          </w:tcPr>
          <w:p>
            <w:r>
              <w:t>Роль</w:t>
            </w:r>
          </w:p>
        </w:tc>
        <w:tc>
          <w:tcPr>
            <w:tcW w:type="dxa" w:w="5102"/>
          </w:tcPr>
          <w:p>
            <w:r>
              <w:t>Обязанности</w:t>
            </w:r>
          </w:p>
        </w:tc>
      </w:tr>
      <w:tr>
        <w:tc>
          <w:tcPr>
            <w:tcW w:type="dxa" w:w="5102"/>
          </w:tcPr>
          <w:p>
            <w:r>
              <w:t>Лаборант</w:t>
            </w:r>
          </w:p>
        </w:tc>
        <w:tc>
          <w:tcPr>
            <w:tcW w:type="dxa" w:w="5102"/>
          </w:tcPr>
          <w:p>
            <w:r>
              <w:t>Подготовка образцов, настройка осмометра, проведение измерений, заполнение журналов контроля.</w:t>
            </w:r>
          </w:p>
        </w:tc>
      </w:tr>
      <w:tr>
        <w:tc>
          <w:tcPr>
            <w:tcW w:type="dxa" w:w="5102"/>
          </w:tcPr>
          <w:p>
            <w:r>
              <w:t>Старший специалист</w:t>
            </w:r>
          </w:p>
        </w:tc>
        <w:tc>
          <w:tcPr>
            <w:tcW w:type="dxa" w:w="5102"/>
          </w:tcPr>
          <w:p>
            <w:r>
              <w:t>Проверка калибровки, утверждение результатов, контроль соблюдения требований ОТ и ТБ.</w:t>
            </w:r>
          </w:p>
        </w:tc>
      </w:tr>
      <w:tr>
        <w:tc>
          <w:tcPr>
            <w:tcW w:type="dxa" w:w="5102"/>
          </w:tcPr>
          <w:p>
            <w:r>
              <w:t>Ответственный за ОТ</w:t>
            </w:r>
          </w:p>
        </w:tc>
        <w:tc>
          <w:tcPr>
            <w:tcW w:type="dxa" w:w="5102"/>
          </w:tcPr>
          <w:p>
            <w:r>
              <w:t>Обеспечение наличия СИЗ, проведение инструктажей, контроль выполнения предупреждающих знаков.</w:t>
            </w:r>
          </w:p>
        </w:tc>
      </w:tr>
      <w:tr>
        <w:tc>
          <w:tcPr>
            <w:tcW w:type="dxa" w:w="5102"/>
          </w:tcPr>
          <w:p>
            <w:r>
              <w:t>Менеджер лаборатории</w:t>
            </w:r>
          </w:p>
        </w:tc>
        <w:tc>
          <w:tcPr>
            <w:tcW w:type="dxa" w:w="5102"/>
          </w:tcPr>
          <w:p>
            <w:r>
              <w:t>Обеспечение наличия актуальной документации, планирование профилактического обслуживания.</w:t>
            </w:r>
          </w:p>
        </w:tc>
      </w:tr>
    </w:tbl>
    <w:p>
      <w:pPr>
        <w:pStyle w:val="3"/>
      </w:pPr>
      <w:r>
        <w:t>1.5. Охрана труда и техника безопасности</w:t>
      </w:r>
    </w:p>
    <w:p>
      <w:r>
        <w:t>Опасные факторы: работа с горячими (≥ 30 °C) и холодными (≤ 0 °C) образцами, использование химических реагентов для калибровки.</w:t>
      </w:r>
    </w:p>
    <w:p>
      <w:r>
        <w:t>Средства индивидуальной защиты (СИЗ): лабораторный халат, перчатки, защитные очки, при необходимости – термостойкие перчатки.</w:t>
      </w:r>
    </w:p>
    <w:p>
      <w:r>
        <w:t>Предупреждения и предосторожности:</w:t>
      </w:r>
    </w:p>
    <w:p>
      <w:r>
        <w:t>Warning: Не допускайте попадания жидкости в электрические части прибора.</w:t>
      </w:r>
    </w:p>
    <w:p>
      <w:r>
        <w:t>Danger: При работе с горячими образцами соблюдайте осторожность, чтобы избежать ожогов.</w:t>
      </w:r>
    </w:p>
    <w:p>
      <w:r>
        <w:t>Caution: Ограничьте доступ к осмометру посторонних лиц; разместите предупреждающие знаки рядом с оборудованием.</w:t>
      </w:r>
    </w:p>
    <w:p>
      <w:pPr>
        <w:pStyle w:val="3"/>
      </w:pPr>
      <w:r>
        <w:t>1.6. Ключевые контрольные точки (ККТ)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ККТ</w:t>
            </w:r>
          </w:p>
        </w:tc>
        <w:tc>
          <w:tcPr>
            <w:tcW w:type="dxa" w:w="2551"/>
          </w:tcPr>
          <w:p>
            <w:r>
              <w:t>Параметр</w:t>
            </w:r>
          </w:p>
        </w:tc>
        <w:tc>
          <w:tcPr>
            <w:tcW w:type="dxa" w:w="2551"/>
          </w:tcPr>
          <w:p>
            <w:r>
              <w:t>Допустимый диапазон</w:t>
            </w:r>
          </w:p>
        </w:tc>
        <w:tc>
          <w:tcPr>
            <w:tcW w:type="dxa" w:w="2551"/>
          </w:tcPr>
          <w:p>
            <w:r>
              <w:t>Критерий приемки</w:t>
            </w:r>
          </w:p>
        </w:tc>
      </w:tr>
      <w:tr>
        <w:tc>
          <w:tcPr>
            <w:tcW w:type="dxa" w:w="2551"/>
          </w:tcPr>
          <w:p>
            <w:r>
              <w:t>1</w:t>
            </w:r>
          </w:p>
        </w:tc>
        <w:tc>
          <w:tcPr>
            <w:tcW w:type="dxa" w:w="2551"/>
          </w:tcPr>
          <w:p>
            <w:r>
              <w:t>Температура образца</w:t>
            </w:r>
          </w:p>
        </w:tc>
        <w:tc>
          <w:tcPr>
            <w:tcW w:type="dxa" w:w="2551"/>
          </w:tcPr>
          <w:p>
            <w:r>
              <w:t>0 °C – 30 °C</w:t>
            </w:r>
          </w:p>
        </w:tc>
        <w:tc>
          <w:tcPr>
            <w:tcW w:type="dxa" w:w="2551"/>
          </w:tcPr>
          <w:p>
            <w:r>
              <w:t>Соответствие установленному диапазону</w:t>
            </w:r>
          </w:p>
        </w:tc>
      </w:tr>
      <w:tr>
        <w:tc>
          <w:tcPr>
            <w:tcW w:type="dxa" w:w="2551"/>
          </w:tcPr>
          <w:p>
            <w:r>
              <w:t>2</w:t>
            </w:r>
          </w:p>
        </w:tc>
        <w:tc>
          <w:tcPr>
            <w:tcW w:type="dxa" w:w="2551"/>
          </w:tcPr>
          <w:p>
            <w:r>
              <w:t>Время измерения</w:t>
            </w:r>
          </w:p>
        </w:tc>
        <w:tc>
          <w:tcPr>
            <w:tcW w:type="dxa" w:w="2551"/>
          </w:tcPr>
          <w:p>
            <w:r>
              <w:t>5 мин – 21 мин</w:t>
            </w:r>
          </w:p>
        </w:tc>
        <w:tc>
          <w:tcPr>
            <w:tcW w:type="dxa" w:w="2551"/>
          </w:tcPr>
          <w:p>
            <w:r>
              <w:t>Не превышать 21 мин для одного цикла</w:t>
            </w:r>
          </w:p>
        </w:tc>
      </w:tr>
      <w:tr>
        <w:tc>
          <w:tcPr>
            <w:tcW w:type="dxa" w:w="2551"/>
          </w:tcPr>
          <w:p>
            <w:r>
              <w:t>3</w:t>
            </w:r>
          </w:p>
        </w:tc>
        <w:tc>
          <w:tcPr>
            <w:tcW w:type="dxa" w:w="2551"/>
          </w:tcPr>
          <w:p>
            <w:r>
              <w:t>Объём образца</w:t>
            </w:r>
          </w:p>
        </w:tc>
        <w:tc>
          <w:tcPr>
            <w:tcW w:type="dxa" w:w="2551"/>
          </w:tcPr>
          <w:p>
            <w:r>
              <w:t>2 мл – 29 мл</w:t>
            </w:r>
          </w:p>
        </w:tc>
        <w:tc>
          <w:tcPr>
            <w:tcW w:type="dxa" w:w="2551"/>
          </w:tcPr>
          <w:p>
            <w:r>
              <w:t>Объём в пределах указанных значений</w:t>
            </w:r>
          </w:p>
        </w:tc>
      </w:tr>
      <w:tr>
        <w:tc>
          <w:tcPr>
            <w:tcW w:type="dxa" w:w="2551"/>
          </w:tcPr>
          <w:p>
            <w:r>
              <w:t>4</w:t>
            </w:r>
          </w:p>
        </w:tc>
        <w:tc>
          <w:tcPr>
            <w:tcW w:type="dxa" w:w="2551"/>
          </w:tcPr>
          <w:p>
            <w:r>
              <w:t>Калибровочный показатель</w:t>
            </w:r>
          </w:p>
        </w:tc>
        <w:tc>
          <w:tcPr>
            <w:tcW w:type="dxa" w:w="2551"/>
          </w:tcPr>
          <w:p>
            <w:r>
              <w:t>1.858 – 30 °C (по стандарту)</w:t>
            </w:r>
          </w:p>
        </w:tc>
        <w:tc>
          <w:tcPr>
            <w:tcW w:type="dxa" w:w="2551"/>
          </w:tcPr>
          <w:p>
            <w:r>
              <w:t>Отклонение ≤ ±0.05 °C от номинала</w:t>
            </w:r>
          </w:p>
        </w:tc>
      </w:tr>
    </w:tbl>
    <w:p>
      <w:pPr>
        <w:pStyle w:val="3"/>
      </w:pPr>
      <w:r>
        <w:t>1.7. Критерии приемки результатов</w:t>
      </w:r>
    </w:p>
    <w:p>
      <w:r>
        <w:t>1. Точность измерения: отклонение от калибровочного значения не более ±0.05 °C.</w:t>
        <w:br/>
        <w:t>2. Повторяемость: коэффициент вариации (CV) для пяти повторных измерений ≤ 1 %.</w:t>
        <w:br/>
        <w:t>3. Соответствие контрольным точкам: все ККТ выполнены в пределах допустимых диапазонов.</w:t>
        <w:br/>
        <w:t>4. Отсутствие отклонений в работе оборудования: отсутствие ошибок, указанных в журнале эксплуатации (например, «error – sensor failure»).</w:t>
      </w:r>
    </w:p>
    <w:p>
      <w:r>
        <w:t>При несоответствии любому из критериев результаты считаются недействительными и подлежат повторному измерению после устранения причины отклонения.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