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Настоящая стандартная операционная процедура (СОП) разработана для обеспечения безопасной и эффективной эксплуатации осмометра K-7400S Semi-Micro Osmometer в лабораторных условиях. Осмометр используется для измерения осмотического давления растворов, что является критически важным для различных научных и производственных приложений.</w:t>
      </w:r>
    </w:p>
    <w:p>
      <w:pPr>
        <w:pStyle w:val="3"/>
      </w:pPr>
      <w:r>
        <w:t>1.1. Цель и область применения</w:t>
      </w:r>
    </w:p>
    <w:p>
      <w:r>
        <w:t>Целью настоящей СОП является установление стандартных процедур для эксплуатации осмометра K-7400S Semi-Micro Osmometer, обеспечения точности и надежности измерений, а также соблюдения требований безопасности при работе с оборудованием.</w:t>
      </w:r>
    </w:p>
    <w:p>
      <w:r>
        <w:t>Область применения настоящей СОП включает:</w:t>
      </w:r>
    </w:p>
    <w:p>
      <w:r>
        <w:t>Эксплуатацию осмометра K-7400S Semi-Micro Osmometer в лабораторных условиях.</w:t>
      </w:r>
    </w:p>
    <w:p>
      <w:r>
        <w:t>Проведение измерений осмотического давления растворов.</w:t>
      </w:r>
    </w:p>
    <w:p>
      <w:r>
        <w:t>Обеспечение безопасности персонала, работающего с оборудованием.</w:t>
      </w:r>
    </w:p>
    <w:p>
      <w:pPr>
        <w:pStyle w:val="3"/>
      </w:pPr>
      <w:r>
        <w:t>1.2. Нормативные ссылки</w:t>
      </w:r>
    </w:p>
    <w:p>
      <w:r>
        <w:t>Настоящая СОП разработана на основе следующих нормативных документов и технических спецификаций:</w:t>
      </w:r>
    </w:p>
    <w:p>
      <w:r>
        <w:t>Руководство пользователя осмометра K-7400S Semi-Micro Osmometer (V3700).</w:t>
      </w:r>
    </w:p>
    <w:p>
      <w:r>
        <w:t>Технические параметры и спецификации осмометра.</w:t>
      </w:r>
    </w:p>
    <w:p>
      <w:pPr>
        <w:pStyle w:val="3"/>
      </w:pPr>
      <w:r>
        <w:t>1.3. Меры безопасности</w:t>
      </w:r>
    </w:p>
    <w:p>
      <w:r>
        <w:t>При работе с осмометром необходимо соблюдать следующие меры безопасности:</w:t>
      </w:r>
    </w:p>
    <w:p>
      <w:r>
        <w:t>warning: Предупреждение о необходимости внимательного прочтения руководства пользователя и соблюдения мер безопасности.</w:t>
      </w:r>
    </w:p>
    <w:p>
      <w:r>
        <w:t>danger: Опасность, связанная с использованием оборудования, и необходимость соблюдения мер предосторожности для предотвращения доступа неуполномоченных лиц.</w:t>
      </w:r>
    </w:p>
    <w:p>
      <w:pPr>
        <w:pStyle w:val="3"/>
      </w:pPr>
      <w:r>
        <w:t>1.4. Технические характеристики</w:t>
      </w:r>
    </w:p>
    <w:p>
      <w:r>
        <w:t>Осмометр K-7400S Semi-Micro Osmometer имеет следующие технические характеристики:</w:t>
      </w:r>
    </w:p>
    <w:p>
      <w:r>
        <w:t>Time: 17, 21, 5</w:t>
      </w:r>
    </w:p>
    <w:p>
      <w:r>
        <w:t>Volume: 28, 29, 2</w:t>
      </w:r>
    </w:p>
    <w:p>
      <w:r>
        <w:t>Temperature: 30, 1.858, 8, 0, 20</w:t>
      </w:r>
    </w:p>
    <w:p>
      <w:pPr>
        <w:pStyle w:val="3"/>
      </w:pPr>
      <w:r>
        <w:t>1.5. Контрольные точки и критерии приемки</w:t>
      </w:r>
    </w:p>
    <w:p>
      <w:r>
        <w:t>Контрольные точки и критерии приемки для осмометра включают:</w:t>
      </w:r>
    </w:p>
    <w:p>
      <w:r>
        <w:t>Точность измерений осмотического давления.</w:t>
      </w:r>
    </w:p>
    <w:p>
      <w:r>
        <w:t>Стабильность показаний прибора.</w:t>
      </w:r>
    </w:p>
    <w:p>
      <w:r>
        <w:t>Соблюдение требований безопасности при эксплуатации.</w:t>
      </w:r>
    </w:p>
    <w:p>
      <w:pPr>
        <w:pStyle w:val="3"/>
      </w:pPr>
      <w:r>
        <w:t>1.6. Требования к персоналу</w:t>
      </w:r>
    </w:p>
    <w:p>
      <w:r>
        <w:t>К работе с осмометром допускаются лица, прошедшие обучение и инструктаж по эксплуатации оборудования и мерам безопасности. Персонал должен быть ознакомлен с руководством пользователя и настоящей СОП.</w:t>
      </w:r>
    </w:p>
    <w:p>
      <w:pPr>
        <w:pStyle w:val="3"/>
      </w:pPr>
      <w:r>
        <w:t>1.7. Риски и меры предосторожности</w:t>
      </w:r>
    </w:p>
    <w:p>
      <w:r>
        <w:t>При работе с осмометром существуют следующие риски:</w:t>
      </w:r>
    </w:p>
    <w:p>
      <w:r>
        <w:t>Риск получения травмы при неправильной эксплуатации оборудования.</w:t>
      </w:r>
    </w:p>
    <w:p>
      <w:r>
        <w:t>Риск повреждения оборудования при несоблюдении мер предосторожности.</w:t>
      </w:r>
    </w:p>
    <w:p>
      <w:r>
        <w:t>Меры предосторожности включают:</w:t>
      </w:r>
    </w:p>
    <w:p>
      <w:r>
        <w:t>Соблюдение требований безопасности при эксплуатации оборудования.</w:t>
      </w:r>
    </w:p>
    <w:p>
      <w:r>
        <w:t>Регулярное обслуживание и проверка оборудования.</w:t>
      </w:r>
    </w:p>
    <w:p>
      <w:pPr>
        <w:pStyle w:val="1"/>
      </w:pPr>
      <w:r>
        <w:t>2. Функционал</w:t>
      </w:r>
    </w:p>
    <w:p>
      <w:pPr>
        <w:pStyle w:val="3"/>
      </w:pPr>
      <w:r>
        <w:t>2.1. Основные функции осмометра</w:t>
      </w:r>
    </w:p>
    <w:p>
      <w:r>
        <w:t>Осмометр K-7400S Semi-Micro Osmometer предназначен для измерения осмотического давления растворов. Основные функции прибора включают:</w:t>
      </w:r>
    </w:p>
    <w:p>
      <w:r>
        <w:t>Измерение осмотического давления в диапазоне от 0 до 1500 мОсм/кг.</w:t>
      </w:r>
    </w:p>
    <w:p>
      <w:r>
        <w:t>Автоматическое проведение измерений с высокой точностью.</w:t>
      </w:r>
    </w:p>
    <w:p>
      <w:r>
        <w:t>Возможность работы с различными типами растворов.</w:t>
      </w:r>
    </w:p>
    <w:p>
      <w:pPr>
        <w:pStyle w:val="3"/>
      </w:pPr>
      <w:r>
        <w:t>2.2. Технические параметры и спецификации</w:t>
      </w:r>
    </w:p>
    <w:p>
      <w:r>
        <w:t>Осмометр имеет следующие технические параметры и спецификации:</w:t>
      </w:r>
    </w:p>
    <w:p>
      <w:r>
        <w:t>Диапазон измерения осмотического давления: 0 - 1500 мОсм/кг.</w:t>
      </w:r>
    </w:p>
    <w:p>
      <w:r>
        <w:t>Точность измерения: ± 1 мОсм/кг.</w:t>
      </w:r>
    </w:p>
    <w:p>
      <w:r>
        <w:t>Объем пробы: 2-28 мкл.</w:t>
      </w:r>
    </w:p>
    <w:p>
      <w:r>
        <w:t>Время измерения: 5-21 секунда.</w:t>
      </w:r>
    </w:p>
    <w:p>
      <w:r>
        <w:t>Рабочая температура: 0-30°C.</w:t>
      </w:r>
    </w:p>
    <w:p>
      <w:pPr>
        <w:pStyle w:val="3"/>
      </w:pPr>
      <w:r>
        <w:t>2.3. Эксплуатационные требования</w:t>
      </w:r>
    </w:p>
    <w:p>
      <w:pPr>
        <w:pStyle w:val="3"/>
      </w:pPr>
      <w:r>
        <w:t>2.4. Контроль и диагностика</w:t>
      </w:r>
    </w:p>
    <w:p>
      <w:r>
        <w:t>Осмометр оснащен функциями контроля и диагностики, которые включают:</w:t>
      </w:r>
    </w:p>
    <w:p>
      <w:r>
        <w:t>Автоматическую проверку работоспособности прибора.</w:t>
      </w:r>
    </w:p>
    <w:p>
      <w:r>
        <w:t>Индикацию ошибок и неисправностей.</w:t>
      </w:r>
    </w:p>
    <w:p>
      <w:r>
        <w:t>Возможность калибровки и настройки прибора.</w:t>
      </w:r>
    </w:p>
    <w:p>
      <w:pPr>
        <w:pStyle w:val="3"/>
      </w:pPr>
      <w:r>
        <w:t>2.5. Меры безопасности при эксплуатации</w:t>
      </w:r>
    </w:p>
    <w:p>
      <w:r>
        <w:t>При эксплуатации осмометра необходимо соблюдать следующие меры безопасности:</w:t>
      </w:r>
    </w:p>
    <w:p>
      <w:r>
        <w:t>Использовать защитное оборудование (СИЗ) при работе с прибором.</w:t>
      </w:r>
    </w:p>
    <w:p>
      <w:r>
        <w:t>Избегать касания электрических компонентов.</w:t>
      </w:r>
    </w:p>
    <w:p>
      <w:r>
        <w:t>Обеспечить вентиляцию рабочей области.</w:t>
      </w:r>
    </w:p>
    <w:p>
      <w:pPr>
        <w:pStyle w:val="3"/>
      </w:pPr>
      <w:r>
        <w:t>2.6. Требования к персоналу</w:t>
      </w:r>
    </w:p>
    <w:p>
      <w:r>
        <w:t>К работе с осмометром допускаются лица, прошедшие обучение и инструктаж по эксплуатации оборудования и мерам безопасности. Персонал должен быть ознакомлен с руководством пользователя и настоящей СОП.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