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Эксплуатация Осмометра</w:t>
      </w:r>
    </w:p>
    <w:p>
      <w:r>
        <w:t>Номер: SOP-LAB-001.01</w:t>
      </w:r>
    </w:p>
    <w:p>
      <w:pPr>
        <w:pStyle w:val="2"/>
      </w:pPr>
      <w:r>
        <w:t>1. Цель и область применения</w:t>
      </w:r>
    </w:p>
    <w:p>
      <w:r>
        <w:t>Целью настоящей стандартной операционной процедуры (СОП) является определение порядка эксплуатации осмометра для обеспечения точности и надежности результатов измерений. Область применения СОП включает все этапы эксплуатации осмометра, от подготовки к работе до устранения неисправностей.</w:t>
      </w:r>
    </w:p>
    <w:p>
      <w:r>
        <w:t>Настоящая СОП применяется для всех сотрудников лабораторий, имеющих отношение к эксплуатации осмометра. Ограничения: СОП не распространяется на техническое обслуживание и ремонт осмометра.</w:t>
      </w:r>
    </w:p>
    <w:p>
      <w:r>
        <w:t>Исключения: СОП не применяется для осмометров, используемых в полевых условиях или для измерений в агрессивных средах.</w:t>
      </w:r>
    </w:p>
    <w:p>
      <w:pPr>
        <w:pStyle w:val="2"/>
      </w:pPr>
      <w:r>
        <w:t>2. Ответственность и обучение</w:t>
      </w:r>
    </w:p>
    <w:p>
      <w:r>
        <w:t>Ответственность за эксплуатацию осмометра возлагается на сотрудников лабораторий, прошедших обучение и имеющих соответствующие квалификационные документы.</w:t>
      </w:r>
    </w:p>
    <w:p>
      <w:r>
        <w:t>Требования к квалификации и сертификации:</w:t>
      </w:r>
    </w:p>
    <w:p>
      <w:r>
        <w:t>Сотрудники лабораторий должны иметь высшее образование в области химии, биологии или физики.</w:t>
      </w:r>
    </w:p>
    <w:p>
      <w:r>
        <w:t>Сотрудники лабораторий должны пройти обучение по эксплуатации осмометра и иметь соответствующий сертификат.</w:t>
      </w:r>
    </w:p>
    <w:p>
      <w:r>
        <w:t>Программа обучения и переаттестации:</w:t>
      </w:r>
    </w:p>
    <w:p>
      <w:r>
        <w:t>Обучение проводится ежегодно.</w:t>
      </w:r>
    </w:p>
    <w:p>
      <w:r>
        <w:t>Переаттестация проводится каждые 2 года.</w:t>
      </w:r>
    </w:p>
    <w:p>
      <w:pPr>
        <w:pStyle w:val="2"/>
      </w:pPr>
      <w:r>
        <w:t>3. Анализ рисков и безопасность</w:t>
      </w:r>
    </w:p>
    <w:p>
      <w:r>
        <w:t>Идентификация конкретных опасностей:</w:t>
      </w:r>
    </w:p>
    <w:p>
      <w:r>
        <w:t>Риск электрического удара.</w:t>
      </w:r>
    </w:p>
    <w:p>
      <w:r>
        <w:t>Риск повреждения осмометра.</w:t>
      </w:r>
    </w:p>
    <w:p>
      <w:r>
        <w:t>Оценка рисков:</w:t>
      </w:r>
    </w:p>
    <w:p>
      <w:r>
        <w:t>Вероятность: высокая.</w:t>
      </w:r>
    </w:p>
    <w:p>
      <w:r>
        <w:t>Последствия: критические.</w:t>
      </w:r>
    </w:p>
    <w:p>
      <w:r>
        <w:t>Меры предотвращения и защиты:</w:t>
      </w:r>
    </w:p>
    <w:p>
      <w:r>
        <w:t>Использовать средства индивидуальной защиты (СИЗ).</w:t>
      </w:r>
    </w:p>
    <w:p>
      <w:r>
        <w:t>Обеспечить правильное заземление осмометра.</w:t>
      </w:r>
    </w:p>
    <w:p>
      <w:r>
        <w:t>Требования к СИЗ:</w:t>
      </w:r>
    </w:p>
    <w:p>
      <w:r>
        <w:t>СИЗ должны быть сертифицированы и соответствовать требованиям безопасности.</w:t>
      </w:r>
    </w:p>
    <w:p>
      <w:pPr>
        <w:pStyle w:val="2"/>
      </w:pPr>
      <w:r>
        <w:t>4. Оборудование и материалы</w:t>
      </w:r>
    </w:p>
    <w:p>
      <w:r>
        <w:t>Полный перечень оборудования с моделями:</w:t>
      </w:r>
    </w:p>
    <w:p>
      <w:r>
        <w:t>Осмометр K-7400S.</w:t>
      </w:r>
    </w:p>
    <w:p>
      <w:r>
        <w:t>Термометр.</w:t>
      </w:r>
    </w:p>
    <w:p>
      <w:r>
        <w:t>Технические характеристики и спецификации:</w:t>
      </w:r>
    </w:p>
    <w:p>
      <w:r>
        <w:t>Диапазон измерений: 0-1000 мосм/кг.</w:t>
      </w:r>
    </w:p>
    <w:p>
      <w:r>
        <w:t>Точность: ±1 мосм/кг.</w:t>
      </w:r>
    </w:p>
    <w:p>
      <w:r>
        <w:t>Требования к материалам и реагентам:</w:t>
      </w:r>
    </w:p>
    <w:p>
      <w:r>
        <w:t>Реагенты должны быть сертифицированы и соответствовать требованиям производителя осмометра.</w:t>
      </w:r>
    </w:p>
    <w:p>
      <w:pPr>
        <w:pStyle w:val="2"/>
      </w:pPr>
      <w:r>
        <w:t>5. Пошаговые процедуры</w:t>
      </w:r>
    </w:p>
    <w:p>
      <w:r>
        <w:t>Детальная последовательность действий:</w:t>
      </w:r>
    </w:p>
    <w:p>
      <w:pPr>
        <w:pStyle w:val="2"/>
      </w:pPr>
      <w:r>
        <w:t>6. Контроль качества</w:t>
      </w:r>
    </w:p>
    <w:p>
      <w:r>
        <w:t>Критерии приемки результатов:</w:t>
      </w:r>
    </w:p>
    <w:p>
      <w:r>
        <w:t>Результаты измерений должны соответствовать ожидаемым значениям.</w:t>
      </w:r>
    </w:p>
    <w:p>
      <w:r>
        <w:t>Методы контроля и валидации:</w:t>
      </w:r>
    </w:p>
    <w:p>
      <w:r>
        <w:t>Контроль качества проводится ежедневно.</w:t>
      </w:r>
    </w:p>
    <w:p>
      <w:r>
        <w:t>Валидация проводится ежегодно.</w:t>
      </w:r>
    </w:p>
    <w:p>
      <w:r>
        <w:t>Допустимые отклонения и RSD:</w:t>
      </w:r>
    </w:p>
    <w:p>
      <w:r>
        <w:t>Допустимое отклонение: ±2%.</w:t>
      </w:r>
    </w:p>
    <w:p>
      <w:r>
        <w:t>RSD: 1,5%.</w:t>
      </w:r>
    </w:p>
    <w:p>
      <w:pPr>
        <w:pStyle w:val="2"/>
      </w:pPr>
      <w:r>
        <w:t>7. Документооборот и записи</w:t>
      </w:r>
    </w:p>
    <w:p>
      <w:r>
        <w:t>Обязательные записи и журналы:</w:t>
      </w:r>
    </w:p>
    <w:p>
      <w:r>
        <w:t>Журнал регистрации измерений.</w:t>
      </w:r>
    </w:p>
    <w:p>
      <w:r>
        <w:t>Журнал технического обслуживания.</w:t>
      </w:r>
    </w:p>
    <w:p>
      <w:r>
        <w:t>Форматы документов и отчетов:</w:t>
      </w:r>
    </w:p>
    <w:p>
      <w:r>
        <w:t>Документы должны быть оформлены в соответствии с требованиями СМК.</w:t>
      </w:r>
    </w:p>
    <w:p>
      <w:r>
        <w:t>Сроки хранения документации:</w:t>
      </w:r>
    </w:p>
    <w:p>
      <w:r>
        <w:t>Документация хранится в течение 5 лет.</w:t>
      </w:r>
    </w:p>
    <w:p>
      <w:pPr>
        <w:pStyle w:val="2"/>
      </w:pPr>
      <w:r>
        <w:t>8. Нормативные ссылки</w:t>
      </w:r>
    </w:p>
    <w:p>
      <w:r>
        <w:t>Ссылки на применимые стандарты и нормативные документы:</w:t>
      </w:r>
    </w:p>
    <w:p>
      <w:r>
        <w:t>ГОСТ Р ИСО 9001-2015.</w:t>
      </w:r>
    </w:p>
    <w:p>
      <w:r>
        <w:t>ISO 45001:2018.</w:t>
      </w:r>
    </w:p>
    <w:p>
      <w:pPr>
        <w:pStyle w:val="2"/>
      </w:pPr>
      <w:r>
        <w:t>9. Устранение неисправностей</w:t>
      </w:r>
    </w:p>
    <w:p>
      <w:r>
        <w:t>Таблица Симптом → Вероятная причина → Действие:</w:t>
      </w:r>
    </w:p>
    <w:p>
      <w:r>
        <w:t>Симптом: Осмометр не включается.</w:t>
      </w:r>
    </w:p>
    <w:p>
      <w:r>
        <w:t>Вероятная причина: Неисправность кабеля питания.</w:t>
      </w:r>
    </w:p>
    <w:p>
      <w:r>
        <w:t>Действие: Проверить кабель питания и заменить при необходимости.</w:t>
      </w:r>
    </w:p>
    <w:p>
      <w:r>
        <w:t>Диагностические процедуры:</w:t>
      </w:r>
    </w:p>
    <w:p>
      <w:r>
        <w:t>Проверить электрическое соединение.</w:t>
      </w:r>
    </w:p>
    <w:p>
      <w:r>
        <w:t>Критерии для вызова сервиса:</w:t>
      </w:r>
    </w:p>
    <w:p>
      <w:r>
        <w:t>Если неисправность не может быть устранена самостоятельно.</w:t>
      </w:r>
    </w:p>
    <w:p>
      <w:r>
        <w:t>Процедуры восстановления работы:</w:t>
      </w:r>
    </w:p>
    <w:p>
      <w:r>
        <w:t>Выполнить перезапуск осмометра.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