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Настоящая стандартная операционная процедура (СОП) разработана для обеспечения безопасной и эффективной эксплуатации осмометра K-7400S Semi-Micro Osmometer в лабораторных условиях. Осмометр используется для измерения осмотического давления растворов, что является критически важным в различных областях науки и промышленности, включая химию, биологию, медицину и пищевую промышленность.</w:t>
      </w:r>
    </w:p>
    <w:p>
      <w:pPr>
        <w:pStyle w:val="3"/>
      </w:pPr>
      <w:r>
        <w:t>Цель и область применения</w:t>
      </w:r>
    </w:p>
    <w:p>
      <w:r>
        <w:t>Целью настоящей СОП является установление стандартных процедур для эксплуатации осмометра K-7400S, обеспечения точности и надежности измерений, а также соблюдения требований безопасности при работе с оборудованием.</w:t>
      </w:r>
    </w:p>
    <w:p>
      <w:r>
        <w:t>Область применения настоящей СОП включает:</w:t>
      </w:r>
    </w:p>
    <w:p>
      <w:r>
        <w:t>Эксплуатацию осмометра K-7400S Semi-Micro Osmometer;</w:t>
      </w:r>
    </w:p>
    <w:p>
      <w:r>
        <w:t>Подготовку и проверку оборудования перед использованием;</w:t>
      </w:r>
    </w:p>
    <w:p>
      <w:r>
        <w:t>Проведение измерений осмотического давления;</w:t>
      </w:r>
    </w:p>
    <w:p>
      <w:r>
        <w:t>Техническое обслуживание и troubleshooting оборудования.</w:t>
      </w:r>
    </w:p>
    <w:p>
      <w:pPr>
        <w:pStyle w:val="3"/>
      </w:pPr>
      <w:r>
        <w:t>Нормативные ссылки</w:t>
      </w:r>
    </w:p>
    <w:p>
      <w:r>
        <w:t>Настоящая СОП разработана на основе следующих документов:</w:t>
      </w:r>
    </w:p>
    <w:p>
      <w:r>
        <w:t>Руководство пользователя осмометра K-7400S Semi-Micro Osmometer (V3700);</w:t>
      </w:r>
    </w:p>
    <w:p>
      <w:r>
        <w:t>Лабораторные стандарты и нормативы по безопасности и эксплуатации оборудования.</w:t>
      </w:r>
    </w:p>
    <w:p>
      <w:pPr>
        <w:pStyle w:val="3"/>
      </w:pPr>
      <w:r>
        <w:t>Ответственность</w:t>
      </w:r>
    </w:p>
    <w:p>
      <w:r>
        <w:t>Персонал, работающий с осмометром, должен быть ознакомлен с настоящей СОП, пройти необходимое обучение и иметь соответствующие квалификации для работы с лабораторным оборудованием.</w:t>
      </w:r>
    </w:p>
    <w:p>
      <w:pPr>
        <w:pStyle w:val="3"/>
      </w:pPr>
      <w:r>
        <w:t>Технические характеристики</w:t>
      </w:r>
    </w:p>
    <w:p>
      <w:r>
        <w:t>Осмометр K-7400S Semi-Micro Osmometer имеет следующие технические характеристики:</w:t>
      </w:r>
    </w:p>
    <w:p>
      <w:r>
        <w:t>Диапазон измерения температуры: 0 - 30°C;</w:t>
      </w:r>
    </w:p>
    <w:p>
      <w:r>
        <w:t>Диапазон измерения осмотического давления: 0 - 1000 мосм/кг;</w:t>
      </w:r>
    </w:p>
    <w:p>
      <w:r>
        <w:t>Точность измерения: ± 0,1°C и ± 1 мосм/кг соответственно.</w:t>
      </w:r>
    </w:p>
    <w:p>
      <w:pPr>
        <w:pStyle w:val="3"/>
      </w:pPr>
      <w:r>
        <w:t>Контрольные точки и критерии приемки</w:t>
      </w:r>
    </w:p>
    <w:p>
      <w:r>
        <w:t>Проверка правильности показаний температуры и осмотического давления;</w:t>
      </w:r>
    </w:p>
    <w:p>
      <w:r>
        <w:t>Калибровка оборудования в соответствии с рекомендациями производителя;</w:t>
      </w:r>
    </w:p>
    <w:p>
      <w:r>
        <w:t>Визуальный осмотр оборудования на предмет повреждений и износа.</w:t>
      </w:r>
    </w:p>
    <w:p>
      <w:r>
        <w:t>Настоящая СОП подлежит пересмотру и обновлению по мере необходимости, но не реже одного раза в два года, или в случае внесения изменений в конструкцию или функциональность осмометра.</w:t>
      </w:r>
    </w:p>
    <w:p>
      <w:pPr>
        <w:pStyle w:val="1"/>
      </w:pPr>
      <w:r>
        <w:t>2. Безопасность</w:t>
      </w:r>
    </w:p>
    <w:p>
      <w:pPr>
        <w:pStyle w:val="3"/>
      </w:pPr>
      <w:r>
        <w:t>2.1. Общие требования безопасности</w:t>
      </w:r>
    </w:p>
    <w:p>
      <w:r>
        <w:t>При работе с осмометром K-7400S Semi-Micro Osmometer необходимо соблюдать правила безопасности, чтобы предотвратить несчастные случаи и обеспечить сохранность оборудования.</w:t>
      </w:r>
    </w:p>
    <w:p>
      <w:pPr>
        <w:pStyle w:val="3"/>
      </w:pPr>
      <w:r>
        <w:t>2.2. Предупреждения и меры предосторожности</w:t>
      </w:r>
    </w:p>
    <w:p>
      <w:r>
        <w:t>Внимание: Перед началом работы с осмометром необходимо ознакомиться с руководством пользователя и соблюдать все предупреждения и указания по безопасности, указанные на устройстве и в руководстве.</w:t>
      </w:r>
    </w:p>
    <w:p>
      <w:r>
        <w:t>Опасность: Осмометр должен использоваться в хорошо проветриваемом помещении, подальше от источников тепла, горючих материалов и агрессивных веществ.</w:t>
      </w:r>
    </w:p>
    <w:p>
      <w:r>
        <w:t>Предупреждение: Запрещено допускать к работе с осмометром неуполномоченных лиц.</w:t>
      </w:r>
    </w:p>
    <w:p>
      <w:pPr>
        <w:pStyle w:val="3"/>
      </w:pPr>
      <w:r>
        <w:t>2.3. Средства индивидуальной защиты (СИЗ)</w:t>
      </w:r>
    </w:p>
    <w:p>
      <w:r>
        <w:t>При работе с осмометром рекомендуется использовать следующие СИЗ:</w:t>
      </w:r>
    </w:p>
    <w:p>
      <w:r>
        <w:t>Халат или спецодежда</w:t>
      </w:r>
    </w:p>
    <w:p>
      <w:r>
        <w:t>Перчатки</w:t>
      </w:r>
    </w:p>
    <w:p>
      <w:r>
        <w:t>Защитные очки</w:t>
      </w:r>
    </w:p>
    <w:p>
      <w:pPr>
        <w:pStyle w:val="3"/>
      </w:pPr>
      <w:r>
        <w:t>2.4. Меры безопасности при работе</w:t>
      </w:r>
    </w:p>
    <w:p>
      <w:r>
        <w:t>1. Электробезопасность: Проверьте состояние кабеля питания и вилки перед использованием. Не используйте осмометр с поврежденным кабелем или вилкой.</w:t>
        <w:br/>
        <w:t>2. Химическая безопасность: При работе с агрессивными веществами используйте защитные перчатки и очки.</w:t>
        <w:br/>
        <w:t>3. Механическая безопасность: Осторожно обращайтесь с измерительными ячейками и другими частями осмометра, чтобы избежать повреждений.</w:t>
      </w:r>
    </w:p>
    <w:p>
      <w:pPr>
        <w:pStyle w:val="3"/>
      </w:pPr>
      <w:r>
        <w:t>2.5. Действия в случае аварии</w:t>
      </w:r>
    </w:p>
    <w:p>
      <w:r>
        <w:t>В случае аварии или повреждения осмометра немедленно отключите его от сети.</w:t>
      </w:r>
    </w:p>
    <w:p>
      <w:r>
        <w:t>При возникновении неисправностей или подозрений на неисправность осмометра обратитесь к руководству пользователя или свяжитесь с сервисным центром.</w:t>
      </w:r>
    </w:p>
    <w:p>
      <w:pPr>
        <w:pStyle w:val="3"/>
      </w:pPr>
      <w:r>
        <w:t>2.6. Обучение и допуск к работе</w:t>
      </w:r>
    </w:p>
    <w:p>
      <w:r>
        <w:t>К работе с осмометром допускаются лица, прошедшие обучение и инструктаж по безопасности.</w:t>
      </w:r>
    </w:p>
    <w:p>
      <w:r>
        <w:t>Персонал должен быть ознакомлен с руководством пользователя и соблюдать все требования безопасности.</w:t>
      </w:r>
    </w:p>
    <w:p>
      <w:pPr>
        <w:pStyle w:val="3"/>
      </w:pPr>
      <w:r>
        <w:t>2.7. Техническое обслуживание и проверка</w:t>
      </w:r>
    </w:p>
    <w:p>
      <w:r>
        <w:t>Регулярно проверяйте осмометр на соответствие требованиям безопасности и работоспособности.</w:t>
      </w:r>
    </w:p>
    <w:p>
      <w:r>
        <w:t>Техническое обслуживание осмометра должно проводиться в соответствии с рекомендациями производителя.</w:t>
      </w:r>
    </w:p>
    <w:p>
      <w:pPr>
        <w:pStyle w:val="1"/>
      </w:pPr>
      <w:r>
        <w:t>3. Характеристики и функционал</w:t>
      </w:r>
    </w:p>
    <w:p>
      <w:pPr>
        <w:pStyle w:val="3"/>
      </w:pPr>
      <w:r>
        <w:t>3.1. Технические характеристики</w:t>
      </w:r>
    </w:p>
    <w:p>
      <w:r>
        <w:t>Осмометр K-7400S Semi-Micro Osmometer имеет следующие технические характеристики:</w:t>
      </w:r>
    </w:p>
    <w:p>
      <w:r>
        <w:t>Время измерения: 17 секунд (минимальное), 21 секунда (стандартное)</w:t>
      </w:r>
    </w:p>
    <w:p>
      <w:r>
        <w:t>Объем образца: 28 мкл, 29 мкл, 2 мкл (минимальный)</w:t>
      </w:r>
    </w:p>
    <w:p>
      <w:r>
        <w:t>Диапазон температур: от 0°C до 30°C</w:t>
      </w:r>
    </w:p>
    <w:p>
      <w:r>
        <w:t>Чувствительность: 1.858 мОсм/кг/°C</w:t>
      </w:r>
    </w:p>
    <w:p>
      <w:r>
        <w:t>Точность: ±0.1 мОсм/кг (при 20°C)</w:t>
      </w:r>
    </w:p>
    <w:p>
      <w:pPr>
        <w:pStyle w:val="3"/>
      </w:pPr>
      <w:r>
        <w:t>3.2. Функционал</w:t>
      </w:r>
    </w:p>
    <w:p>
      <w:r>
        <w:t>Осмометр K-7400S Semi-Micro Osmometer предназначен для измерения осмоляльности растворов и имеет следующие функции:</w:t>
      </w:r>
    </w:p>
    <w:p>
      <w:pPr>
        <w:pStyle w:val="4"/>
      </w:pPr>
      <w:r>
        <w:t>3.2.1. Измерение осмоляльности</w:t>
      </w:r>
    </w:p>
    <w:p>
      <w:r>
        <w:t>Измерение осмоляльности в диапазоне от 0 до 2000 мОсм/кг</w:t>
      </w:r>
    </w:p>
    <w:p>
      <w:r>
        <w:t>Автоматическое вычисление и отображение результатов</w:t>
      </w:r>
    </w:p>
    <w:p>
      <w:pPr>
        <w:pStyle w:val="4"/>
      </w:pPr>
      <w:r>
        <w:t>3.2.2. Управление данными</w:t>
      </w:r>
    </w:p>
    <w:p>
      <w:r>
        <w:t>Сохранение до 100 результатов измерений</w:t>
      </w:r>
    </w:p>
    <w:p>
      <w:r>
        <w:t>Возможность передачи данных на ПК через интерфейс RS-232</w:t>
      </w:r>
    </w:p>
    <w:p>
      <w:pPr>
        <w:pStyle w:val="4"/>
      </w:pPr>
      <w:r>
        <w:t>3.2.3. Калибровка и контроль</w:t>
      </w:r>
    </w:p>
    <w:p>
      <w:r>
        <w:t>Автоматическая калибровка</w:t>
      </w:r>
    </w:p>
    <w:p>
      <w:r>
        <w:t>Контроль температуры и объема образца</w:t>
      </w:r>
    </w:p>
    <w:p>
      <w:pPr>
        <w:pStyle w:val="4"/>
      </w:pPr>
      <w:r>
        <w:t>3.2.4. Режимы работы</w:t>
      </w:r>
    </w:p>
    <w:p>
      <w:r>
        <w:t>Нормальный режим: стандартные измерения</w:t>
      </w:r>
    </w:p>
    <w:p>
      <w:r>
        <w:t>Мик режим: измерения с малым объемом образца (2 мкл)</w:t>
      </w:r>
    </w:p>
    <w:p>
      <w:pPr>
        <w:pStyle w:val="3"/>
      </w:pPr>
      <w:r>
        <w:t>3.3. Эксплуатационные требования</w:t>
      </w:r>
    </w:p>
    <w:p>
      <w:r>
        <w:t>Питание: 100-240 В, 50/60 Гц</w:t>
      </w:r>
    </w:p>
    <w:p>
      <w:r>
        <w:t>Габариты: 17 см х 10 см х 7 см</w:t>
      </w:r>
    </w:p>
    <w:p>
      <w:r>
        <w:t>Вес: 2 кг</w:t>
      </w:r>
    </w:p>
    <w:p>
      <w:pPr>
        <w:pStyle w:val="3"/>
      </w:pPr>
      <w:r>
        <w:t>3.4. Контрольные точки и критерии приемки</w:t>
      </w:r>
    </w:p>
    <w:p>
      <w:r>
        <w:t>Точность измерений: ±0.1 мОсм/кг</w:t>
      </w:r>
    </w:p>
    <w:p>
      <w:r>
        <w:t>Стабильность показаний: ≤0.1 мОсм/кг/час</w:t>
      </w:r>
    </w:p>
    <w:p>
      <w:r>
        <w:t>Время прогрева: 5 минут</w:t>
      </w:r>
    </w:p>
    <w:p>
      <w:pPr>
        <w:pStyle w:val="3"/>
      </w:pPr>
      <w:r>
        <w:t>3.5. Меры безопасности и СИЗ</w:t>
      </w:r>
    </w:p>
    <w:p>
      <w:r>
        <w:t>Предупреждения:</w:t>
      </w:r>
    </w:p>
    <w:p>
      <w:r>
        <w:t>Осторожно: возможность электрического удара</w:t>
      </w:r>
    </w:p>
    <w:p>
      <w:r>
        <w:t>Осторожно: горячая поверхность</w:t>
      </w:r>
    </w:p>
    <w:p>
      <w:r>
        <w:t>СИЗ: перчатки, защитные очки</w:t>
      </w:r>
    </w:p>
    <w:p>
      <w:pPr>
        <w:pStyle w:val="3"/>
      </w:pPr>
      <w:r>
        <w:t>3.6. Устранение неисправностей</w:t>
      </w:r>
    </w:p>
    <w:p>
      <w:r>
        <w:t>Ошибка измерения: проверить калибровку и чистоту датчика</w:t>
      </w:r>
    </w:p>
    <w:p>
      <w:r>
        <w:t>Неисправность дисплея: проверить подключение питания и целостность кабелей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