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A6E"/>
          <w:sz w:val="56"/>
          <w:szCs w:val="56"/>
        </w:rPr>
        <w:t xml:space="preserve">MatchUp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DLT Registration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Technical Documentation &amp; Engineering Justification</w:t>
      </w:r>
    </w:p>
    <w:p>
      <w:pPr>
        <w:spacing w:after="40"/>
      </w:pPr>
    </w:p>
    <w:p>
      <w:pPr>
        <w:pBdr>
          <w:bottom w:val="single" w:color="2563EB" w:sz="4" w:space="1"/>
        </w:pBdr>
        <w:spacing w:after="40"/>
        <w:jc w:val="center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June 2026  |  Prepared for Senior Engineering Review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Introduction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DLT stands for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Distributed Ledger Technology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In the context of telecom compliance in India, DLT refers to the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TRAI-mandated blockchain-based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that every business must register on before sending commercial SMS messages — including transactional OTPs — to Indian mobile numbers.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Telecom Regulatory Authority of India (TRAI) introduced DLT registration in 2018 and made it mandatory for all businesses from March 2021 under its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Telecom Commercial Communication Customer Preference Regulations (TCCCPR)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Without DLT registration, telecom operators will filter and block your SMS before delivery.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explains why DLT is required for MatchUp, what benefits it provides, whether it covers one or multiple projects, and the current pricing and registration plans as of 2026.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Why DLT is Required for MatchUp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2.1 Core Dependency: Phone OTP Authentication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MatchUp uses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phone number as the sole authentication method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Users register and log in via a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one-time password (OTP) delivered by SMS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This is delivered through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Twilio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, which is configured as the SMS provider inside Supabase Auth.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time a user taps "Send OTP", our backend (a Supabase Edge Function) triggers Twilio to send an SMS. Under TRAI's DLT rules, Twilio — as the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licensed telemarketer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cannot route the message unless: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The sender entity (MatchUp / your company) is registered on a DLT platform,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The sender ID (Header) is approved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e.g. MTCHUP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The message template is pre-approved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including the OTP variable placeholder {#var#}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a hard compliance requirement. There is no workaround — any SMS to an Indian mobile number without DLT registration will be blocked by the network operator.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2.2 Indian Market Focus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MatchUp is built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Android-first for the Indian market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All initial users will have Indian mobile numbers (+91). Since DLT applies to all A2P (Application-to-Person) SMS sent to Indian numbers, 100% of our OTP traffic is subject to this regulation.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2.3 Twilio's Requirement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Twilio, as our SMS gateway, enforces TRAI compliance on their platform. They require you to provide: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DLT Entity ID (from your registered entity),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Approved Template ID for each SMS template,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Approved Header / Sender ID.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Without these three values configured in Twilio, messages to +91 numbers will fail with a compliance error.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Benefits of DLT Registration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6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Mandatory under TRAI TCCCPR. Failure = blocked SMS + potential legal action against the business.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OTP Delivery Guarantee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 templates bypass spam filters across all operators (Airtel, Jio, Vi, BSNL). Users reliably receive the OTP within seconds.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Higher Deliverability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DLT-registered messages are treated as verified business communication — they skip operator-level spam filtering that blocks millions of unregistered SMS daily.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Trusted Sender ID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registered Header (e.g., MTCHUP) appears as the sender name instead of a random 10-digit number. This improves user trust and reduces confusion at login.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Template Control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Pre-approved message templates prevent accidental changes that could break delivery. Any new SMS format can be submitted and approved before use.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Cross-operator Sync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Once registered on any one operator's DLT platform (Airtel SmartPing, Jio, Vi, or BSNL), the entity, header, and template data is shared across all operators automatically.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SMS activity is logged on the blockchain ledger — provides proof of compliance and an audit trail if a regulatory query arises.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Single Project or Multiple Projects?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DLT registration is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entity-based, not project-based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This is an important distinction: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register once</w:t>
            </w:r>
          </w:p>
        </w:tc>
        <w:tc>
          <w:tcPr>
            <w:tcW w:type="dxa" w:w="49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create per use-case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company / legal entity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 Headers (Sender IDs) per app/brand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One-time Entity registration fee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 approved template per message type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Annual maintenance charge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and template registration are free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Covers ALL your apps and SMS campaigns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limit on number of headers or templates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MatchUp specifically: you register the entity once, then register a Header like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MTCHUP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and a template for the OTP message. If you later build a second app (e.g., a coaching platform), you add a new Header and new templates under the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same entity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no second registration required.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Bottom line: One DLT registration covers all current and future projects under your company. There is no per-project or per-app fee.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Registration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5.1 Which Platform to Register 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 can register on any one of the four operator DLT platforms — data syncs automatically across all of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Airtel SmartPing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https://smartping.live (recommended, widely 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Jio DLT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https://trueconnect.jio.com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Vi (Vodafone-Idea)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https://vilive.in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BSNL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https://www.ucc-bsnl.co.in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5.2 What You Need to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GST Certificate or Business Registration document,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PAN card of the entity / proprietor,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Aadhaar / authorised signatory details,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Company letterhead or address proof,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DLT template text (OTP message with {#var#} placeholder).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5.3 Timeline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20"/>
        <w:gridCol w:w="2220"/>
      </w:tblGrid>
      <w:tr>
        <w:trPr>
          <w:tblHeader/>
        </w:trPr>
        <w:tc>
          <w:tcPr>
            <w:tcW w:type="dxa" w:w="5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2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 registration submitted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 approval by operator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Operator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2–7 days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(Sender ID) registration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1–3 days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 registration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1–3 days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Entity ID + Template ID in Twilio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OTP SMS delivered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7–21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Plan for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3–4 weeks end-to-end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from application to first live OTP. Start registration before beginning OTP integration testing in staging.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6. Pricing and Plans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6.1 DLT Registration Fees (as of 2026)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70"/>
        <w:gridCol w:w="2670"/>
      </w:tblGrid>
      <w:tr>
        <w:trPr>
          <w:tblHeader/>
        </w:trPr>
        <w:tc>
          <w:tcPr>
            <w:tcW w:type="dxa" w:w="4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7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(excl. GST)</w:t>
            </w:r>
          </w:p>
        </w:tc>
        <w:tc>
          <w:tcPr>
            <w:tcW w:type="dxa" w:w="267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 registration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₹5,000 – ₹5,900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GST on registration (18%)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~₹900 – ₹1,062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upfront cost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~₹6,000 – ₹6,900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Annual maintenance charge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₹2,500 – ₹3,500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registration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sender ID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 registration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template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Note: Exact fees vary slightly by operator (Airtel vs Jio vs Vi). Airtel SmartPing charges ₹5,900 + GST for entity registration. Jio may differ by a few hundred rupees.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6.2 No Per-Message DLT Fee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DLT registration itself has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no per-message charge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You pay the flat registration fee and annual renewal — that's it. The per-OTP cost comes from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Twilio's SMS pricing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(separate from DLT), which is approximately: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₹0.40 – ₹0.80 per SMS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 Indian numbers via Twilio (varies by volume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Twilio offers volume discounts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as monthly SMS volume grows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6.3 Summary: Total Cost for MatchUp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40"/>
      </w:tblGrid>
      <w:tr>
        <w:trPr>
          <w:tblHeader/>
        </w:trPr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46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Amount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DLT entity registration (one-time, incl. GST)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~₹6,900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Annual DLT maintenance (Year 2 onwards)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~₹2,500 – ₹3,500 / year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registration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OTP template registration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Covers future apps / products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 — no additional registration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7. Integration with the MatchUp Stack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Once DLT registration is complete, the Entity ID and Template IDs must be configured in two places: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20"/>
        <w:gridCol w:w="342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configure</w:t>
            </w:r>
          </w:p>
        </w:tc>
        <w:tc>
          <w:tcPr>
            <w:tcW w:type="dxa" w:w="34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Twilio Console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 ID, Template ID, Sender ID (Header)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Messaging &gt; Senders &gt; India DLT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Twilio Account SID, Auth Token, Phone Number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&gt; Settings &gt; SMS Provider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code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changes needed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authRepository.ts calls supabase.auth.signInWithOtp — provider is abstracted away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MatchUp client code (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authRepository.ts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) calls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supabase.auth.signInWithOtp()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supabase.auth.verifyOtp()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. It has no direct knowledge of the SMS provider. All DLT compliance is handled at the Twilio layer — the app code requires no changes when switching providers or updating DLT details.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8. Action Items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2000"/>
        <w:gridCol w:w="1840"/>
      </w:tblGrid>
      <w:tr>
        <w:trPr>
          <w:tblHeader/>
        </w:trPr>
        <w:tc>
          <w:tcPr>
            <w:tcW w:type="dxa" w:w="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 entity on Airtel SmartPing (or Jio DLT)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/ Business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 Header: MTCHUP (or chosen Sender 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/ Business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 OTP template: "Your MatchUp OTP is {#var#}. Valid for 10 minutes. Do not share."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/ Business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Entity ID + Template ID in Twilio Console (India DLT settings)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Twilio as SMS provider in Supabase Auth 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End-to-end OTP test on a real +91 number in staging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TRAI TCCCPR Regulations — https://trai.gov.in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Airtel SmartPing DLT Platform — https://smartping.live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Twilio India DLT Configuration — https://www.twilio.com/docs/sms/india-dlt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Supabase Auth SMS Provider Setup — https://supabase.com/docs/guides/auth/phone-login/twilio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MSG91 / MessageCentral DLT Guide (pricing reference) — https://www.messagecentral.com/blog/a-complete-guide-on-dlt-registration</w:t>
      </w:r>
    </w:p>
    <w:p>
      <w:pPr>
        <w:spacing w:after="200"/>
      </w:pPr>
    </w:p>
    <w:p>
      <w:pPr>
        <w:pBdr>
          <w:top w:val="single" w:color="2563EB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MatchUp Engineering  |  Confidential  |  June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6E" w:sz="6" w:space="1"/>
      </w:pBdr>
      <w:tabs>
        <w:tab w:val="right" w:pos="984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Engineering Document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E" w:sz="6" w:space="1"/>
      </w:pBdr>
      <w:tabs>
        <w:tab w:val="right" w:pos="9840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MatchUp — Technical Documentation</w:t>
    </w:r>
    <w:r>
      <w:rPr>
        <w:rFonts w:ascii="Arial" w:cs="Arial" w:eastAsia="Arial" w:hAnsi="Arial"/>
        <w:color w:val="6B7280"/>
        <w:sz w:val="18"/>
        <w:szCs w:val="18"/>
      </w:rPr>
      <w:t xml:space="preserve">	DLT Registration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2026-06-28T08:23:27.059Z</dcterms:created>
  <dcterms:modified xsi:type="dcterms:W3CDTF">2026-06-28T08:23:27.059Z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