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SQARMA research execution prompt</w:t>
      </w:r>
    </w:p>
    <w:p>
      <w:pPr>
        <w:pStyle w:val="Heading1"/>
      </w:pPr>
      <w:r>
        <w:t>Repair validation and staged expansion</w:t>
      </w:r>
    </w:p>
    <w:p>
      <w:r>
        <w:t>Prepared for Rakib Hasan Rahad and his local AI research agent. Version 3.0. Prepared 9 October 2026 UTC, corresponding to 8 October 2026 in Lawrence, Kansas.</w:t>
      </w:r>
    </w:p>
    <w:p>
      <w:r>
        <w:t>Read this entire document before executing. It is a complete continuation prompt for the existing SQARMA project. Preserve the audited pilot, repair the remaining defects, verify original STAR3D against its paper and source, complete the missing inventory and seed-comparison tasks, and then perform a bounded expansion only after the specified checks pass. Deliver an understandable, reproducible research report for the professor.</w:t>
      </w:r>
    </w:p>
    <w:p>
      <w:r>
        <w:t>Current decision: the preQ1 candidate is ready for discussion as a structurally supported hypothesis. The pipeline is ready for repairs and controlled validation, but an unrestricted large survey is premature. This prompt authorizes a staged expansion on existing local resources after objective readiness checks pass. It does not require a new permission question for each successful stage.</w:t>
      </w:r>
    </w:p>
    <w:p>
      <w:pPr>
        <w:pStyle w:val="Heading1"/>
      </w:pPr>
      <w:r>
        <w:t>1 Project objective and working boundaries</w:t>
      </w:r>
    </w:p>
    <w:p>
      <w:r>
        <w:t xml:space="preserve">You are the local computational research agent for </w:t>
      </w:r>
      <w:hyperlink r:id="rId11">
        <w:r>
          <w:rPr>
            <w:color w:val="174A6E"/>
          </w:rPr>
          <w:t>https://github.com/Rakib-Hasan-Rahad/SQARMA</w:t>
        </w:r>
      </w:hyperlink>
      <w:r>
        <w:t>.</w:t>
      </w:r>
      <w:r>
        <w:t xml:space="preserve"> Work in rfam_star3d_pilot_v2 unless repository instructions specify a successor directory. Inspect applicable AGENTS.md instructions, the current branch, uncommitted changes, and the latest reports before modifying anything. Preserve other work. Create a dedicated branch and commit logically grouped changes locally. Do not push, merge, contact curators or send messages unless separately authorized.</w:t>
      </w:r>
    </w:p>
    <w:p>
      <w:r>
        <w:t>Our immediate question is whether nucleotide correspondences in ordinary Rfam seed alignments differ from original STAR3D structural correspondences for biologically suitable, distinct homologous RNAs, and what local structural evidence says about those differences. Examine the full assessable correspondence first, then investigate stems, loops and motif regions, especially noncanonical contacts. Neither alignment is ground truth. Agreement, genuine structural variation and unresolved cases are valid outcomes.</w:t>
      </w:r>
    </w:p>
    <w:p>
      <w:r>
        <w:t>Keep standard Rfam.seed.gz release 15.1 as the primary reference. A separate ordinary-versus-structure-curated seed survey answers a professor-requested provenance question; its results must not replace or silently modify the primary reference. Do not add missing rows with cmalign. Use original STAR3D v1.2 for the primary comparison, never LocalSTAR3D or CircularSTAR3D as a substitute.</w:t>
      </w:r>
    </w:p>
    <w:p>
      <w:r>
        <w:t>The long-term motivation is better noncanonical-pair and motif identification, potentially from one sequence. This experiment uses known experimental structures. It is not yet a sequence-only predictor, a validated correction algorithm or a benchmark proving STAR3D superior.</w:t>
      </w:r>
    </w:p>
    <w:p>
      <w:pPr>
        <w:pStyle w:val="Heading1"/>
      </w:pPr>
      <w:r>
        <w:t>2 Requirements from the professor and their current status</w:t>
      </w:r>
    </w:p>
    <w:p>
      <w:r>
        <w:t>The supplied meeting transcript is imperfect. Its clear scientific requests and the later user choices are summarized below. Do not turn an ambiguous phrase into a new absolute rule.</w:t>
      </w:r>
    </w:p>
    <w:tbl>
      <w:tblPr>
        <w:tblW w:type="auto" w:w="0"/>
        <w:jc w:val="center"/>
        <w:tblLayout w:type="fixed"/>
        <w:tblLook w:firstColumn="1" w:firstRow="1" w:lastColumn="0" w:lastRow="0" w:noHBand="0" w:noVBand="1" w:val="04A0"/>
      </w:tblPr>
      <w:tblGrid>
        <w:gridCol w:w="3600"/>
        <w:gridCol w:w="2448"/>
        <w:gridCol w:w="4032"/>
      </w:tblGrid>
      <w:tr>
        <w:trPr>
          <w:cantSplit/>
          <w:tblHeader/>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line="240" w:lineRule="auto"/>
            </w:pPr>
            <w:r>
              <w:rPr>
                <w:b/>
                <w:sz w:val="20"/>
              </w:rPr>
              <w:t>Requirement</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line="240" w:lineRule="auto"/>
            </w:pPr>
            <w:r>
              <w:rPr>
                <w:b/>
                <w:sz w:val="20"/>
              </w:rPr>
              <w:t>Current status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line="240" w:lineRule="auto"/>
            </w:pPr>
            <w:r>
              <w:rPr>
                <w:b/>
                <w:sz w:val="20"/>
              </w:rPr>
              <w:t>Work required</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Count families with at least two distinct sequence sources represented by suitable PDB structures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Partial candidate inventory</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Report reviewed eligibility, unresolved cases and sampling limits separately</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Link PDB chain and family region to the actual Rfam row and explain origin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Implemented for selected pilot rows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Extend verified links and evidence cards to new candidates</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Avoid repeated structures of the same sequence and inspect engineering</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Implemented with corrections</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Group by biological source and sequence, not PDB ID; keep engineered cases separate</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Compare shared sequences in ordinary and structure-curated seed collections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Deferred previously</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Complete separate Survey B without changing the primary ordinary-seed baseline</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Run original STAR3D and investigate structurally meaningful differences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Pilot completed</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Verify paper and implementation, finish reproduction and inspect noncanonical evidence</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Ask Smriti about predicted structures if suitable experimental examples cannot be found</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Conditional fallback</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Experimental examples now exist; keep this as a documented fallback, not a dependency</w:t>
            </w:r>
          </w:p>
        </w:tc>
      </w:tr>
    </w:tbl>
    <w:p>
      <w:pPr>
        <w:spacing w:after="0"/>
      </w:pPr>
    </w:p>
    <w:p>
      <w:r>
        <w:t>The professor emphasized different underlying RNA sequences and gave different organisms as examples. For the primary expanded set, prefer distinct species with distinct natural sequences. Same-species distinct loci may be reviewed separately if their biology is clear; do not count identical sequences from different species as independent sequence comparisons. Do not invent a numerical sequence-divergence threshold and attribute it to the professor.</w:t>
      </w:r>
    </w:p>
    <w:p>
      <w:r>
        <w:t>The latest user request asks us to address previously omitted professor tasks. Therefore Survey B is restored here as an auxiliary analysis. Earlier instructions to use ordinary seeds continue to govern the main STAR3D comparison. Do not characterize ordinary seeds as purely sequence-based or free of structural curation: that assumption is false in general [3–5].</w:t>
      </w:r>
    </w:p>
    <w:p>
      <w:pPr>
        <w:pStyle w:val="Heading1"/>
      </w:pPr>
      <w:r>
        <w:t>3 Preserve and verify the starting evidence</w:t>
      </w:r>
    </w:p>
    <w:p>
      <w:r>
        <w:t>The last audited main commit was ac6ff555363cc225941a7af53b8fb9fb05989721, merging repair commit 41514ab8ca62ab351add2507c718fd101bed695b. Check current HEAD rather than assuming it is unchanged. The statement that 41514ab was not pushed or merged was superseded by the observed GitHub merge. Record actual repository status.</w:t>
      </w:r>
    </w:p>
    <w:p>
      <w:r>
        <w:t>Archive configuration, cohort decisions, scripts, outputs, reports, environment information and checksums before regeneration. Preserve audit/v2.0_snapshot_7f94cba and audit/fresh_repro. Mark the existing seven pairs as a development set used for debugging and proposing a local adjustment. Newly added families are prospective evidence under a frozen protocol, not interchangeable with those development cases.</w:t>
      </w:r>
    </w:p>
    <w:p>
      <w:r>
        <w:t>Reproduce the following audited checks. They are expected observations, not values to hard-code: 33 existing tests pass; 1,634 detailed interaction rows and 210 summary rows reproduce; 18 fresh preQ1 STAR3D mappings match retained mappings; the three fresh FR3D outputs match; three rebuilt preQ1 PDB inputs are byte-identical; four shared-anchor fit tables reproduce; 52 snapshot hashes and 190 archive manifest entries verify. Count only current attempts in current-run summaries and retain historical attempts separately.</w:t>
      </w:r>
    </w:p>
    <w:p>
      <w:r>
        <w:t>The source genomes independently checked for the preQ1 constructs are AE008691.1 for 6VUI, AL009126.3 for 3FU2 and CP010796.1 for 7REX. Full deposited sequences match those records over 33, 34 and 34 nucleotides, respectively. Verify identifiers, sequence orientation and locus coordinates from retained or freshly fetched records. State that no sequence changes were detected over the checked interval; an exact match does not prove every aspect of experimental preparation.</w:t>
      </w:r>
    </w:p>
    <w:p>
      <w:pPr>
        <w:pStyle w:val="Heading1"/>
      </w:pPr>
      <w:r>
        <w:t>4 Repair the remaining software and reporting defects</w:t>
      </w:r>
    </w:p>
    <w:p>
      <w:pPr>
        <w:pStyle w:val="Heading2"/>
      </w:pPr>
      <w:r>
        <w:t>Repair A Write valid Stockholm records</w:t>
      </w:r>
    </w:p>
    <w:p>
      <w:r>
        <w:t>In scripts/reference.py, results/standard_seed_rows.sto currently combines five family alignments of widths 70, 178, 211, 239 and 461 inside one Stockholm record. The repository parser rejects it with unequal sequence lengths. This is a derived-file defect; the original seed archive and audited correspondence tables remain valid.</w:t>
      </w:r>
    </w:p>
    <w:p>
      <w:r>
        <w:t>Write one complete Stockholm record per family, each with its own header, family accession, sequence rows, relevant annotations and // terminator. Preserve original column positions and row strings within each family. Never pad unrelated families to a shared width. Add a regression test with at least two unequal-width families and a round-trip test on all five actual pilot families. Verify unchanged row hashes and correspondence tables, then update the evidence archive and its checksums.</w:t>
      </w:r>
    </w:p>
    <w:p>
      <w:pPr>
        <w:pStyle w:val="Heading2"/>
      </w:pPr>
      <w:r>
        <w:t>Repair B Stop fresh reproduction on input mismatches</w:t>
      </w:r>
    </w:p>
    <w:p>
      <w:r>
        <w:t>In scripts/fresh_repro.py, coordinate-download checksum comparisons are recorded but do not currently stop downstream processing. Save a mismatch diagnostic, quarantine the new bytes separately, and stop the dependent attempt before rebuilding inputs, preprocessing, annotation or alignment. Do not silently adopt a new coordinate version. Apply the same rule to software and any rebuilt input whose identity is required to match.</w:t>
      </w:r>
    </w:p>
    <w:p>
      <w:r>
        <w:t>Distinguish compressed-file changes from decompressed-content changes, but under the current strict pinned-input policy accept neither automatically. A gzip-container-only change can be documented for a later explicit source-version decision. Write the diagnostic before exiting so a failure cannot disappear with an incomplete final summary. Add tests proving that an altered download and altered rebuilt input prevent downstream execution. A successful subprocess exit alone is not scientific validation.</w:t>
      </w:r>
    </w:p>
    <w:p>
      <w:pPr>
        <w:pStyle w:val="Heading2"/>
      </w:pPr>
      <w:r>
        <w:t>Repair C Verify provenance rather than copying configuration labels</w:t>
      </w:r>
    </w:p>
    <w:p>
      <w:r>
        <w:t>Check that the FR3D package actually imported by the interpreter matches the pinned Git commit. Use installed distribution provenance or a verified source checkout; do not merely write the expected commit from config into a sidecar. Hash both raw annotation outputs and verify their completeness before cache reuse. Keep reconstructed provenance clearly labelled. If the running version cannot be established, report the limitation and regenerate in a verified environment.</w:t>
      </w:r>
    </w:p>
    <w:p>
      <w:r>
        <w:t>Enforce parser errors, declared-versus-parsed alignment counts, output hashes, injectivity and crosswalk coverage again when consuming stored alignments. A stale manifest saying completed must not overrule malformed current bytes. Validation failures must not become eligible primary replicates. Stage outputs should be written atomically or marked invalid so a failed recomputation cannot look like a successful full table.</w:t>
      </w:r>
    </w:p>
    <w:p>
      <w:pPr>
        <w:pStyle w:val="Heading2"/>
      </w:pPr>
      <w:r>
        <w:t>Repair D Make claims match their evidence</w:t>
      </w:r>
    </w:p>
    <w:p>
      <w:r>
        <w:t>Remove the unsupported claim that the 7REX row was probably introduced by a particular cmalign pipeline. Its specific history is unverified. Replace statements of no base pair with no FR3D annotation where annotation absence is the actual observation. Distinguish absent, unknown, not applicable and unavailable evidence in all cards. Preserve the SAM-I exploratory classification and explain that part of the justification arose after observing the alignment.</w:t>
      </w:r>
    </w:p>
    <w:p>
      <w:r>
        <w:t>Do not reset reviewed interpretations when regenerating regions. If a region boundary or eligibility changes, retain the old review as historical context and mark it for reassessment rather than automatically accepting the old conclusion. Fixes that change scientific outputs require before/after tables and a cohort or analysis version change.</w:t>
      </w:r>
    </w:p>
    <w:p>
      <w:pPr>
        <w:pStyle w:val="Heading1"/>
      </w:pPr>
      <w:r>
        <w:t>5 Read original STAR3D and verify the execution contract</w:t>
      </w:r>
    </w:p>
    <w:p>
      <w:r>
        <w:t>Read Ge and Zhang 2015, STAR3D a stack-based RNA 3D structural alignment tool, DOI 10.1093/nar/gkv697, especially printed pages 2–5 and 8–9 [1]. Read the README and source of the exact original v1.2 package [2]. Create reports/STAR3D_method_audit.md with columns for paper statement, source implementation, current command or input, evidence and resolution of any difference.</w:t>
      </w:r>
    </w:p>
    <w:p>
      <w:r>
        <w:t>The package reviewed while preparing this prompt has SHA-256 c9da44059d9cfc40828e798ebd4f6194c55415e17aaae7d90ac0f849ec2ed946. Its README specifies Linux, Java, bundled MC-Annotate and RemovePseudoknots, and preprocessing before alignment. Its source defaults are RMSD cutoff 4.0, minimum stack size 3, gap open −5, gap extension −2, one thread, match 3 and mismatch 0. The -p flag requests a superposition PDB. Verify the actual binary, source, help output and commands agree; record the JAR hash and runtime architecture.</w:t>
      </w:r>
    </w:p>
    <w:p>
      <w:r>
        <w:t>The paper describes a stack-guided method: derive secondary structure from coordinates, form compatible conserved stacks, then align corresponding loop regions. Stack geometry uses centres of the six backbone atoms C3′, C4′, C5′, O3′, O5′ and P. Loop scoring uses local three-nucleotide geometry and bonuses involving pairing interactions, including noncanonical pairs and pseudoknots. Thus neither canonical nor noncanonical interaction preservation is entirely independent of STAR3D’s objective. FR3D offers a separate annotation implementation, not completely independent biological information [1].</w:t>
      </w:r>
    </w:p>
    <w:p>
      <w:r>
        <w:t>Use the original documented command sequence within the verified package directory, with coordinate files already placed in PDB and unique stems. A template is:</w:t>
      </w:r>
    </w:p>
    <w:p>
      <w:pPr>
        <w:spacing w:after="40"/>
      </w:pPr>
      <w:r>
        <w:rPr>
          <w:rFonts w:ascii="Consolas" w:hAnsi="Consolas"/>
          <w:sz w:val="18"/>
        </w:rPr>
        <w:t>java -cp STAR3D.jar Preprocess query_stem A</w:t>
      </w:r>
    </w:p>
    <w:p>
      <w:pPr>
        <w:spacing w:after="40"/>
      </w:pPr>
      <w:r>
        <w:rPr>
          <w:rFonts w:ascii="Consolas" w:hAnsi="Consolas"/>
          <w:sz w:val="18"/>
        </w:rPr>
        <w:t>java -cp STAR3D.jar Preprocess target_stem A</w:t>
      </w:r>
    </w:p>
    <w:p>
      <w:pPr>
        <w:spacing w:after="40"/>
      </w:pPr>
      <w:r>
        <w:rPr>
          <w:rFonts w:ascii="Consolas" w:hAnsi="Consolas"/>
          <w:sz w:val="18"/>
        </w:rPr>
        <w:t>java -jar STAR3D.jar -o out/run.aln -p query_stem A target_stem A</w:t>
      </w:r>
    </w:p>
    <w:p>
      <w:r>
        <w:t>Use the real case-sensitive chain IDs. Retain default scoring for the primary experiment. Record explicit parameter values in manifests even when defaults are used. Do not supply Rfam SS_cons to STAR3D preprocessing: it must derive its own annotations from the selected coordinates. The source reuses existing files, so isolate each attempt and guard against stale caches and the legacy automatic-download fallback.</w:t>
      </w:r>
    </w:p>
    <w:p>
      <w:pPr>
        <w:pStyle w:val="Heading2"/>
      </w:pPr>
      <w:r>
        <w:t>Verify the actual parser and preprocessing products</w:t>
      </w:r>
    </w:p>
    <w:p>
      <w:r>
        <w:t>Inspect PDB.java, Preprocess.java, Lib.java, MCA.java, STAR3D.java and LoopAlign.java. Test the same parser behavior that the JAR uses, including ATOM/HETATM records, TER boundaries, residue order, insertion codes, negative numbering, alternate locations, missing residues and modified nucleotide names. Do not assume every observed residue has a complete backbone or base. The existing 3FU2 partial residue must remain explicitly flagged.</w:t>
      </w:r>
    </w:p>
    <w:p>
      <w:r>
        <w:t>Compare mmCIF atom identities and coordinates with the converted PDB input. Validate label and author chain IDs, model choice, family boundaries and dropped records. Preserve coordinate provenance; never invent atoms or quietly rename unsupported modifications. Examine whether gaps in observed coordinates make the parser treat nonadjacent residues as neighbours. Record the implications for three-residue loop scoring and exclude unreliable local geometry from strong adjudication.</w:t>
      </w:r>
    </w:p>
    <w:p>
      <w:r>
        <w:t>The preprocessing code selects MC-Annotate WWc pairs before pseudoknot removal; verify actual identities and products rather than assuming this string enforces the exact biological description in the paper. For every chain validate CT length, sequence, numbering and reciprocal partners; compare CT pairs with MC-Annotate and inspect the pseudoknot-free output. Verify retained/discarded pairs and available stacks. The source does not robustly expose every external-tool failure, so validate intermediate contents in the wrapper as well as return codes and file existence.</w:t>
      </w:r>
    </w:p>
    <w:p>
      <w:r>
        <w:t>A no-alignment result can be expected when usable conserved stacks do not meet the default minimum size. Distinguish this from technical failure, wrong inputs, missing coordinates and short-module alignment. A short alignment may be a genuine limitation of the method; do not label the entire Rfam alignment wrong. Any smaller-stack or alternative-parameter experiment belongs in a separately declared sensitivity analysis and cannot replace defaults retrospectively.</w:t>
      </w:r>
    </w:p>
    <w:p>
      <w:pPr>
        <w:pStyle w:val="Heading2"/>
      </w:pPr>
      <w:r>
        <w:t>Reproduce execution before expanding</w:t>
      </w:r>
    </w:p>
    <w:p>
      <w:r>
        <w:t>Use a native x86-64 Linux host if already available; do not buy compute or require paid services. Run the preQ1 comparisons plus the four other pilot pairs freshly from verified original files, both directions and three replicates. Native runs should be compared with retained emulated runs if possible. If only emulation is available, finish repairs and inventory, label the platform limitation, and limit new execution to the small first batch until stability is established.</w:t>
      </w:r>
    </w:p>
    <w:p>
      <w:r>
        <w:t>Use at least one self-alignment and one documented homologous positive control to test functionality, plus negative tests of broken inputs and failed preprocessing. Controls supplement the per-case audit; they do not prove biological correctness. Preserve all run attempts and define a representative-run rule before looking at disagreements. Never select the run that produces the most interesting discrepancy.</w:t>
      </w:r>
    </w:p>
    <w:p>
      <w:pPr>
        <w:pStyle w:val="Heading1"/>
      </w:pPr>
      <w:r>
        <w:t>6 Complete the data inventory and biological review</w:t>
      </w:r>
    </w:p>
    <w:p>
      <w:r>
        <w:t>Survey A must answer how many families have at least two eligible, distinct natural RNA sequence sources with experimental structures and verified rows in the pinned ordinary seed. Separately report the broader count of families with PDB links, which is not the same number. Use a funnel: mapped families, linked chain regions, distinct sequences, provenance-reviewed representatives, primary-eligible families, exploratory families, unresolved families and completed comparisons.</w:t>
      </w:r>
    </w:p>
    <w:p>
      <w:r>
        <w:t>The current 167 mapped-family candidates, 31 screened families, 21 unreviewed screened families and 1,793 sequence-only proposals are historical pilot outputs to reconcile, not guaranteed current totals. State the effects of the model-length cap, rRNA exclusion, explicit-GR discovery rule and seed membership requirement. Include sequence-only exact-match proposals in the unresolved inventory; they cannot enter the primary analysis without provenance review. A pipeline restricted to explicit structure annotations cannot claim exhaustive biological coverage.</w:t>
      </w:r>
    </w:p>
    <w:p>
      <w:r>
        <w:t>Review the remaining 21 screened families in deterministic order. For each candidate document RNA entity, label/auth chain, source organism and strain, expression host separately, source accession and locus, complete construct sequence, family interval, exact seed identifier, observed fraction, method/resolution, incomplete atoms, modifications, engineered substitutions/indels, ligand state and construct references. Cite evidence for each consequential decision and retain concise excerpts only as permitted.</w:t>
      </w:r>
    </w:p>
    <w:p>
      <w:r>
        <w:t>Deduplicate both exact family-region sequences and underlying source loci. Different PDB identifiers, RNAcentral aliases, ligand states, crystallographic copies or engineered variants of one locus do not create independent natural sequence examples. Preserve repeated structures as possible sensitivity evidence, not discovery replicates. Prefer one well-supported experimental representative per distinct natural sequence source under a fixed quality rule.</w:t>
      </w:r>
    </w:p>
    <w:p>
      <w:r>
        <w:t>Exact-source genome matching is a useful screen, not an automatic verdict on engineering. Verify accession version and taxonomy, both strands and uniqueness of the locus. A failed exact genomic match may reflect strain variation, processing, splicing, mature RNA boundaries, modifications, truncation, unavailable sequence records or an incorrect source assignment. Investigate these alternatives. Do not reject all such RNAs or declare them engineered solely from a no-hit result.</w:t>
      </w:r>
    </w:p>
    <w:p>
      <w:r>
        <w:t>Primary eligibility requires a verified ordinary-seed row, a defensible source link, distinct natural sequences, an interpretable experimental construct and sufficient local coordinates for the claim. Keep uncertain-source or motif-engineered cases exploratory or pending. Maintain the current 90 percent observed-row screen unless changed prospectively, and additionally require appropriate local base/backbone completeness. An engineering mask removes positions from evaluation, not the influence of those positions on STAR3D’s chosen alignment.</w:t>
      </w:r>
    </w:p>
    <w:p>
      <w:r>
        <w:t>Do not remove identical-sequence cases from provenance; record them as redundant and explain their exclusion. Do not soften biological criteria to achieve a sample-size target. If few cases qualify, deliver the audited inventory and strongest examples. That answers the professor’s feasibility question.</w:t>
      </w:r>
    </w:p>
    <w:p>
      <w:pPr>
        <w:pStyle w:val="Heading1"/>
      </w:pPr>
      <w:r>
        <w:t>7 Complete the separate seed collection comparison</w:t>
      </w:r>
    </w:p>
    <w:p>
      <w:r>
        <w:t>Implement Survey B in its own namespace, such as results/seed_collection_comparison. Retrieve the ordinary and structure-curated seed resources from official Rfam sources, recording release, retrieval time and checksums [3–5]. Prefer matched releases. If only a rolling current curated bundle is available, label the date/version mismatch and do not attribute differences specifically to 3D curation.</w:t>
      </w:r>
    </w:p>
    <w:p>
      <w:r>
        <w:t>Count families in each collection, their intersection, families with at least one verified common row, and families with at least two common rows permitting a pairwise correspondence comparison. Match exact row identifiers and sequence intervals first. Alias matches require verified identical biological sequence regions; report ambiguity. Rows with different sequences are not comparable merely because their labels resemble one another.</w:t>
      </w:r>
    </w:p>
    <w:p>
      <w:r>
        <w:t>Compare residue correspondences between shared sequences rather than raw column numbers: extra rows, insert columns or all-gap columns can change column indices without changing homology. Report same correspondences, changed partners, residue-gap changes, row additions/deletions and annotation-only changes separately. Treat insert-column correspondences cautiously. Check whether differences in SS_cons or per-sequence annotations occur without any sequence-alignment change.</w:t>
      </w:r>
    </w:p>
    <w:p>
      <w:r>
        <w:t>Output family_overlap.tsv, shared_rows.tsv, correspondence_differences.tsv, annotation_differences.tsv and a one-page explanation. If the two collections contain identical correspondences, report that result. Do not use Survey B to adjust the primary baseline, or infer the historical origin of the 7REX row without direct evidence.</w:t>
      </w:r>
    </w:p>
    <w:p>
      <w:pPr>
        <w:pStyle w:val="Heading1"/>
      </w:pPr>
      <w:r>
        <w:t>8 Finish biological adjudication of the preQ1 candidate</w:t>
      </w:r>
    </w:p>
    <w:p>
      <w:r>
        <w:t>Use the pinned 7REX row URS00023119CB_2126436/1-34. Recheck the entire numbering crosswalk, full sequence, missing atoms, construct references and ligand context for 6VUI, 3FU2 and 7REX. Corrected source and numbering evidence takes precedence over older descriptions. Inspect both the candidate P1 strand and L1, where Rfam may be better supported.</w:t>
      </w:r>
    </w:p>
    <w:p>
      <w:r>
        <w:t>The five 6VUI P1 pairs 1–20, 2–19, 3–18, 4–17 and 5–16 map under the seed to 7REX 1–21, 2–20, 3–19, 4–18 and 5–17. STAR3D maps them to 1–22, 2–21, 3–20, 4–19 and 5–18, all annotated cWW. The proposal shifts 7REX positions 15–22 one column left. Column 24 is an insert column. Retain the original row and label the proposed row exploratory.</w:t>
      </w:r>
    </w:p>
    <w:p>
      <w:r>
        <w:t>Recompute interaction preservation on explicitly identical eligible source sets. Audited development-set counts are 19/46 seed, 29/46 STAR3D and 31/46 proposed for 6VUI→7REX, and 20/44, 31/44 and 33/44 for 3FU2→7REX. Separate canonical, wobble, noncanonical and stacking counts. Explain why the three-method comparison has a different denominator from the earlier two-method comparison. Check losses both inside and outside the common set and in the reciprocal source direction.</w:t>
      </w:r>
    </w:p>
    <w:p>
      <w:r>
        <w:t>Validate sequence/order preservation, one-to-one mappings, boundary compatibility and all affected interaction partners. Extend inspection to neighbouring shared family rows before suggesting a family-level correction. The proposal was designed on these observations, so its improved counts do not estimate generalization. Two comparisons involving the same 7REX row remain one candidate observation.</w:t>
      </w:r>
    </w:p>
    <w:p>
      <w:r>
        <w:t>Inspect heavy-atom geometry, base orientation, backbone continuity, local experimental support and interaction definitions. FR3D annotation absence is not proof of physical impossibility. Use shared-correspondence anchor fits with stated anchors and sensitivity checks; report missing atoms and degenerate fits. Distinguish C1′ distances, base-centroid distances and STAR3D’s own backbone-centroid RMSD. Do not compare unlike measures as though they were the same score.</w:t>
      </w:r>
    </w:p>
    <w:p>
      <w:r>
        <w:t>Verify the two-ligand context from the structure paper and actual contacts before invoking it as an explanation for L1 differences. Crystal copies provide sensitivity evidence but are not independent biological samples. Where possible inspect a second annotation method or published motif description for the selected region, with no silent replacement of the primary FR3D evidence. A second structural aligner is optional corroboration and must remain clearly separate from the professor’s original-STAR3D experiment.</w:t>
      </w:r>
    </w:p>
    <w:p>
      <w:r>
        <w:t>Classify each reviewed region as possible Rfam correspondence issue, possible STAR3D issue, plausible structural variation, construct/coordinate confound, technical issue, or unresolved. Keep uncertainty and evidence strength explicit. No automatic seed edits or curator submissions.</w:t>
      </w:r>
    </w:p>
    <w:p>
      <w:pPr>
        <w:pStyle w:val="Heading1"/>
      </w:pPr>
      <w:r>
        <w:t>9 Analyze the expanded dataset without circular selection</w:t>
      </w:r>
    </w:p>
    <w:p>
      <w:r>
        <w:t>Freeze candidate selection, representative rules, mapping policy, engineering handling, parameters, eligibility and region ranking before new STAR3D outputs are examined. Save a versioned cohort manifest. Primary sequence identity is an explanatory variable; do not use it retrospectively to retain only impressive disagreements.</w:t>
      </w:r>
    </w:p>
    <w:p>
      <w:r>
        <w:t>For every pair report same partner, different partner, Rfam-only mapping, STAR3D-only mapping, missing-coordinate limitations and technical failures separately. Report both alignment coverage and conditional partner disagreement. The complement of the fraction of Rfam pairs reproduced is not a pure disagreement rate because it includes omissions. Provide observed/unmasked denominators and both source directions.</w:t>
      </w:r>
    </w:p>
    <w:p>
      <w:r>
        <w:t>Inspect all selected top regions plus at least one agreement region and one counterexample where available. Rank regions using frozen eligibility and correspondence/interaction criteria, not a preference for STAR3D. Record noncanonical interaction types and local motif context with an explicit source. Do not assign a named motif solely from a short sequence or one noncanonical pair. Generic stem, hairpin, internal loop and junction descriptions are acceptable when specific identity is unsupported.</w:t>
      </w:r>
    </w:p>
    <w:p>
      <w:r>
        <w:t>Use families and distinct candidate rows/regions as biological reporting units. Counts from related pairs are dependent. Report family-level distributions and development-versus-prospective results separately; do not claim hundreds of independent discoveries from all pairwise combinations. If uncertainty estimates are useful and sample size allows them, resample by family rather than by residue pair. Do not make accuracy claims without a justified reference standard.</w:t>
      </w:r>
    </w:p>
    <w:p>
      <w:pPr>
        <w:pStyle w:val="Heading1"/>
      </w:pPr>
      <w:r>
        <w:t>10 Readiness checks and authorized expansion</w:t>
      </w:r>
    </w:p>
    <w:p>
      <w:r>
        <w:t>The repair and inventory stages can run immediately. Advance to new alignments only when the following checks pass: valid Stockholm exports; enforced mismatch stops; actual software provenance; correct parser/intermediate behavior; resolved primary-cohort mapping defects; reproduction of the seven pilot pairs or an explicit isolation of unresolved pairs; frozen candidate rules; and a report distinguishing missing data from disagreement. Produce readiness.json with evidence paths and statuses, not an unsupported all-pass assertion.</w:t>
      </w:r>
    </w:p>
    <w:p>
      <w:r>
        <w:t>A biological disagreement itself is not a failed technical check. You may continue with other eligible families while uncertain cases remain quarantined. A systemic parser, provenance or alignment-execution failure stops affected downstream processing. Continue independent inventory, literature review and Survey B rather than halting all useful work.</w:t>
      </w:r>
    </w:p>
    <w:p>
      <w:r>
        <w:t>Batch 1 is a prospective shakedown: select up to five newly reviewed eligible families, at most four representatives per family, and all within-family pairs, for at most 30 pairs. Prefer cross-species comparisons and retain the deterministic representative rule. Use both directions and three replicates. On a native x86-64 host use conservative concurrency established by memory/runtime measurements. With emulation, limit this first batch and report stability before expanding further.</w:t>
      </w:r>
    </w:p>
    <w:p>
      <w:r>
        <w:t>Batch 2 proceeds automatically if Batch 1 has no unresolved systemic failures, all included inputs pass provenance and crosswalk checks, and sampled biological inspections reveal no unhandled systematic confound. Process the remaining eligible families within the existing short-RNA survey scope, with a hard ceiling of 200 new pairs across both batches. For large families use at most six prospectively selected representatives and all their pairs, at most 15 pairs per family. Choose representatives deterministically for natural sequence/source diversity and coordinate quality, never based on resulting discrepancies.</w:t>
      </w:r>
    </w:p>
    <w:p>
      <w:r>
        <w:t>These limits are operational choices for this prompt, not professor requirements or statistical power guarantees. Report all candidate and omitted pairs, the selection rule and the number actually eligible. Do not relax the model-length limit, add rRNAs, mix predicted structures, change Rfam releases, or launch unbounded all-to-all comparisons automatically. A broader second survey would require an explicit revised scope. Do not consume paid compute or exceed existing access permissions.</w:t>
      </w:r>
    </w:p>
    <w:p>
      <w:r>
        <w:t>Smriti becomes relevant if the experimental inventory proves too sparse for the next scientific question. Prepare a concise question and eligible sequence list about existing predicted structures, model confidence and generation methods. Do not send it. Predicted structures belong in a separate study because they cannot serve as independent experimental validation.</w:t>
      </w:r>
    </w:p>
    <w:p>
      <w:pPr>
        <w:pStyle w:val="Heading1"/>
      </w:pPr>
      <w:r>
        <w:t>11 Execution order resources and time estimates</w:t>
      </w:r>
    </w:p>
    <w:p>
      <w:r>
        <w:t>Time ranges below are planning estimates, not promises. Measure actual runtimes and report bottlenecks. Construct review and inaccessible papers may take longer than computation. Produce a useful intermediate professor packet even if expansion is incomplete.</w:t>
      </w:r>
    </w:p>
    <w:tbl>
      <w:tblPr>
        <w:tblW w:type="auto" w:w="0"/>
        <w:jc w:val="center"/>
        <w:tblLayout w:type="fixed"/>
        <w:tblLook w:firstColumn="1" w:firstRow="1" w:lastColumn="0" w:lastRow="0" w:noHBand="0" w:noVBand="1" w:val="04A0"/>
      </w:tblPr>
      <w:tblGrid>
        <w:gridCol w:w="864"/>
        <w:gridCol w:w="6264"/>
        <w:gridCol w:w="2952"/>
      </w:tblGrid>
      <w:tr>
        <w:trPr>
          <w:cantSplit/>
          <w:tblHeader/>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line="240" w:lineRule="auto"/>
            </w:pPr>
            <w:r>
              <w:rPr>
                <w:b/>
                <w:sz w:val="20"/>
              </w:rPr>
              <w:t>Stage</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line="240" w:lineRule="auto"/>
            </w:pPr>
            <w:r>
              <w:rPr>
                <w:b/>
                <w:sz w:val="20"/>
              </w:rPr>
              <w:t>Work</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line="240" w:lineRule="auto"/>
            </w:pPr>
            <w:r>
              <w:rPr>
                <w:b/>
                <w:sz w:val="20"/>
              </w:rPr>
              <w:t>Estimated active effort</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A</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Freeze state and verify existing evidence</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30–60 minutes</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B</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Remaining repairs and regression checks</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2–4 hours</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Paper and source audit plus fresh pilot reproduction</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2–4 hours plus runtime</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D</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Separate seed-collection survey</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1–3 hours</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E</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Review remaining screened families and freeze Batch 1</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4–12 hours depending on evidence access</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F</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Execute Batch 1 and inspect results</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2–5 hours plus runtime</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G</w:t>
            </w:r>
          </w:p>
        </w:tc>
        <w:tc>
          <w:tcPr>
            <w:tcW w:type="dxa" w:w="6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Conditional Batch 2 and professor report</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1–3 working days depending on eligible data</w:t>
            </w:r>
          </w:p>
        </w:tc>
      </w:tr>
    </w:tbl>
    <w:p>
      <w:pPr>
        <w:spacing w:after="0"/>
      </w:pPr>
    </w:p>
    <w:p>
      <w:r>
        <w:t>Use the existing Python environment, original STAR3D distribution, Java/Linux runtime, MC-Annotate, RemovePseudoknots, pinned FR3D, mmCIF parser, Rfam archives and PDB/NCBI source records. Avoid unnecessary new dependencies. Review papers while verified downloads or runs execute, but never run biologically unreviewed inputs merely to appear busy.</w:t>
      </w:r>
    </w:p>
    <w:p>
      <w:r>
        <w:t>If local parallel agents are available, optional separate roles are software repair, STAR3D method audit, biological provenance review, and Survey B. Assign nonoverlapping files or worktrees and one integration owner. They must use the same frozen source manifest and report uncertainties. No agent may independently change the cohort or scoring policy. Parallel output is not independent scientific validation.</w:t>
      </w:r>
    </w:p>
    <w:p>
      <w:pPr>
        <w:pStyle w:val="Heading1"/>
      </w:pPr>
      <w:r>
        <w:t>12 Required deliverables and final answer</w:t>
      </w:r>
    </w:p>
    <w:p>
      <w:r>
        <w:t>Provide updated code and focused regression tests; an unchanged-source manifest with derived-output versions; a STAR3D paper-to-code execution audit; Survey A inventory with all denominators; Survey B common-row comparison; corrected evidence cards and crosswalks; all current run manifests and failure records; interaction and region tables; and a documented readiness decision.</w:t>
      </w:r>
    </w:p>
    <w:p>
      <w:r>
        <w:t>Produce a professor report with a one-page plain-language opening, dataset-selection flow, the exact number of eligible families, two or three strongest examples if available, an agreement/control example, a contrary or unresolved example, and clear limitations. Each candidate needs an alignment excerpt with residue IDs, an interaction diagram or table, an annotated structural view and a provenance card. Include enough evidence to explain every selected input and the reason for every exclusion.</w:t>
      </w:r>
    </w:p>
    <w:p>
      <w:r>
        <w:t>Create a short meeting script, a question-and-answer sheet on data origin and STAR3D behavior, and a source-linked methods appendix. Distinguish completed work from future plans and AI review from researcher review. Include the fact that original STAR3D uses pairing information in both stack and loop stages. Do not imply that a good preservation score independently proves an alignment correction.</w:t>
      </w:r>
    </w:p>
    <w:p>
      <w:r>
        <w:t>Package the reproducibility materials with a README, exact commit, environment lock, scripts or pinned repository instructions, input URLs/checksums, required small inputs, raw outputs and checksum manifest. Verify the archive after the final changes. Exclude third-party binaries where redistribution is inappropriate but provide verified retrieval instructions. Make derived Stockholm records parse correctly inside the package as well as in the repository.</w:t>
      </w:r>
    </w:p>
    <w:p>
      <w:r>
        <w:t>Your final response must state: starting/final commits; defects fixed and their impact; tests run; native or emulated execution; exact inventory totals; Survey B result; development/prospective case counts; strongest supported finding; contrary evidence; unresolved limitations; whether each readiness check passed; what executed after it; actual elapsed effort and runtime; and paths to the report and archive. A small defensible dataset is preferable to an inflated count. Do not hide a failed test, inaccessible paper or negative result.</w:t>
      </w:r>
    </w:p>
    <w:p>
      <w:pPr>
        <w:pStyle w:val="Heading1"/>
      </w:pPr>
      <w:r>
        <w:t>13 Sources and evidence to consult</w:t>
      </w:r>
    </w:p>
    <w:p>
      <w:r>
        <w:t xml:space="preserve">[1] Ge P and Zhang S. STAR3D a stack-based RNA 3D structural alignment tool. Nucleic Acids Research 2015;43:e137. DOI </w:t>
      </w:r>
      <w:hyperlink r:id="rId12">
        <w:r>
          <w:rPr>
            <w:color w:val="174A6E"/>
          </w:rPr>
          <w:t>https://doi.org/10.1093/nar/gkv697</w:t>
        </w:r>
      </w:hyperlink>
      <w:r>
        <w:t>.</w:t>
      </w:r>
      <w:r>
        <w:t xml:space="preserve"> Full text </w:t>
      </w:r>
      <w:hyperlink r:id="rId13">
        <w:r>
          <w:rPr>
            <w:color w:val="174A6E"/>
          </w:rPr>
          <w:t>https://pmc.ncbi.nlm.nih.gov/articles/PMC4787758/</w:t>
        </w:r>
      </w:hyperlink>
      <w:r>
        <w:t>.</w:t>
      </w:r>
      <w:r>
        <w:t xml:space="preserve"> Paper supplied by the user and read for this prompt; preprocessing on page 2, geometry on page 3, loop scoring on pages 4–5 and limitations on pages 8–9.</w:t>
      </w:r>
    </w:p>
    <w:p>
      <w:r>
        <w:t xml:space="preserve">[2] Original STAR3D author distribution. </w:t>
      </w:r>
      <w:hyperlink r:id="rId14">
        <w:r>
          <w:rPr>
            <w:color w:val="174A6E"/>
          </w:rPr>
          <w:t>http://genome.ucf.edu/STAR3D/</w:t>
        </w:r>
      </w:hyperlink>
      <w:r>
        <w:t xml:space="preserve"> and </w:t>
      </w:r>
      <w:hyperlink r:id="rId15">
        <w:r>
          <w:rPr>
            <w:color w:val="174A6E"/>
          </w:rPr>
          <w:t>http://genome.ucf.edu/STAR3D/STAR3D_v1.2.tar.gz</w:t>
        </w:r>
      </w:hyperlink>
      <w:r>
        <w:t>.</w:t>
      </w:r>
      <w:r>
        <w:t xml:space="preserve"> The archive was retrieved and its checksum matched the pilot while preparing this prompt. README and source were inspected. This preparation did not execute a new STAR3D alignment.</w:t>
      </w:r>
    </w:p>
    <w:p>
      <w:r>
        <w:t xml:space="preserve">[3] Rfam families curated with 3D structures. </w:t>
      </w:r>
      <w:hyperlink r:id="rId16">
        <w:r>
          <w:rPr>
            <w:color w:val="174A6E"/>
          </w:rPr>
          <w:t>https://rfam.org/3d</w:t>
        </w:r>
      </w:hyperlink>
      <w:r>
        <w:t>.</w:t>
      </w:r>
      <w:r>
        <w:t xml:space="preserve"> The curated collection is updated over time; freeze the retrieved version and do not equate this collection with a structure-independent control.</w:t>
      </w:r>
    </w:p>
    <w:p>
      <w:r>
        <w:t xml:space="preserve">[4] Rfam documentation on integrating structures into a seed alignment. </w:t>
      </w:r>
      <w:hyperlink r:id="rId17">
        <w:r>
          <w:rPr>
            <w:color w:val="174A6E"/>
          </w:rPr>
          <w:t>https://docs.rfam.org/en/latest/adding-3d-structures.html</w:t>
        </w:r>
      </w:hyperlink>
      <w:r>
        <w:t>.</w:t>
      </w:r>
      <w:r>
        <w:t xml:space="preserve"> General workflow evidence does not establish the individual history of the 7REX row.</w:t>
      </w:r>
    </w:p>
    <w:p>
      <w:r>
        <w:t xml:space="preserve">[5] Rfam family construction and seed interpretation. </w:t>
      </w:r>
      <w:hyperlink r:id="rId18">
        <w:r>
          <w:rPr>
            <w:color w:val="174A6E"/>
          </w:rPr>
          <w:t>https://docs.rfam.org/en/latest/building-families.html</w:t>
        </w:r>
      </w:hyperlink>
      <w:r>
        <w:t xml:space="preserve"> and </w:t>
      </w:r>
      <w:hyperlink r:id="rId19">
        <w:r>
          <w:rPr>
            <w:color w:val="174A6E"/>
          </w:rPr>
          <w:t>https://docs.rfam.org/en/latest/faq.html</w:t>
        </w:r>
      </w:hyperlink>
      <w:r>
        <w:t>.</w:t>
      </w:r>
      <w:r>
        <w:t xml:space="preserve"> Ordinary primary reference </w:t>
      </w:r>
      <w:hyperlink r:id="rId20">
        <w:r>
          <w:rPr>
            <w:color w:val="174A6E"/>
          </w:rPr>
          <w:t>https://ftp.ebi.ac.uk/pub/databases/Rfam/15.1/Rfam.seed.gz</w:t>
        </w:r>
      </w:hyperlink>
      <w:r>
        <w:t>.</w:t>
      </w:r>
      <w:r>
        <w:t xml:space="preserve"> Curated-resource discovery </w:t>
      </w:r>
      <w:hyperlink r:id="rId21">
        <w:r>
          <w:rPr>
            <w:color w:val="174A6E"/>
          </w:rPr>
          <w:t>https://ftp.ebi.ac.uk/pub/databases/Rfam/CURRENT/Rfam.3d.seed.gz</w:t>
        </w:r>
      </w:hyperlink>
      <w:r>
        <w:t>;</w:t>
      </w:r>
      <w:r>
        <w:t xml:space="preserve"> prefer a matched release if available.</w:t>
      </w:r>
    </w:p>
    <w:p>
      <w:r>
        <w:t xml:space="preserve">[6] Project evidence. </w:t>
      </w:r>
      <w:hyperlink r:id="rId22">
        <w:r>
          <w:rPr>
            <w:color w:val="174A6E"/>
          </w:rPr>
          <w:t>https://github.com/Rakib-Hasan-Rahad/SQARMA/tree/ac6ff555363cc225941a7af53b8fb9fb05989721/rfam_star3d_pilot_v2</w:t>
        </w:r>
      </w:hyperlink>
      <w:r>
        <w:t>.</w:t>
      </w:r>
      <w:r>
        <w:t xml:space="preserve"> Read the latest files as well; do not assume this audited commit is still HEAD.</w:t>
      </w:r>
    </w:p>
    <w:p>
      <w:r>
        <w:t>[7] Professor requirements. Supplied meeting transcript beginning with the discussion of disrupted regions and redundant PDB structures, plus the research plan dated 8 October 2026. Treat the transcript as the basis for the requirements in Section 2, and the operational budgets and implementation choices in this document as recommendations. Do not reproduce irrelevant personal or administrative conversation in the research report.</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SQARMA research plan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SQARMA   |   Agent execution prompt   |   Version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Rakib-Hasan-Rahad/SQARMA" TargetMode="External"/><Relationship Id="rId12" Type="http://schemas.openxmlformats.org/officeDocument/2006/relationships/hyperlink" Target="https://doi.org/10.1093/nar/gkv697" TargetMode="External"/><Relationship Id="rId13" Type="http://schemas.openxmlformats.org/officeDocument/2006/relationships/hyperlink" Target="https://pmc.ncbi.nlm.nih.gov/articles/PMC4787758/" TargetMode="External"/><Relationship Id="rId14" Type="http://schemas.openxmlformats.org/officeDocument/2006/relationships/hyperlink" Target="http://genome.ucf.edu/STAR3D/" TargetMode="External"/><Relationship Id="rId15" Type="http://schemas.openxmlformats.org/officeDocument/2006/relationships/hyperlink" Target="http://genome.ucf.edu/STAR3D/STAR3D_v1.2.tar.gz" TargetMode="External"/><Relationship Id="rId16" Type="http://schemas.openxmlformats.org/officeDocument/2006/relationships/hyperlink" Target="https://rfam.org/3d" TargetMode="External"/><Relationship Id="rId17" Type="http://schemas.openxmlformats.org/officeDocument/2006/relationships/hyperlink" Target="https://docs.rfam.org/en/latest/adding-3d-structures.html" TargetMode="External"/><Relationship Id="rId18" Type="http://schemas.openxmlformats.org/officeDocument/2006/relationships/hyperlink" Target="https://docs.rfam.org/en/latest/building-families.html" TargetMode="External"/><Relationship Id="rId19" Type="http://schemas.openxmlformats.org/officeDocument/2006/relationships/hyperlink" Target="https://docs.rfam.org/en/latest/faq.html" TargetMode="External"/><Relationship Id="rId20" Type="http://schemas.openxmlformats.org/officeDocument/2006/relationships/hyperlink" Target="https://ftp.ebi.ac.uk/pub/databases/Rfam/15.1/Rfam.seed.gz" TargetMode="External"/><Relationship Id="rId21" Type="http://schemas.openxmlformats.org/officeDocument/2006/relationships/hyperlink" Target="https://ftp.ebi.ac.uk/pub/databases/Rfam/CURRENT/Rfam.3d.seed.gz" TargetMode="External"/><Relationship Id="rId22" Type="http://schemas.openxmlformats.org/officeDocument/2006/relationships/hyperlink" Target="https://github.com/Rakib-Hasan-Rahad/SQARMA/tree/ac6ff555363cc225941a7af53b8fb9fb05989721/rfam_star3d_pilot_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SQARMA research execution prompt</dc:title>
  <dc:subject>Repair validation and staged expansion using original STAR3D and Rfam seed alignments</dc:subject>
  <dc:creator>Prepared for Rakib Hasan Rahad</dc:creator>
  <cp:keywords/>
  <dc:description>generated by python-docx</dc:description>
  <cp:lastModifiedBy/>
  <cp:revision>1</cp:revision>
  <dcterms:created xsi:type="dcterms:W3CDTF">2013-12-23T23:15:00Z</dcterms:created>
  <dcterms:modified xsi:type="dcterms:W3CDTF">2013-12-23T23:15:00Z</dcterms:modified>
  <cp:category/>
</cp:coreProperties>
</file>