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896B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Thank you — I’ve reviewed your PowerPoint thoroughly, including the layout, data visuals, and narrative. Here’s my </w:t>
      </w: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proposed plan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to create two highly visual, infographic-style summary slides — one for </w:t>
      </w: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1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and one for </w:t>
      </w: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2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51895E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9C129C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90F972B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UNDERSTANDING OF YOUR DECK</w:t>
      </w:r>
    </w:p>
    <w:p w14:paraId="3627130E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12D00A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30C3BBD7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1 – Real Estate Market Trends (2015–2025)</w:t>
      </w:r>
    </w:p>
    <w:p w14:paraId="600A0763" w14:textId="77777777" w:rsidR="00870FD3" w:rsidRPr="00870FD3" w:rsidRDefault="00870FD3" w:rsidP="00870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Spread across slides 3 to 10</w:t>
      </w:r>
    </w:p>
    <w:p w14:paraId="7BCA4A76" w14:textId="77777777" w:rsidR="00870FD3" w:rsidRPr="00870FD3" w:rsidRDefault="00870FD3" w:rsidP="00870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Contains multiple individual charts on:</w:t>
      </w:r>
    </w:p>
    <w:p w14:paraId="1A97877B" w14:textId="77777777" w:rsidR="00870FD3" w:rsidRPr="00870FD3" w:rsidRDefault="00870FD3" w:rsidP="00870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Price/sqft trend</w:t>
      </w:r>
    </w:p>
    <w:p w14:paraId="423541D7" w14:textId="77777777" w:rsidR="00870FD3" w:rsidRPr="00870FD3" w:rsidRDefault="00870FD3" w:rsidP="00870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Transaction volume/value</w:t>
      </w:r>
    </w:p>
    <w:p w14:paraId="102BABE0" w14:textId="77777777" w:rsidR="00870FD3" w:rsidRPr="00870FD3" w:rsidRDefault="00870FD3" w:rsidP="00870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Villa vs Unit price comparisons</w:t>
      </w:r>
    </w:p>
    <w:p w14:paraId="766D70E3" w14:textId="77777777" w:rsidR="00870FD3" w:rsidRPr="00870FD3" w:rsidRDefault="00870FD3" w:rsidP="00870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Property type mix</w:t>
      </w:r>
    </w:p>
    <w:p w14:paraId="5F909D5D" w14:textId="77777777" w:rsidR="00870FD3" w:rsidRPr="00870FD3" w:rsidRDefault="00870FD3" w:rsidP="00870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Top 5 areas by value and count</w:t>
      </w:r>
    </w:p>
    <w:p w14:paraId="49F1DE03" w14:textId="77777777" w:rsidR="00870FD3" w:rsidRPr="00870FD3" w:rsidRDefault="00870FD3" w:rsidP="00870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Future outlook commentary</w:t>
      </w:r>
    </w:p>
    <w:p w14:paraId="5EDF0223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61EBE2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Currently too fragmented, aesthetically weak, and not cohesive.</w:t>
      </w:r>
    </w:p>
    <w:p w14:paraId="43A2F78C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26D462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DFF8369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2E612CE9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2 – Developer Revenues &amp; Key Projects (2015–2024)</w:t>
      </w:r>
    </w:p>
    <w:p w14:paraId="6104B159" w14:textId="77777777" w:rsidR="00870FD3" w:rsidRPr="00870FD3" w:rsidRDefault="00870FD3" w:rsidP="00870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Detailed in slides 13 and 15–19</w:t>
      </w:r>
    </w:p>
    <w:p w14:paraId="0C1480D9" w14:textId="77777777" w:rsidR="00870FD3" w:rsidRPr="00870FD3" w:rsidRDefault="00870FD3" w:rsidP="00870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Covers:</w:t>
      </w:r>
    </w:p>
    <w:p w14:paraId="099FAC53" w14:textId="77777777" w:rsidR="00870FD3" w:rsidRPr="00870FD3" w:rsidRDefault="00870FD3" w:rsidP="00870F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Revenue data for top developers (Dubai and Abu Dhabi)</w:t>
      </w:r>
    </w:p>
    <w:p w14:paraId="4DA29510" w14:textId="77777777" w:rsidR="00870FD3" w:rsidRPr="00870FD3" w:rsidRDefault="00870FD3" w:rsidP="00870F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Key insights: growth trends, market share, strategic projects</w:t>
      </w:r>
    </w:p>
    <w:p w14:paraId="713D6764" w14:textId="77777777" w:rsidR="00870FD3" w:rsidRPr="00870FD3" w:rsidRDefault="00870FD3" w:rsidP="00870F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Future outlook (2024)</w:t>
      </w:r>
    </w:p>
    <w:p w14:paraId="5BB46CB3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BAF528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Again, data is visualized in a slide-by-slide linear format, making it hard to absorb at a glance.</w:t>
      </w:r>
    </w:p>
    <w:p w14:paraId="265BC91D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5295E9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A3F1F40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GOAL: One Powerful Slide for Each Part</w:t>
      </w:r>
    </w:p>
    <w:p w14:paraId="529E9930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67B675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You want </w:t>
      </w: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unified dashboard-style slide per part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, using infographic thinking — merging key metrics, trends, and takeaways with clear visual hierarchy.</w:t>
      </w:r>
    </w:p>
    <w:p w14:paraId="0ACF6F30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F1DF26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2E93F41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STRATEGY TO REDESIGN INTO 2 VISUAL DASHBOARDS</w:t>
      </w:r>
    </w:p>
    <w:p w14:paraId="592C9101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AE98B2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DC3BEE3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🔷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797ED70A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1: “UAE Real Estate Trends 2015–2025”</w:t>
      </w:r>
    </w:p>
    <w:p w14:paraId="120C8CE7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862D8C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🔸</w:t>
      </w: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Suggested Layout (Infographic Style)</w:t>
      </w:r>
    </w:p>
    <w:p w14:paraId="648E0D1A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9995F5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0F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“UAE Property Market – 10-Year Evolution at a Glance”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542"/>
        <w:gridCol w:w="4513"/>
      </w:tblGrid>
      <w:tr w:rsidR="00870FD3" w:rsidRPr="00870FD3" w14:paraId="5B74E749" w14:textId="77777777" w:rsidTr="00870F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AA6FA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484AFE4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Visual Element</w:t>
            </w:r>
          </w:p>
        </w:tc>
        <w:tc>
          <w:tcPr>
            <w:tcW w:w="0" w:type="auto"/>
            <w:vAlign w:val="center"/>
            <w:hideMark/>
          </w:tcPr>
          <w:p w14:paraId="015CAD67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Content</w:t>
            </w:r>
          </w:p>
        </w:tc>
      </w:tr>
      <w:tr w:rsidR="00870FD3" w:rsidRPr="00870FD3" w14:paraId="0C9D0675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9D56E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 Price Evolution</w:t>
            </w:r>
          </w:p>
        </w:tc>
        <w:tc>
          <w:tcPr>
            <w:tcW w:w="0" w:type="auto"/>
            <w:vAlign w:val="center"/>
            <w:hideMark/>
          </w:tcPr>
          <w:p w14:paraId="75DDB034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Smooth line graph or sparkline</w:t>
            </w:r>
          </w:p>
        </w:tc>
        <w:tc>
          <w:tcPr>
            <w:tcW w:w="0" w:type="auto"/>
            <w:vAlign w:val="center"/>
            <w:hideMark/>
          </w:tcPr>
          <w:p w14:paraId="54BDB386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 price/sqft (2015–2025) with key milestones tagged</w:t>
            </w:r>
          </w:p>
        </w:tc>
      </w:tr>
      <w:tr w:rsidR="00870FD3" w:rsidRPr="00870FD3" w14:paraId="5862448B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D63C2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 Transaction Volume &amp; Value</w:t>
            </w:r>
          </w:p>
        </w:tc>
        <w:tc>
          <w:tcPr>
            <w:tcW w:w="0" w:type="auto"/>
            <w:vAlign w:val="center"/>
            <w:hideMark/>
          </w:tcPr>
          <w:p w14:paraId="3FB8FE97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Dual-line mini chart or vertical bar icon set</w:t>
            </w:r>
          </w:p>
        </w:tc>
        <w:tc>
          <w:tcPr>
            <w:tcW w:w="0" w:type="auto"/>
            <w:vAlign w:val="center"/>
            <w:hideMark/>
          </w:tcPr>
          <w:p w14:paraId="370BBD19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transactions per year + value overlay</w:t>
            </w:r>
          </w:p>
        </w:tc>
      </w:tr>
      <w:tr w:rsidR="00870FD3" w:rsidRPr="00870FD3" w14:paraId="0C8F864A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67E1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 Property Type Split</w:t>
            </w:r>
          </w:p>
        </w:tc>
        <w:tc>
          <w:tcPr>
            <w:tcW w:w="0" w:type="auto"/>
            <w:vAlign w:val="center"/>
            <w:hideMark/>
          </w:tcPr>
          <w:p w14:paraId="245A0559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Donut or 100% stacked bar</w:t>
            </w:r>
          </w:p>
        </w:tc>
        <w:tc>
          <w:tcPr>
            <w:tcW w:w="0" w:type="auto"/>
            <w:vAlign w:val="center"/>
            <w:hideMark/>
          </w:tcPr>
          <w:p w14:paraId="2C8BDC4F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 split of Units, Villas, Land, Buildings</w:t>
            </w:r>
          </w:p>
        </w:tc>
      </w:tr>
      <w:tr w:rsidR="00870FD3" w:rsidRPr="00870FD3" w14:paraId="3F34C4C5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F7236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 Villa vs Unit Price Growth</w:t>
            </w:r>
          </w:p>
        </w:tc>
        <w:tc>
          <w:tcPr>
            <w:tcW w:w="0" w:type="auto"/>
            <w:vAlign w:val="center"/>
            <w:hideMark/>
          </w:tcPr>
          <w:p w14:paraId="466D7DB3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Two semi-circular gauges</w:t>
            </w:r>
          </w:p>
        </w:tc>
        <w:tc>
          <w:tcPr>
            <w:tcW w:w="0" w:type="auto"/>
            <w:vAlign w:val="center"/>
            <w:hideMark/>
          </w:tcPr>
          <w:p w14:paraId="717C0E12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% rise in villa &amp; unit prices (2015–2025)</w:t>
            </w:r>
          </w:p>
        </w:tc>
      </w:tr>
      <w:tr w:rsidR="00870FD3" w:rsidRPr="00870FD3" w14:paraId="5EA40D42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D998C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 Top Areas by Value &amp; Count</w:t>
            </w:r>
          </w:p>
        </w:tc>
        <w:tc>
          <w:tcPr>
            <w:tcW w:w="0" w:type="auto"/>
            <w:vAlign w:val="center"/>
            <w:hideMark/>
          </w:tcPr>
          <w:p w14:paraId="15A883DA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Heatmap or icon grid</w:t>
            </w:r>
          </w:p>
        </w:tc>
        <w:tc>
          <w:tcPr>
            <w:tcW w:w="0" w:type="auto"/>
            <w:vAlign w:val="center"/>
            <w:hideMark/>
          </w:tcPr>
          <w:p w14:paraId="7CD6FC90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5 areas (2020–25): AED value + transaction count</w:t>
            </w:r>
          </w:p>
        </w:tc>
      </w:tr>
      <w:tr w:rsidR="00870FD3" w:rsidRPr="00870FD3" w14:paraId="786FC0B4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7ADC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6. Forward Outlook</w:t>
            </w:r>
          </w:p>
        </w:tc>
        <w:tc>
          <w:tcPr>
            <w:tcW w:w="0" w:type="auto"/>
            <w:vAlign w:val="center"/>
            <w:hideMark/>
          </w:tcPr>
          <w:p w14:paraId="727F3A9C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Arrow box + brief quote</w:t>
            </w:r>
          </w:p>
        </w:tc>
        <w:tc>
          <w:tcPr>
            <w:tcW w:w="0" w:type="auto"/>
            <w:vAlign w:val="center"/>
            <w:hideMark/>
          </w:tcPr>
          <w:p w14:paraId="15F87A12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“Strong upward trend continues into 2030s, led by villas and high-demand zones”</w:t>
            </w:r>
          </w:p>
        </w:tc>
      </w:tr>
    </w:tbl>
    <w:p w14:paraId="7240B41F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🟨</w:t>
      </w: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Design Enhancements:</w:t>
      </w:r>
    </w:p>
    <w:p w14:paraId="374AF755" w14:textId="77777777" w:rsidR="00870FD3" w:rsidRPr="00870FD3" w:rsidRDefault="00870FD3" w:rsidP="00870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 iconography for villas, units, buildings</w:t>
      </w:r>
    </w:p>
    <w:p w14:paraId="51FF4B46" w14:textId="77777777" w:rsidR="00870FD3" w:rsidRPr="00870FD3" w:rsidRDefault="00870FD3" w:rsidP="00870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Color-code by property type (e.g., villas = green, units = blue)</w:t>
      </w:r>
    </w:p>
    <w:p w14:paraId="49F79CA3" w14:textId="77777777" w:rsidR="00870FD3" w:rsidRPr="00870FD3" w:rsidRDefault="00870FD3" w:rsidP="00870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Highlight Palm Jumeirah / Marsa Dubai with pin-style icons</w:t>
      </w:r>
    </w:p>
    <w:p w14:paraId="3B40FBBF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C8C04F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706A2C2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🔷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649EB42E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2: “Top Developers: Revenue &amp; Strategy Snapshot (2015–2024)”</w:t>
      </w:r>
    </w:p>
    <w:p w14:paraId="37734265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C6F5EE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🔸</w:t>
      </w: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Suggested Layout (Infographic Style)</w:t>
      </w:r>
    </w:p>
    <w:p w14:paraId="7AD5921C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533687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0F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“UAE’s Real Estate Giants: Performance &amp; Future Outlook”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2257"/>
        <w:gridCol w:w="4435"/>
      </w:tblGrid>
      <w:tr w:rsidR="00870FD3" w:rsidRPr="00870FD3" w14:paraId="58245462" w14:textId="77777777" w:rsidTr="00870F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FCAB6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AF070B9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Visual Element</w:t>
            </w:r>
          </w:p>
        </w:tc>
        <w:tc>
          <w:tcPr>
            <w:tcW w:w="0" w:type="auto"/>
            <w:vAlign w:val="center"/>
            <w:hideMark/>
          </w:tcPr>
          <w:p w14:paraId="3521436C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Content</w:t>
            </w:r>
          </w:p>
        </w:tc>
      </w:tr>
      <w:tr w:rsidR="00870FD3" w:rsidRPr="00870FD3" w14:paraId="028B25A6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1EC1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 Revenue Timeline (Dubai)</w:t>
            </w:r>
          </w:p>
        </w:tc>
        <w:tc>
          <w:tcPr>
            <w:tcW w:w="0" w:type="auto"/>
            <w:vAlign w:val="center"/>
            <w:hideMark/>
          </w:tcPr>
          <w:p w14:paraId="3F967BD9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Horizontal bar or area chart</w:t>
            </w:r>
          </w:p>
        </w:tc>
        <w:tc>
          <w:tcPr>
            <w:tcW w:w="0" w:type="auto"/>
            <w:vAlign w:val="center"/>
            <w:hideMark/>
          </w:tcPr>
          <w:p w14:paraId="0B1A1458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Emaar, Damac, Nakheel, etc. with CAGR%</w:t>
            </w:r>
          </w:p>
        </w:tc>
      </w:tr>
      <w:tr w:rsidR="00870FD3" w:rsidRPr="00870FD3" w14:paraId="6C6CA835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01531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 Revenue Timeline (Abu Dhabi)</w:t>
            </w:r>
          </w:p>
        </w:tc>
        <w:tc>
          <w:tcPr>
            <w:tcW w:w="0" w:type="auto"/>
            <w:vAlign w:val="center"/>
            <w:hideMark/>
          </w:tcPr>
          <w:p w14:paraId="62A9C202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 format (separate cluster)</w:t>
            </w:r>
          </w:p>
        </w:tc>
        <w:tc>
          <w:tcPr>
            <w:tcW w:w="0" w:type="auto"/>
            <w:vAlign w:val="center"/>
            <w:hideMark/>
          </w:tcPr>
          <w:p w14:paraId="2584A2F7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Aldar vs Q Properties</w:t>
            </w:r>
          </w:p>
        </w:tc>
      </w:tr>
      <w:tr w:rsidR="00870FD3" w:rsidRPr="00870FD3" w14:paraId="6DABDE23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DE83A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 Developer Comparison</w:t>
            </w:r>
          </w:p>
        </w:tc>
        <w:tc>
          <w:tcPr>
            <w:tcW w:w="0" w:type="auto"/>
            <w:vAlign w:val="center"/>
            <w:hideMark/>
          </w:tcPr>
          <w:p w14:paraId="3C42ACFF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 share pie or icon bars</w:t>
            </w:r>
          </w:p>
        </w:tc>
        <w:tc>
          <w:tcPr>
            <w:tcW w:w="0" w:type="auto"/>
            <w:vAlign w:val="center"/>
            <w:hideMark/>
          </w:tcPr>
          <w:p w14:paraId="64F387C1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Emaar = 34%, Aldar = 83% (per respective market)</w:t>
            </w:r>
          </w:p>
        </w:tc>
      </w:tr>
      <w:tr w:rsidR="00870FD3" w:rsidRPr="00870FD3" w14:paraId="51C302B7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5DB8C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 Strategic Project Milestones</w:t>
            </w:r>
          </w:p>
        </w:tc>
        <w:tc>
          <w:tcPr>
            <w:tcW w:w="0" w:type="auto"/>
            <w:vAlign w:val="center"/>
            <w:hideMark/>
          </w:tcPr>
          <w:p w14:paraId="45748D35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Timeline strip</w:t>
            </w:r>
          </w:p>
        </w:tc>
        <w:tc>
          <w:tcPr>
            <w:tcW w:w="0" w:type="auto"/>
            <w:vAlign w:val="center"/>
            <w:hideMark/>
          </w:tcPr>
          <w:p w14:paraId="235A1421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 major launches like Dubai Hills Mall, Yas Bay</w:t>
            </w:r>
          </w:p>
        </w:tc>
      </w:tr>
      <w:tr w:rsidR="00870FD3" w:rsidRPr="00870FD3" w14:paraId="187F4D34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C0052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 COVID Impact</w:t>
            </w:r>
          </w:p>
        </w:tc>
        <w:tc>
          <w:tcPr>
            <w:tcW w:w="0" w:type="auto"/>
            <w:vAlign w:val="center"/>
            <w:hideMark/>
          </w:tcPr>
          <w:p w14:paraId="1BB51B77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Icon callout</w:t>
            </w:r>
          </w:p>
        </w:tc>
        <w:tc>
          <w:tcPr>
            <w:tcW w:w="0" w:type="auto"/>
            <w:vAlign w:val="center"/>
            <w:hideMark/>
          </w:tcPr>
          <w:p w14:paraId="0DEB5743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Emaar: drop/recovery; Aldar: resilience data</w:t>
            </w:r>
          </w:p>
        </w:tc>
      </w:tr>
      <w:tr w:rsidR="00870FD3" w:rsidRPr="00870FD3" w14:paraId="74458221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18FA4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6. Outlook for 2024–25</w:t>
            </w:r>
          </w:p>
        </w:tc>
        <w:tc>
          <w:tcPr>
            <w:tcW w:w="0" w:type="auto"/>
            <w:vAlign w:val="center"/>
            <w:hideMark/>
          </w:tcPr>
          <w:p w14:paraId="2AB078EC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Arrow + summary box</w:t>
            </w:r>
          </w:p>
        </w:tc>
        <w:tc>
          <w:tcPr>
            <w:tcW w:w="0" w:type="auto"/>
            <w:vAlign w:val="center"/>
            <w:hideMark/>
          </w:tcPr>
          <w:p w14:paraId="4F1BB041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“Mid-income communities driving 2024 growth: +8% expected”</w:t>
            </w:r>
          </w:p>
        </w:tc>
      </w:tr>
    </w:tbl>
    <w:p w14:paraId="5AD52EA3" w14:textId="77777777" w:rsidR="000E4092" w:rsidRDefault="000E4092">
      <w:pPr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</w:pPr>
    </w:p>
    <w:p w14:paraId="4537F75A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Perfect — here’s a </w:t>
      </w: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labeled layout blueprint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that mirrors the dashboard style you attached, adapted specifically for summarizing </w:t>
      </w: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1 – UAE Real Estate Market Trends (2015–2025)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. You can </w:t>
      </w: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paste this into your working file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or hand it off to a designer as a clear creative brief.</w:t>
      </w:r>
    </w:p>
    <w:p w14:paraId="0F191F53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D75F78B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1D36EA5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📊</w:t>
      </w:r>
      <w:r w:rsidRPr="00870F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UAE Real Estate Market Dashboard: 2015–2025</w:t>
      </w:r>
    </w:p>
    <w:p w14:paraId="37489253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224095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Type: </w:t>
      </w:r>
    </w:p>
    <w:p w14:paraId="1B148A71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Infographic Dashboard | 1-slide Summary of Key Trends</w:t>
      </w:r>
    </w:p>
    <w:p w14:paraId="7E0FE3B1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9F0AEA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Style Reference: Based on the sample image from </w:t>
      </w:r>
    </w:p>
    <w:p w14:paraId="6A729862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Metricalist | Adjust App Analytics</w:t>
      </w:r>
    </w:p>
    <w:p w14:paraId="494CDE96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1A69625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5040B6B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🟥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HEADER</w:t>
      </w:r>
    </w:p>
    <w:p w14:paraId="2736C311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E629AE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</w:p>
    <w:p w14:paraId="6AD9F57D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ABB139" w14:textId="77777777" w:rsidR="00870FD3" w:rsidRPr="00870FD3" w:rsidRDefault="00870FD3" w:rsidP="00870FD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70FD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“UAE Real Estate Market Dashboard: 2015–2025”</w:t>
      </w:r>
    </w:p>
    <w:p w14:paraId="43BAB871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428DA1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Subtitle (optional):</w:t>
      </w:r>
    </w:p>
    <w:p w14:paraId="2D405DBD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58E611" w14:textId="77777777" w:rsidR="00870FD3" w:rsidRPr="00870FD3" w:rsidRDefault="00870FD3" w:rsidP="00870FD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70FD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Updated using data across a decade of UAE real estate transactions, property trends, and buyer preferences.</w:t>
      </w:r>
    </w:p>
    <w:p w14:paraId="027EDBD1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EDAD80A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7C398E5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🟦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TOP ROW – KPI CARDS (Use same horizontal layout as image)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2768"/>
        <w:gridCol w:w="1408"/>
        <w:gridCol w:w="2343"/>
      </w:tblGrid>
      <w:tr w:rsidR="00870FD3" w:rsidRPr="00870FD3" w14:paraId="2FE5D8FF" w14:textId="77777777" w:rsidTr="00870F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D7D56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Tile Label</w:t>
            </w:r>
          </w:p>
        </w:tc>
        <w:tc>
          <w:tcPr>
            <w:tcW w:w="0" w:type="auto"/>
            <w:vAlign w:val="center"/>
            <w:hideMark/>
          </w:tcPr>
          <w:p w14:paraId="374E0530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729DE13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2C395E5D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Style</w:t>
            </w:r>
          </w:p>
        </w:tc>
      </w:tr>
      <w:tr w:rsidR="00870FD3" w:rsidRPr="00870FD3" w14:paraId="27515E63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85DB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🏠</w:t>
            </w: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Avg. Price per Sqft (2025)</w:t>
            </w:r>
          </w:p>
        </w:tc>
        <w:tc>
          <w:tcPr>
            <w:tcW w:w="0" w:type="auto"/>
            <w:vAlign w:val="center"/>
            <w:hideMark/>
          </w:tcPr>
          <w:p w14:paraId="0495E686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AED 1,420 (+52% from 2015)</w:t>
            </w:r>
          </w:p>
        </w:tc>
        <w:tc>
          <w:tcPr>
            <w:tcW w:w="0" w:type="auto"/>
            <w:vAlign w:val="center"/>
            <w:hideMark/>
          </w:tcPr>
          <w:p w14:paraId="05B94C7E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Ruler icon </w:t>
            </w: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📏</w:t>
            </w:r>
          </w:p>
        </w:tc>
        <w:tc>
          <w:tcPr>
            <w:tcW w:w="0" w:type="auto"/>
            <w:vAlign w:val="center"/>
            <w:hideMark/>
          </w:tcPr>
          <w:p w14:paraId="30B83EE3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+ sparkline</w:t>
            </w:r>
          </w:p>
        </w:tc>
      </w:tr>
      <w:tr w:rsidR="00870FD3" w:rsidRPr="00870FD3" w14:paraId="2CD4739C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EC039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🔁</w:t>
            </w: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Transactions (2025)</w:t>
            </w:r>
          </w:p>
        </w:tc>
        <w:tc>
          <w:tcPr>
            <w:tcW w:w="0" w:type="auto"/>
            <w:vAlign w:val="center"/>
            <w:hideMark/>
          </w:tcPr>
          <w:p w14:paraId="204136C2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94,000</w:t>
            </w:r>
          </w:p>
        </w:tc>
        <w:tc>
          <w:tcPr>
            <w:tcW w:w="0" w:type="auto"/>
            <w:vAlign w:val="center"/>
            <w:hideMark/>
          </w:tcPr>
          <w:p w14:paraId="00DE611C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Repeat icon </w:t>
            </w: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🔁</w:t>
            </w:r>
          </w:p>
        </w:tc>
        <w:tc>
          <w:tcPr>
            <w:tcW w:w="0" w:type="auto"/>
            <w:vAlign w:val="center"/>
            <w:hideMark/>
          </w:tcPr>
          <w:p w14:paraId="6E401E39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+ mini trend line</w:t>
            </w:r>
          </w:p>
        </w:tc>
      </w:tr>
      <w:tr w:rsidR="00870FD3" w:rsidRPr="00870FD3" w14:paraId="6CD3B8CC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3F31F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💰</w:t>
            </w: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Value (2025)</w:t>
            </w:r>
          </w:p>
        </w:tc>
        <w:tc>
          <w:tcPr>
            <w:tcW w:w="0" w:type="auto"/>
            <w:vAlign w:val="center"/>
            <w:hideMark/>
          </w:tcPr>
          <w:p w14:paraId="2E72E918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AED 270 Billion</w:t>
            </w:r>
          </w:p>
        </w:tc>
        <w:tc>
          <w:tcPr>
            <w:tcW w:w="0" w:type="auto"/>
            <w:vAlign w:val="center"/>
            <w:hideMark/>
          </w:tcPr>
          <w:p w14:paraId="096508BA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AED icon </w:t>
            </w: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💵</w:t>
            </w:r>
          </w:p>
        </w:tc>
        <w:tc>
          <w:tcPr>
            <w:tcW w:w="0" w:type="auto"/>
            <w:vAlign w:val="center"/>
            <w:hideMark/>
          </w:tcPr>
          <w:p w14:paraId="040C743B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+ delta change</w:t>
            </w:r>
          </w:p>
        </w:tc>
      </w:tr>
      <w:tr w:rsidR="00870FD3" w:rsidRPr="00870FD3" w14:paraId="71E07E5C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6140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lastRenderedPageBreak/>
              <w:t>🏡</w:t>
            </w: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Villa Price Growth</w:t>
            </w:r>
          </w:p>
        </w:tc>
        <w:tc>
          <w:tcPr>
            <w:tcW w:w="0" w:type="auto"/>
            <w:vAlign w:val="center"/>
            <w:hideMark/>
          </w:tcPr>
          <w:p w14:paraId="79508061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+115% (2020–2025)</w:t>
            </w:r>
          </w:p>
        </w:tc>
        <w:tc>
          <w:tcPr>
            <w:tcW w:w="0" w:type="auto"/>
            <w:vAlign w:val="center"/>
            <w:hideMark/>
          </w:tcPr>
          <w:p w14:paraId="205A08EB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Villa icon </w:t>
            </w: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🏡</w:t>
            </w:r>
          </w:p>
        </w:tc>
        <w:tc>
          <w:tcPr>
            <w:tcW w:w="0" w:type="auto"/>
            <w:vAlign w:val="center"/>
            <w:hideMark/>
          </w:tcPr>
          <w:p w14:paraId="3914E6A1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 or % delta box</w:t>
            </w:r>
          </w:p>
        </w:tc>
      </w:tr>
      <w:tr w:rsidR="00870FD3" w:rsidRPr="00870FD3" w14:paraId="119B686B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C8163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📍</w:t>
            </w: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 Area by Value</w:t>
            </w:r>
          </w:p>
        </w:tc>
        <w:tc>
          <w:tcPr>
            <w:tcW w:w="0" w:type="auto"/>
            <w:vAlign w:val="center"/>
            <w:hideMark/>
          </w:tcPr>
          <w:p w14:paraId="13DC9772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Palm Jumeirah – AED 125B</w:t>
            </w:r>
          </w:p>
        </w:tc>
        <w:tc>
          <w:tcPr>
            <w:tcW w:w="0" w:type="auto"/>
            <w:vAlign w:val="center"/>
            <w:hideMark/>
          </w:tcPr>
          <w:p w14:paraId="10AABA26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Palm tree </w:t>
            </w: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🌴</w:t>
            </w:r>
          </w:p>
        </w:tc>
        <w:tc>
          <w:tcPr>
            <w:tcW w:w="0" w:type="auto"/>
            <w:vAlign w:val="center"/>
            <w:hideMark/>
          </w:tcPr>
          <w:p w14:paraId="00B3ED18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 + area icon</w:t>
            </w:r>
          </w:p>
        </w:tc>
      </w:tr>
    </w:tbl>
    <w:p w14:paraId="12019B47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kern w:val="0"/>
          <w14:ligatures w14:val="none"/>
        </w:rPr>
        <w:t>🟨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0F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Tips: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Keep background white, use borders or light shadow. Include mini sparklines or ↑↓ arrows for visual trend cues.</w:t>
      </w:r>
    </w:p>
    <w:p w14:paraId="62AEBFEE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C9EE63B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6505FA71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🟩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MIDDLE ROW – SEGMENTED CHARTS (4 quadrants in 2x2 layout)</w:t>
      </w:r>
    </w:p>
    <w:p w14:paraId="3165B5A4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F62055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6E4328DB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Property Type Mix (Donut Chart)</w:t>
      </w:r>
    </w:p>
    <w:p w14:paraId="21833A71" w14:textId="77777777" w:rsidR="00870FD3" w:rsidRPr="00870FD3" w:rsidRDefault="00870FD3" w:rsidP="00870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Donut split: Units (72%), Villas (16%), Land (11%), Buildings (1%)</w:t>
      </w:r>
    </w:p>
    <w:p w14:paraId="4265D5A5" w14:textId="77777777" w:rsidR="00870FD3" w:rsidRPr="00870FD3" w:rsidRDefault="00870FD3" w:rsidP="00870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Add icons beside each category</w:t>
      </w:r>
    </w:p>
    <w:p w14:paraId="57C1F78D" w14:textId="77777777" w:rsidR="00870FD3" w:rsidRPr="00870FD3" w:rsidRDefault="00870FD3" w:rsidP="00870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Caption: “Units dominate transactions; Villas show high-value interest.”</w:t>
      </w:r>
    </w:p>
    <w:p w14:paraId="4742C98B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6F31CCE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683AB3DC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2F12DB03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Villa vs Unit Price per Sqft (Dual Line Graph)</w:t>
      </w:r>
    </w:p>
    <w:p w14:paraId="0168BEA3" w14:textId="77777777" w:rsidR="00870FD3" w:rsidRPr="00870FD3" w:rsidRDefault="00870FD3" w:rsidP="00870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Line 1: Villas (sharp rise post-2020)</w:t>
      </w:r>
    </w:p>
    <w:p w14:paraId="2A661DB3" w14:textId="77777777" w:rsidR="00870FD3" w:rsidRPr="00870FD3" w:rsidRDefault="00870FD3" w:rsidP="00870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Line 2: Units (gradual growth)</w:t>
      </w:r>
    </w:p>
    <w:p w14:paraId="2A8E357F" w14:textId="77777777" w:rsidR="00870FD3" w:rsidRPr="00870FD3" w:rsidRDefault="00870FD3" w:rsidP="00870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Caption: “Villa prices surged post-COVID, reflecting buyer shift to spacious living.”</w:t>
      </w:r>
    </w:p>
    <w:p w14:paraId="2CA70378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7A4ED97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1E3CE8E0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🏙️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21BEA624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Top 5 Areas by Value (Bar Chart)</w:t>
      </w:r>
    </w:p>
    <w:p w14:paraId="29F87D39" w14:textId="77777777" w:rsidR="00870FD3" w:rsidRPr="00870FD3" w:rsidRDefault="00870FD3" w:rsidP="00870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Y-axis: Palm Jumeirah, Marsa Dubai, Burj Khalifa, etc.</w:t>
      </w:r>
    </w:p>
    <w:p w14:paraId="3CE8B023" w14:textId="77777777" w:rsidR="00870FD3" w:rsidRPr="00870FD3" w:rsidRDefault="00870FD3" w:rsidP="00870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X-axis: AED values</w:t>
      </w:r>
    </w:p>
    <w:p w14:paraId="45BA084B" w14:textId="77777777" w:rsidR="00870FD3" w:rsidRPr="00870FD3" w:rsidRDefault="00870FD3" w:rsidP="00870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Highlight % change (e.g., +45% Palm)</w:t>
      </w:r>
    </w:p>
    <w:p w14:paraId="0CDCF1C0" w14:textId="77777777" w:rsidR="00870FD3" w:rsidRPr="00870FD3" w:rsidRDefault="00870FD3" w:rsidP="00870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Caption: “Premium zones attract the bulk of capital inflows.”</w:t>
      </w:r>
    </w:p>
    <w:p w14:paraId="133317B0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D3BA322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2A20729C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📦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39D9A2F0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Top Areas by Transaction Count (Cluster Bar)</w:t>
      </w:r>
    </w:p>
    <w:p w14:paraId="6D4CA9FA" w14:textId="77777777" w:rsidR="00870FD3" w:rsidRPr="00870FD3" w:rsidRDefault="00870FD3" w:rsidP="00870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2015–2020 vs 2020–2025</w:t>
      </w:r>
    </w:p>
    <w:p w14:paraId="3121BF07" w14:textId="77777777" w:rsidR="00870FD3" w:rsidRPr="00870FD3" w:rsidRDefault="00870FD3" w:rsidP="00870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Al Barsha South, Business Bay, etc.</w:t>
      </w:r>
    </w:p>
    <w:p w14:paraId="76AA35E6" w14:textId="77777777" w:rsidR="00870FD3" w:rsidRPr="00870FD3" w:rsidRDefault="00870FD3" w:rsidP="00870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Caption: “New hotspots like Al Barsha South emerging fast.”</w:t>
      </w:r>
    </w:p>
    <w:p w14:paraId="7AE2A7E5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3EE0AC5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644FF93F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🟨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BOTTOM ROW – QUALITATIVE INSIGHTS / OUTLOOK</w:t>
      </w:r>
    </w:p>
    <w:p w14:paraId="6B19C5DE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C8C9A3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📤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6FEC52F2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Outlook Box (Arrow or Highlight Box)</w:t>
      </w:r>
    </w:p>
    <w:p w14:paraId="5836FADC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42A7CE" w14:textId="77777777" w:rsidR="00870FD3" w:rsidRPr="00870FD3" w:rsidRDefault="00870FD3" w:rsidP="00870FD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70FD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“UAE property market entering 2025 with strong momentum – Villas and emerging zones expected to lead the next growth cycle.”</w:t>
      </w:r>
    </w:p>
    <w:p w14:paraId="282C7A88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E2002FB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4D656E13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473CB15C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Insights Box (Bullet Summary)</w:t>
      </w:r>
    </w:p>
    <w:p w14:paraId="7E6CE3D2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6CE17B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Use a soft blue background with icons:</w:t>
      </w:r>
    </w:p>
    <w:p w14:paraId="1612FEA2" w14:textId="77777777" w:rsidR="00870FD3" w:rsidRPr="00870FD3" w:rsidRDefault="00870FD3" w:rsidP="0087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Units preferred for affordability; Villas for capital growth</w:t>
      </w:r>
    </w:p>
    <w:p w14:paraId="71BF433F" w14:textId="77777777" w:rsidR="00870FD3" w:rsidRPr="00870FD3" w:rsidRDefault="00870FD3" w:rsidP="0087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Land and building deals remain niche</w:t>
      </w:r>
    </w:p>
    <w:p w14:paraId="5183C325" w14:textId="77777777" w:rsidR="00870FD3" w:rsidRPr="00870FD3" w:rsidRDefault="00870FD3" w:rsidP="0087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Buyer focus shifting to suburbs and mid-luxury developments</w:t>
      </w:r>
    </w:p>
    <w:p w14:paraId="46E234A3" w14:textId="77777777" w:rsidR="00870FD3" w:rsidRPr="00870FD3" w:rsidRDefault="00870FD3" w:rsidP="0087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Recovery post-2021 driven by economic rebound and policy shifts</w:t>
      </w:r>
    </w:p>
    <w:p w14:paraId="6F0A3504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D1F21BD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75A0D88E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🖼️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GUIDELINES</w:t>
      </w:r>
    </w:p>
    <w:p w14:paraId="36A0B466" w14:textId="77777777" w:rsidR="00870FD3" w:rsidRPr="00870FD3" w:rsidRDefault="00870FD3" w:rsidP="00870F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Grid: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3 rows → (KPI cards) + (quad charts) + (summary text)</w:t>
      </w:r>
    </w:p>
    <w:p w14:paraId="4E358DC9" w14:textId="77777777" w:rsidR="00870FD3" w:rsidRPr="00870FD3" w:rsidRDefault="00870FD3" w:rsidP="00870F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Icons: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Use vector icons (home, tower, currency, chart arrows)</w:t>
      </w:r>
    </w:p>
    <w:p w14:paraId="778D44F6" w14:textId="77777777" w:rsidR="00870FD3" w:rsidRPr="00870FD3" w:rsidRDefault="00870FD3" w:rsidP="00870F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Colors: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Blue (units), Green (villas), Grey (land/buildings), Gold for standout data</w:t>
      </w:r>
    </w:p>
    <w:p w14:paraId="019B959F" w14:textId="77777777" w:rsidR="00870FD3" w:rsidRPr="00870FD3" w:rsidRDefault="00870FD3" w:rsidP="00870F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Font: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Use Segoe UI, Montserrat, or Poppins for modern look</w:t>
      </w:r>
    </w:p>
    <w:p w14:paraId="48C798CD" w14:textId="77777777" w:rsidR="00870FD3" w:rsidRPr="00870FD3" w:rsidRDefault="00870FD3" w:rsidP="00870F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Canva, PowerPoint SmartArt, or Figma (for advanced control)</w:t>
      </w:r>
    </w:p>
    <w:p w14:paraId="2C3DD87A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E5E1F3C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5BA683C1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Optional: Slide Footer</w:t>
      </w:r>
    </w:p>
    <w:p w14:paraId="1E196F3D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CD2EC2" w14:textId="77777777" w:rsidR="00870FD3" w:rsidRPr="00870FD3" w:rsidRDefault="00870FD3" w:rsidP="00870FD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70FD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Source: DLD transaction data, market reports, analyst curation</w:t>
      </w:r>
    </w:p>
    <w:p w14:paraId="6A8799C6" w14:textId="77777777" w:rsidR="00870FD3" w:rsidRPr="00870FD3" w:rsidRDefault="00870FD3" w:rsidP="00870FD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70FD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Prepared by: [Your Team Name]</w:t>
      </w:r>
    </w:p>
    <w:p w14:paraId="6F231DD7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BE116E4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313CA3F0" w14:textId="5A8ED6B4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Sample of a summary dashboard – summarising everything under Part 1</w:t>
      </w:r>
    </w:p>
    <w:p w14:paraId="322B48F5" w14:textId="64C47110" w:rsidR="00870FD3" w:rsidRDefault="00870FD3">
      <w:r>
        <w:rPr>
          <w:noProof/>
        </w:rPr>
        <w:drawing>
          <wp:inline distT="0" distB="0" distL="0" distR="0" wp14:anchorId="5F324D19" wp14:editId="4D612040">
            <wp:extent cx="5943600" cy="3248660"/>
            <wp:effectExtent l="0" t="0" r="0" b="2540"/>
            <wp:docPr id="62745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53345" name="Picture 6274533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85D0" w14:textId="77777777" w:rsidR="00870FD3" w:rsidRDefault="00870FD3"/>
    <w:p w14:paraId="552921B9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Excellent. Here’s the </w:t>
      </w: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labeled layout for Slide 2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, summarizing </w:t>
      </w: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2 – Developer Revenue &amp; Strategy Insights (2015–2024)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into a sleek, infographic-style dashboard — modeled after the same visual logic as your original reference image.</w:t>
      </w:r>
    </w:p>
    <w:p w14:paraId="25FFA3D4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5B8CD3C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5B3CCBE3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🏗️</w:t>
      </w:r>
      <w:r w:rsidRPr="00870F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UAE Real Estate Developers Dashboard: 2015–2024</w:t>
      </w:r>
    </w:p>
    <w:p w14:paraId="4666B56E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4B215D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Type: </w:t>
      </w:r>
    </w:p>
    <w:p w14:paraId="764BD5E8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Infographic Dashboard | 1-slide Summary of Developer Performance</w:t>
      </w:r>
    </w:p>
    <w:p w14:paraId="565A1F7D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76E223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Based on: Developer revenues, project launches, market share, and growth outlook</w:t>
      </w:r>
    </w:p>
    <w:p w14:paraId="1DCE4FDA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DA641F4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0EDA30B2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🟥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HEADER</w:t>
      </w:r>
    </w:p>
    <w:p w14:paraId="638ACF9D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4BA7A7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</w:p>
    <w:p w14:paraId="746BA7E7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153AE2" w14:textId="77777777" w:rsidR="00870FD3" w:rsidRPr="00870FD3" w:rsidRDefault="00870FD3" w:rsidP="00870FD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70FD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“UAE’s Top Real Estate Developers: Performance Dashboard (2015–2024)”</w:t>
      </w:r>
    </w:p>
    <w:p w14:paraId="0680D496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6821DC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Subtitle (optional):</w:t>
      </w:r>
    </w:p>
    <w:p w14:paraId="10E7C493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6CF21A" w14:textId="77777777" w:rsidR="00870FD3" w:rsidRPr="00870FD3" w:rsidRDefault="00870FD3" w:rsidP="00870FD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70FD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Snapshot of revenue growth, strategic launches, and market positioning of Dubai &amp; Abu Dhabi’s leading developers.</w:t>
      </w:r>
    </w:p>
    <w:p w14:paraId="3C9099DA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E3CE83C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126B01D6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🟦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TOP ROW – KPI CARDS (Like app dashboard metric tiles)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3099"/>
        <w:gridCol w:w="1289"/>
        <w:gridCol w:w="2214"/>
      </w:tblGrid>
      <w:tr w:rsidR="00870FD3" w:rsidRPr="00870FD3" w14:paraId="33B9408F" w14:textId="77777777" w:rsidTr="00870F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226B7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Tile Label</w:t>
            </w:r>
          </w:p>
        </w:tc>
        <w:tc>
          <w:tcPr>
            <w:tcW w:w="0" w:type="auto"/>
            <w:vAlign w:val="center"/>
            <w:hideMark/>
          </w:tcPr>
          <w:p w14:paraId="55040841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6BD9449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01EE72DD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Style</w:t>
            </w:r>
          </w:p>
        </w:tc>
      </w:tr>
      <w:tr w:rsidR="00870FD3" w:rsidRPr="00870FD3" w14:paraId="775A64CA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E713C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🏗️</w:t>
            </w: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Emaar Revenue (2023)</w:t>
            </w:r>
          </w:p>
        </w:tc>
        <w:tc>
          <w:tcPr>
            <w:tcW w:w="0" w:type="auto"/>
            <w:vAlign w:val="center"/>
            <w:hideMark/>
          </w:tcPr>
          <w:p w14:paraId="2A7AFFFD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AED 25.4B (34% of Dubai market)</w:t>
            </w:r>
          </w:p>
        </w:tc>
        <w:tc>
          <w:tcPr>
            <w:tcW w:w="0" w:type="auto"/>
            <w:vAlign w:val="center"/>
            <w:hideMark/>
          </w:tcPr>
          <w:p w14:paraId="4BBB43AF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Tower icon </w:t>
            </w: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🏢</w:t>
            </w:r>
          </w:p>
        </w:tc>
        <w:tc>
          <w:tcPr>
            <w:tcW w:w="0" w:type="auto"/>
            <w:vAlign w:val="center"/>
            <w:hideMark/>
          </w:tcPr>
          <w:p w14:paraId="6A2061F2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+ market share ring</w:t>
            </w:r>
          </w:p>
        </w:tc>
      </w:tr>
      <w:tr w:rsidR="00870FD3" w:rsidRPr="00870FD3" w14:paraId="4C5CBB25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9E74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🏙️</w:t>
            </w: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Aldar Revenue (2023)</w:t>
            </w:r>
          </w:p>
        </w:tc>
        <w:tc>
          <w:tcPr>
            <w:tcW w:w="0" w:type="auto"/>
            <w:vAlign w:val="center"/>
            <w:hideMark/>
          </w:tcPr>
          <w:p w14:paraId="74A0B8C1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AED 18.7B (83% of Abu Dhabi market)</w:t>
            </w:r>
          </w:p>
        </w:tc>
        <w:tc>
          <w:tcPr>
            <w:tcW w:w="0" w:type="auto"/>
            <w:vAlign w:val="center"/>
            <w:hideMark/>
          </w:tcPr>
          <w:p w14:paraId="54DCC48A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Cityscape </w:t>
            </w: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🏙️</w:t>
            </w:r>
          </w:p>
        </w:tc>
        <w:tc>
          <w:tcPr>
            <w:tcW w:w="0" w:type="auto"/>
            <w:vAlign w:val="center"/>
            <w:hideMark/>
          </w:tcPr>
          <w:p w14:paraId="346CC8B6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+ market share ring</w:t>
            </w:r>
          </w:p>
        </w:tc>
      </w:tr>
      <w:tr w:rsidR="00870FD3" w:rsidRPr="00870FD3" w14:paraId="73504DD1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449CB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📈</w:t>
            </w: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Post-COVID Growth</w:t>
            </w:r>
          </w:p>
        </w:tc>
        <w:tc>
          <w:tcPr>
            <w:tcW w:w="0" w:type="auto"/>
            <w:vAlign w:val="center"/>
            <w:hideMark/>
          </w:tcPr>
          <w:p w14:paraId="1A0FB1F0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+18% avg CAGR (2021–2023) across top 5</w:t>
            </w:r>
          </w:p>
        </w:tc>
        <w:tc>
          <w:tcPr>
            <w:tcW w:w="0" w:type="auto"/>
            <w:vAlign w:val="center"/>
            <w:hideMark/>
          </w:tcPr>
          <w:p w14:paraId="6729F8B6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Chart arrow</w:t>
            </w:r>
          </w:p>
        </w:tc>
        <w:tc>
          <w:tcPr>
            <w:tcW w:w="0" w:type="auto"/>
            <w:vAlign w:val="center"/>
            <w:hideMark/>
          </w:tcPr>
          <w:p w14:paraId="5037449E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Highlighted % block</w:t>
            </w:r>
          </w:p>
        </w:tc>
      </w:tr>
      <w:tr w:rsidR="00870FD3" w:rsidRPr="00870FD3" w14:paraId="5BF0D32A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644C2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📊</w:t>
            </w: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Dubai vs AD CAGR (2015–2023)</w:t>
            </w:r>
          </w:p>
        </w:tc>
        <w:tc>
          <w:tcPr>
            <w:tcW w:w="0" w:type="auto"/>
            <w:vAlign w:val="center"/>
            <w:hideMark/>
          </w:tcPr>
          <w:p w14:paraId="5348ADA7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Dubai: 6.2%</w:t>
            </w:r>
          </w:p>
        </w:tc>
        <w:tc>
          <w:tcPr>
            <w:tcW w:w="0" w:type="auto"/>
            <w:vAlign w:val="center"/>
            <w:hideMark/>
          </w:tcPr>
          <w:p w14:paraId="263ABE28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AD: 5.8%</w:t>
            </w:r>
          </w:p>
        </w:tc>
        <w:tc>
          <w:tcPr>
            <w:tcW w:w="0" w:type="auto"/>
            <w:vAlign w:val="center"/>
            <w:hideMark/>
          </w:tcPr>
          <w:p w14:paraId="369DB9E2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Comparison</w:t>
            </w:r>
          </w:p>
        </w:tc>
      </w:tr>
      <w:tr w:rsidR="00870FD3" w:rsidRPr="00870FD3" w14:paraId="5CCC644E" w14:textId="77777777" w:rsidTr="0087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1D7B6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📆</w:t>
            </w: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70F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2024 Outlook (Forecast)</w:t>
            </w:r>
          </w:p>
        </w:tc>
        <w:tc>
          <w:tcPr>
            <w:tcW w:w="0" w:type="auto"/>
            <w:vAlign w:val="center"/>
            <w:hideMark/>
          </w:tcPr>
          <w:p w14:paraId="331D38B6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+8% growth (driven by mid-income projects)</w:t>
            </w:r>
          </w:p>
        </w:tc>
        <w:tc>
          <w:tcPr>
            <w:tcW w:w="0" w:type="auto"/>
            <w:vAlign w:val="center"/>
            <w:hideMark/>
          </w:tcPr>
          <w:p w14:paraId="03155E8F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Calendar </w:t>
            </w:r>
            <w:r w:rsidRPr="00870FD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📅</w:t>
            </w:r>
          </w:p>
        </w:tc>
        <w:tc>
          <w:tcPr>
            <w:tcW w:w="0" w:type="auto"/>
            <w:vAlign w:val="center"/>
            <w:hideMark/>
          </w:tcPr>
          <w:p w14:paraId="65D94F84" w14:textId="77777777" w:rsidR="00870FD3" w:rsidRPr="00870FD3" w:rsidRDefault="00870FD3" w:rsidP="00870F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F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Quote or colored box</w:t>
            </w:r>
          </w:p>
        </w:tc>
      </w:tr>
    </w:tbl>
    <w:p w14:paraId="2830DDA7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1A62149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75B416EC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🟩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MIDDLE ROW – STRATEGY &amp; PERFORMANCE CHART ZONE (4 blocks, 2x2)</w:t>
      </w:r>
    </w:p>
    <w:p w14:paraId="18E051F9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B5890F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📉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7F57E8D9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Revenue Trends by Developer (Clustered Line/Bar)</w:t>
      </w:r>
    </w:p>
    <w:p w14:paraId="6A8CDC51" w14:textId="77777777" w:rsidR="00870FD3" w:rsidRPr="00870FD3" w:rsidRDefault="00870FD3" w:rsidP="00870F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X-axis: 2015–2024</w:t>
      </w:r>
    </w:p>
    <w:p w14:paraId="38ED09A2" w14:textId="77777777" w:rsidR="00870FD3" w:rsidRPr="00870FD3" w:rsidRDefault="00870FD3" w:rsidP="00870F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Y-axis: Revenue in AED M</w:t>
      </w:r>
    </w:p>
    <w:p w14:paraId="78976F81" w14:textId="77777777" w:rsidR="00870FD3" w:rsidRPr="00870FD3" w:rsidRDefault="00870FD3" w:rsidP="00870F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Series: Emaar, Damac, Nakheel, Aldar, etc.</w:t>
      </w:r>
    </w:p>
    <w:p w14:paraId="649D9807" w14:textId="77777777" w:rsidR="00870FD3" w:rsidRPr="00870FD3" w:rsidRDefault="00870FD3" w:rsidP="00870F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Caption: “Steady CAGR with post-2021 spike.”</w:t>
      </w:r>
    </w:p>
    <w:p w14:paraId="0CDE419A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D57BF0B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45876A7D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🏘️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770D2A6E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Project Launch Timeline (Icon Strip with Years)</w:t>
      </w:r>
    </w:p>
    <w:p w14:paraId="4F21A2D0" w14:textId="77777777" w:rsidR="00870FD3" w:rsidRPr="00870FD3" w:rsidRDefault="00870FD3" w:rsidP="00870F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Timeline format with key project milestones:</w:t>
      </w:r>
    </w:p>
    <w:p w14:paraId="586FF222" w14:textId="77777777" w:rsidR="00870FD3" w:rsidRPr="00870FD3" w:rsidRDefault="00870FD3" w:rsidP="00870F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kern w:val="0"/>
          <w14:ligatures w14:val="none"/>
        </w:rPr>
        <w:t>🏬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Dubai Hills Mall (2022 – Emaar)</w:t>
      </w:r>
    </w:p>
    <w:p w14:paraId="59A8E3C2" w14:textId="77777777" w:rsidR="00870FD3" w:rsidRPr="00870FD3" w:rsidRDefault="00870FD3" w:rsidP="00870F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kern w:val="0"/>
          <w14:ligatures w14:val="none"/>
        </w:rPr>
        <w:t>🏝️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Yas Bay (2023 – Aldar)</w:t>
      </w:r>
    </w:p>
    <w:p w14:paraId="3F366869" w14:textId="77777777" w:rsidR="00870FD3" w:rsidRPr="00870FD3" w:rsidRDefault="00870FD3" w:rsidP="00870F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kern w:val="0"/>
          <w14:ligatures w14:val="none"/>
        </w:rPr>
        <w:t>🏘️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Saadiyat Villas (2024F – Aldar)</w:t>
      </w:r>
    </w:p>
    <w:p w14:paraId="2550634E" w14:textId="77777777" w:rsidR="00870FD3" w:rsidRPr="00870FD3" w:rsidRDefault="00870FD3" w:rsidP="00870F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Caption: “Revenue peaks aligned with mega project deliveries.”</w:t>
      </w:r>
    </w:p>
    <w:p w14:paraId="17FE750A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A48D473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17DCC1F9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🏅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0B0A2FEC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Developer Market Share (Pie or Icon Proportions)</w:t>
      </w:r>
    </w:p>
    <w:p w14:paraId="20DD28A2" w14:textId="77777777" w:rsidR="00870FD3" w:rsidRPr="00870FD3" w:rsidRDefault="00870FD3" w:rsidP="00870F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Dubai: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Emaar, Damac, Nakheel, Meraas, Dubai Properties</w:t>
      </w:r>
    </w:p>
    <w:p w14:paraId="5F6C95A8" w14:textId="77777777" w:rsidR="00870FD3" w:rsidRPr="00870FD3" w:rsidRDefault="00870FD3" w:rsidP="00870F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Abu Dhabi: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Aldar, Q Properties</w:t>
      </w:r>
    </w:p>
    <w:p w14:paraId="63B640D2" w14:textId="77777777" w:rsidR="00870FD3" w:rsidRPr="00870FD3" w:rsidRDefault="00870FD3" w:rsidP="00870F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Caption: “Emaar and Aldar dominate city-level developer revenues.”</w:t>
      </w:r>
    </w:p>
    <w:p w14:paraId="61E19C9E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70B163E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27423B8E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32F38E7A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COVID Impact Analysis (Before vs After Bar or Heatmap)</w:t>
      </w:r>
    </w:p>
    <w:p w14:paraId="44ADBAA2" w14:textId="77777777" w:rsidR="00870FD3" w:rsidRPr="00870FD3" w:rsidRDefault="00870FD3" w:rsidP="00870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Compare 2020 drop and 2021–2023 rebound</w:t>
      </w:r>
    </w:p>
    <w:p w14:paraId="57DDAA4C" w14:textId="77777777" w:rsidR="00870FD3" w:rsidRPr="00870FD3" w:rsidRDefault="00870FD3" w:rsidP="00870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Highlight:</w:t>
      </w:r>
    </w:p>
    <w:p w14:paraId="6DDB1074" w14:textId="77777777" w:rsidR="00870FD3" w:rsidRPr="00870FD3" w:rsidRDefault="00870FD3" w:rsidP="0087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Aldar only dropped -17% (vs avg -25%)</w:t>
      </w:r>
    </w:p>
    <w:p w14:paraId="08133319" w14:textId="77777777" w:rsidR="00870FD3" w:rsidRPr="00870FD3" w:rsidRDefault="00870FD3" w:rsidP="0087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Emaar rebounded 20%+</w:t>
      </w:r>
    </w:p>
    <w:p w14:paraId="639BEA6C" w14:textId="77777777" w:rsidR="00870FD3" w:rsidRPr="00870FD3" w:rsidRDefault="00870FD3" w:rsidP="00870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Caption: “Govt-backed portfolios helped Abu Dhabi remain resilient.”</w:t>
      </w:r>
    </w:p>
    <w:p w14:paraId="6F7D0EBE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F6139E4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2BAB833D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🟨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BOTTOM ROW – QUALITATIVE STRATEGY INSIGHTS</w:t>
      </w:r>
    </w:p>
    <w:p w14:paraId="6DD68A82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8C84C7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📤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5BCEA12E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Outlook &amp; Future Focus (Arrow Box)</w:t>
      </w:r>
    </w:p>
    <w:p w14:paraId="210A4837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812C0A" w14:textId="77777777" w:rsidR="00870FD3" w:rsidRPr="00870FD3" w:rsidRDefault="00870FD3" w:rsidP="00870FD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70FD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“2024 and beyond: Developer focus shifting from luxury to mid-income communities and suburban developments across Dubai South, Saadiyat, and Reem Islands.”</w:t>
      </w:r>
    </w:p>
    <w:p w14:paraId="50834F1A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FF6B2D9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587E7F9F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07F2D52D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Strategic Insights (Icon Bullet Points)</w:t>
      </w:r>
    </w:p>
    <w:p w14:paraId="09E8CDBB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29431E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kern w:val="0"/>
          <w14:ligatures w14:val="none"/>
        </w:rPr>
        <w:t>Use a light background box:</w:t>
      </w:r>
    </w:p>
    <w:p w14:paraId="2100BAFB" w14:textId="77777777" w:rsidR="00870FD3" w:rsidRPr="00870FD3" w:rsidRDefault="00870FD3" w:rsidP="00870F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kern w:val="0"/>
          <w14:ligatures w14:val="none"/>
        </w:rPr>
        <w:t>🔑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Emaar 3.1x bigger than Nakheel; reflects diversification edge</w:t>
      </w:r>
    </w:p>
    <w:p w14:paraId="3411E3EF" w14:textId="77777777" w:rsidR="00870FD3" w:rsidRPr="00870FD3" w:rsidRDefault="00870FD3" w:rsidP="00870F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🏘️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Projects &gt;AED 1B were key revenue drivers</w:t>
      </w:r>
    </w:p>
    <w:p w14:paraId="2D621CDF" w14:textId="77777777" w:rsidR="00870FD3" w:rsidRPr="00870FD3" w:rsidRDefault="00870FD3" w:rsidP="00870F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kern w:val="0"/>
          <w14:ligatures w14:val="none"/>
        </w:rPr>
        <w:t>🧩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Shift from ultra-luxury to mid-income (post-2020)</w:t>
      </w:r>
    </w:p>
    <w:p w14:paraId="27FA50B5" w14:textId="77777777" w:rsidR="00870FD3" w:rsidRPr="00870FD3" w:rsidRDefault="00870FD3" w:rsidP="00870F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Apple Color Emoji" w:eastAsia="Times New Roman" w:hAnsi="Apple Color Emoji" w:cs="Apple Color Emoji"/>
          <w:kern w:val="0"/>
          <w14:ligatures w14:val="none"/>
        </w:rPr>
        <w:t>📍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Abu Dhabi developers show steadier long-term growth vs. Dubai volatility</w:t>
      </w:r>
    </w:p>
    <w:p w14:paraId="48F70459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638128F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476EA6F1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🖼️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GUIDELINES</w:t>
      </w:r>
    </w:p>
    <w:p w14:paraId="7B0758DE" w14:textId="77777777" w:rsidR="00870FD3" w:rsidRPr="00870FD3" w:rsidRDefault="00870FD3" w:rsidP="00870F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3 clear zones (KPIs + mid-chart blocks + bottom insights)</w:t>
      </w:r>
    </w:p>
    <w:p w14:paraId="63E93D60" w14:textId="77777777" w:rsidR="00870FD3" w:rsidRPr="00870FD3" w:rsidRDefault="00870FD3" w:rsidP="00870F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coding: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Blue = Dubai devs, Green = Abu Dhabi devs, Yellow = Forecasts</w:t>
      </w:r>
    </w:p>
    <w:p w14:paraId="05E467F7" w14:textId="77777777" w:rsidR="00870FD3" w:rsidRPr="00870FD3" w:rsidRDefault="00870FD3" w:rsidP="00870F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Iconography: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Use branded colors or neutral blocks for developer icons/logos</w:t>
      </w:r>
    </w:p>
    <w:p w14:paraId="26752B46" w14:textId="77777777" w:rsidR="00870FD3" w:rsidRPr="00870FD3" w:rsidRDefault="00870FD3" w:rsidP="00870F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Fonts:</w:t>
      </w:r>
      <w:r w:rsidRPr="00870FD3">
        <w:rPr>
          <w:rFonts w:ascii="Times New Roman" w:eastAsia="Times New Roman" w:hAnsi="Times New Roman" w:cs="Times New Roman"/>
          <w:kern w:val="0"/>
          <w14:ligatures w14:val="none"/>
        </w:rPr>
        <w:t xml:space="preserve"> Modern sans-serif (Poppins, Montserrat, or Segoe UI)</w:t>
      </w:r>
    </w:p>
    <w:p w14:paraId="7809ED46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02CEF15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2FE09642" w14:textId="77777777" w:rsidR="00870FD3" w:rsidRPr="00870FD3" w:rsidRDefault="00870FD3" w:rsidP="0087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F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87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Footer (Optional)</w:t>
      </w:r>
    </w:p>
    <w:p w14:paraId="55F1372B" w14:textId="77777777" w:rsidR="00870FD3" w:rsidRPr="00870FD3" w:rsidRDefault="00870FD3" w:rsidP="0087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DE5A9E" w14:textId="77777777" w:rsidR="00870FD3" w:rsidRPr="00870FD3" w:rsidRDefault="00870FD3" w:rsidP="00870FD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70FD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Source: Company annual reports (2015–2024E), DFM, ADX disclosures</w:t>
      </w:r>
    </w:p>
    <w:p w14:paraId="6A472BC0" w14:textId="77777777" w:rsidR="00870FD3" w:rsidRPr="00870FD3" w:rsidRDefault="00870FD3" w:rsidP="00870FD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870FD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Prepared by: [Your Firm Name] | Based on published/estimated data</w:t>
      </w:r>
    </w:p>
    <w:p w14:paraId="4766421C" w14:textId="77777777" w:rsidR="00870FD3" w:rsidRPr="00870FD3" w:rsidRDefault="00870FD3" w:rsidP="0087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0FD3" w:rsidRPr="00870F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6DCF17D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1EE1A34E" w14:textId="77777777" w:rsidR="00870FD3" w:rsidRDefault="00870FD3"/>
    <w:sectPr w:rsidR="00870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62E14"/>
    <w:multiLevelType w:val="multilevel"/>
    <w:tmpl w:val="E8D8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04187"/>
    <w:multiLevelType w:val="multilevel"/>
    <w:tmpl w:val="1C2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6393A"/>
    <w:multiLevelType w:val="multilevel"/>
    <w:tmpl w:val="530E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A28C5"/>
    <w:multiLevelType w:val="multilevel"/>
    <w:tmpl w:val="6A7A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A4373"/>
    <w:multiLevelType w:val="multilevel"/>
    <w:tmpl w:val="BA40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446E7"/>
    <w:multiLevelType w:val="multilevel"/>
    <w:tmpl w:val="7928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2398"/>
    <w:multiLevelType w:val="multilevel"/>
    <w:tmpl w:val="6538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D1203"/>
    <w:multiLevelType w:val="multilevel"/>
    <w:tmpl w:val="4980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E797B"/>
    <w:multiLevelType w:val="multilevel"/>
    <w:tmpl w:val="638E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D5E58"/>
    <w:multiLevelType w:val="multilevel"/>
    <w:tmpl w:val="2F6E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42ECF"/>
    <w:multiLevelType w:val="multilevel"/>
    <w:tmpl w:val="E43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30C68"/>
    <w:multiLevelType w:val="multilevel"/>
    <w:tmpl w:val="5E58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C27D6"/>
    <w:multiLevelType w:val="multilevel"/>
    <w:tmpl w:val="EEAC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6717F"/>
    <w:multiLevelType w:val="multilevel"/>
    <w:tmpl w:val="E1E2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F45B9"/>
    <w:multiLevelType w:val="multilevel"/>
    <w:tmpl w:val="2592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E2B49"/>
    <w:multiLevelType w:val="multilevel"/>
    <w:tmpl w:val="7EB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C6C21"/>
    <w:multiLevelType w:val="multilevel"/>
    <w:tmpl w:val="DBE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C29C5"/>
    <w:multiLevelType w:val="multilevel"/>
    <w:tmpl w:val="4C3E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153235">
    <w:abstractNumId w:val="4"/>
  </w:num>
  <w:num w:numId="2" w16cid:durableId="39521015">
    <w:abstractNumId w:val="6"/>
  </w:num>
  <w:num w:numId="3" w16cid:durableId="12340004">
    <w:abstractNumId w:val="12"/>
  </w:num>
  <w:num w:numId="4" w16cid:durableId="381682634">
    <w:abstractNumId w:val="8"/>
  </w:num>
  <w:num w:numId="5" w16cid:durableId="622733306">
    <w:abstractNumId w:val="2"/>
  </w:num>
  <w:num w:numId="6" w16cid:durableId="1141003027">
    <w:abstractNumId w:val="14"/>
  </w:num>
  <w:num w:numId="7" w16cid:durableId="118378267">
    <w:abstractNumId w:val="16"/>
  </w:num>
  <w:num w:numId="8" w16cid:durableId="285936517">
    <w:abstractNumId w:val="17"/>
  </w:num>
  <w:num w:numId="9" w16cid:durableId="2008556511">
    <w:abstractNumId w:val="3"/>
  </w:num>
  <w:num w:numId="10" w16cid:durableId="1848322580">
    <w:abstractNumId w:val="10"/>
  </w:num>
  <w:num w:numId="11" w16cid:durableId="829296343">
    <w:abstractNumId w:val="15"/>
  </w:num>
  <w:num w:numId="12" w16cid:durableId="999626242">
    <w:abstractNumId w:val="0"/>
  </w:num>
  <w:num w:numId="13" w16cid:durableId="2102598494">
    <w:abstractNumId w:val="5"/>
  </w:num>
  <w:num w:numId="14" w16cid:durableId="292059460">
    <w:abstractNumId w:val="1"/>
  </w:num>
  <w:num w:numId="15" w16cid:durableId="872890077">
    <w:abstractNumId w:val="11"/>
  </w:num>
  <w:num w:numId="16" w16cid:durableId="2068913975">
    <w:abstractNumId w:val="13"/>
  </w:num>
  <w:num w:numId="17" w16cid:durableId="731733614">
    <w:abstractNumId w:val="7"/>
  </w:num>
  <w:num w:numId="18" w16cid:durableId="2453794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D3"/>
    <w:rsid w:val="000E4092"/>
    <w:rsid w:val="003E67BD"/>
    <w:rsid w:val="00870FD3"/>
    <w:rsid w:val="00B12197"/>
    <w:rsid w:val="00BD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19C2"/>
  <w15:chartTrackingRefBased/>
  <w15:docId w15:val="{9637E9E6-91B5-904C-B153-C7252648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0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0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0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FD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7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70FD3"/>
  </w:style>
  <w:style w:type="paragraph" w:customStyle="1" w:styleId="p2">
    <w:name w:val="p2"/>
    <w:basedOn w:val="Normal"/>
    <w:rsid w:val="0087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870FD3"/>
  </w:style>
  <w:style w:type="paragraph" w:customStyle="1" w:styleId="p3">
    <w:name w:val="p3"/>
    <w:basedOn w:val="Normal"/>
    <w:rsid w:val="0087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70FD3"/>
  </w:style>
  <w:style w:type="paragraph" w:customStyle="1" w:styleId="p4">
    <w:name w:val="p4"/>
    <w:basedOn w:val="Normal"/>
    <w:rsid w:val="0087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9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8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1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5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8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8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1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80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14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7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1417</Words>
  <Characters>8078</Characters>
  <Application>Microsoft Office Word</Application>
  <DocSecurity>0</DocSecurity>
  <Lines>67</Lines>
  <Paragraphs>18</Paragraphs>
  <ScaleCrop>false</ScaleCrop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Iyer</dc:creator>
  <cp:keywords/>
  <dc:description/>
  <cp:lastModifiedBy>Manoj Iyer</cp:lastModifiedBy>
  <cp:revision>1</cp:revision>
  <dcterms:created xsi:type="dcterms:W3CDTF">2025-06-16T17:54:00Z</dcterms:created>
  <dcterms:modified xsi:type="dcterms:W3CDTF">2025-06-16T18:01:00Z</dcterms:modified>
</cp:coreProperties>
</file>