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B5C"/>
          <w:sz w:val="40"/>
        </w:rPr>
        <w:t>Plan de Pruebas EA3 - Portal BES</w:t>
      </w:r>
    </w:p>
    <w:p>
      <w:pPr>
        <w:jc w:val="center"/>
      </w:pPr>
      <w:r>
        <w:rPr>
          <w:b/>
          <w:sz w:val="24"/>
        </w:rPr>
        <w:t>Plataforma Unificada de Consulta de Beneficios Estatales</w:t>
      </w:r>
    </w:p>
    <w:p>
      <w:r>
        <w:t>Prototipo: https://portal-bes.vercel.app/login</w:t>
      </w:r>
    </w:p>
    <w:p>
      <w:r>
        <w:t>Versión del documento: v3.0 corregida — mantiene las 8 HU originales y agrega 4 HU nuevas, totalizando 12 HU con 4 criterios de aceptación cada una.</w:t>
      </w:r>
    </w:p>
    <w:p>
      <w:pPr>
        <w:pStyle w:val="Heading1"/>
      </w:pPr>
      <w:r>
        <w:t>1. Introducción</w:t>
      </w:r>
    </w:p>
    <w:p>
      <w:r>
        <w:t>Este documento define el plan de pruebas del prototipo Portal BES para la Evaluación EA3 de Ingeniería de Software. El objetivo es validar la calidad del prototipo funcional desplegado en la nube mediante historias de usuario, criterios de aceptación, casos de prueba, defectos y control de cambios.</w:t>
      </w:r>
    </w:p>
    <w:p>
      <w:pPr>
        <w:pStyle w:val="Heading1"/>
      </w:pPr>
      <w:r>
        <w:t>2. Modelo de calidad aplicado</w:t>
      </w:r>
    </w:p>
    <w:p>
      <w:r>
        <w:t>Se utiliza ISO 9126 como referencia para funcionalidad, fiabilidad, usabilidad y eficiencia. Se complementa con ISO/IEC 25010 e ISO 25000 para considerar seguridad, accesibilidad, mantenibilidad y calidad del producto software.</w:t>
      </w:r>
    </w:p>
    <w:p>
      <w:pPr>
        <w:pStyle w:val="Heading1"/>
      </w:pPr>
      <w:r>
        <w:t>3. Alcance del plan de pruebas</w:t>
      </w:r>
    </w:p>
    <w:p>
      <w:r>
        <w:t>El alcance considera 12 historias de usuario: las 8 originales del caso semestral y 4 nuevas asociadas al estado actual del prototipo. Cada HU posee 4 criterios de aceptación redactados con la estructura Dado que / Cuando / Entonces. A partir de estos criterios se generan 48 casos de prueba manuales.</w:t>
      </w:r>
    </w:p>
    <w:p>
      <w:pPr>
        <w:pStyle w:val="Heading1"/>
      </w:pPr>
      <w:r>
        <w:t>Historias de usuario y criterios de aceptación</w:t>
      </w:r>
    </w:p>
    <w:tbl>
      <w:tblPr>
        <w:tblW w:type="auto" w:w="0"/>
        <w:jc w:val="center"/>
        <w:tblLook w:firstColumn="1" w:firstRow="1" w:lastColumn="0" w:lastRow="0" w:noHBand="0" w:noVBand="1" w:val="04A0"/>
      </w:tblPr>
      <w:tblGrid>
        <w:gridCol w:w="2664"/>
        <w:gridCol w:w="2664"/>
        <w:gridCol w:w="2664"/>
        <w:gridCol w:w="2664"/>
      </w:tblGrid>
      <w:tr>
        <w:tc>
          <w:tcPr>
            <w:tcW w:type="dxa" w:w="2664"/>
            <w:shd w:fill="002B5C"/>
            <w:vAlign w:val="top"/>
          </w:tcPr>
          <w:p>
            <w:r>
              <w:rPr>
                <w:b/>
                <w:color w:val="FFFFFF"/>
                <w:sz w:val="16"/>
              </w:rPr>
              <w:t>ID</w:t>
            </w:r>
          </w:p>
        </w:tc>
        <w:tc>
          <w:tcPr>
            <w:tcW w:type="dxa" w:w="2664"/>
            <w:shd w:fill="002B5C"/>
            <w:vAlign w:val="top"/>
          </w:tcPr>
          <w:p>
            <w:r>
              <w:rPr>
                <w:b/>
                <w:color w:val="FFFFFF"/>
                <w:sz w:val="16"/>
              </w:rPr>
              <w:t>Historia</w:t>
            </w:r>
          </w:p>
        </w:tc>
        <w:tc>
          <w:tcPr>
            <w:tcW w:type="dxa" w:w="2664"/>
            <w:shd w:fill="002B5C"/>
            <w:vAlign w:val="top"/>
          </w:tcPr>
          <w:p>
            <w:r>
              <w:rPr>
                <w:b/>
                <w:color w:val="FFFFFF"/>
                <w:sz w:val="16"/>
              </w:rPr>
              <w:t>Descripción</w:t>
            </w:r>
          </w:p>
        </w:tc>
        <w:tc>
          <w:tcPr>
            <w:tcW w:type="dxa" w:w="2664"/>
            <w:shd w:fill="002B5C"/>
            <w:vAlign w:val="top"/>
          </w:tcPr>
          <w:p>
            <w:r>
              <w:rPr>
                <w:b/>
                <w:color w:val="FFFFFF"/>
                <w:sz w:val="16"/>
              </w:rPr>
              <w:t>Criterios de aceptación</w:t>
            </w:r>
          </w:p>
        </w:tc>
      </w:tr>
      <w:tr>
        <w:tc>
          <w:tcPr>
            <w:tcW w:type="dxa" w:w="2664"/>
            <w:vAlign w:val="top"/>
          </w:tcPr>
          <w:p>
            <w:r>
              <w:rPr>
                <w:sz w:val="16"/>
              </w:rPr>
              <w:t>HU-01</w:t>
            </w:r>
          </w:p>
        </w:tc>
        <w:tc>
          <w:tcPr>
            <w:tcW w:type="dxa" w:w="2664"/>
            <w:vAlign w:val="top"/>
          </w:tcPr>
          <w:p>
            <w:r>
              <w:rPr>
                <w:sz w:val="16"/>
              </w:rPr>
              <w:t>Autenticación de ciudadano</w:t>
            </w:r>
          </w:p>
        </w:tc>
        <w:tc>
          <w:tcPr>
            <w:tcW w:type="dxa" w:w="2664"/>
            <w:vAlign w:val="top"/>
          </w:tcPr>
          <w:p>
            <w:r>
              <w:rPr>
                <w:sz w:val="16"/>
              </w:rPr>
              <w:t>Como ciudadano chileno, quiero iniciar sesión de forma segura usando ClaveÚnica o credenciales simuladas, para acceder a mi consulta personalizada de beneficios.</w:t>
            </w:r>
          </w:p>
        </w:tc>
        <w:tc>
          <w:tcPr>
            <w:tcW w:type="dxa" w:w="2664"/>
            <w:vAlign w:val="top"/>
          </w:tcPr>
          <w:p>
            <w:r>
              <w:rPr>
                <w:sz w:val="16"/>
              </w:rPr>
              <w:t>1. Dado que el ciudadano se encuentra en la pantalla de login, cuando selecciona ingresar con ClaveÚnica, entonces el sistema debe iniciar el flujo de autenticación delegado.</w:t>
              <w:br/>
              <w:t>2. Dado que el ciudadano ingresa credenciales simuladas válidas, cuando presiona ingresar, entonces el sistema debe permitir el acceso al dashboard.</w:t>
              <w:br/>
              <w:t>3. Dado que el ciudadano ingresa datos inválidos, cuando intenta iniciar sesión, entonces el sistema debe mostrar un mensaje de error sin ingresar al portal.</w:t>
              <w:br/>
              <w:t>4. Dado que el ciudadano intenta ingresar, cuando no supera la validación de seguridad, entonces el sistema debe bloquear el acceso y solicitar una nueva validación.</w:t>
            </w:r>
          </w:p>
        </w:tc>
      </w:tr>
      <w:tr>
        <w:tc>
          <w:tcPr>
            <w:tcW w:type="dxa" w:w="2664"/>
            <w:vAlign w:val="top"/>
          </w:tcPr>
          <w:p>
            <w:r>
              <w:rPr>
                <w:sz w:val="16"/>
              </w:rPr>
              <w:t>HU-02</w:t>
            </w:r>
          </w:p>
        </w:tc>
        <w:tc>
          <w:tcPr>
            <w:tcW w:type="dxa" w:w="2664"/>
            <w:vAlign w:val="top"/>
          </w:tcPr>
          <w:p>
            <w:r>
              <w:rPr>
                <w:sz w:val="16"/>
              </w:rPr>
              <w:t>Consulta y visualización de beneficios</w:t>
            </w:r>
          </w:p>
        </w:tc>
        <w:tc>
          <w:tcPr>
            <w:tcW w:type="dxa" w:w="2664"/>
            <w:vAlign w:val="top"/>
          </w:tcPr>
          <w:p>
            <w:r>
              <w:rPr>
                <w:sz w:val="16"/>
              </w:rPr>
              <w:t>Como ciudadano, quiero visualizar mis beneficios disponibles y no disponibles, para conocer a qué ayudas estatales puedo acceder.</w:t>
            </w:r>
          </w:p>
        </w:tc>
        <w:tc>
          <w:tcPr>
            <w:tcW w:type="dxa" w:w="2664"/>
            <w:vAlign w:val="top"/>
          </w:tcPr>
          <w:p>
            <w:r>
              <w:rPr>
                <w:sz w:val="16"/>
              </w:rPr>
              <w:t>1. Dado que el ciudadano está autenticado, cuando carga el dashboard, entonces el sistema debe mostrar beneficios disponibles, sujetos a acreditación y no aplicables.</w:t>
              <w:br/>
              <w:t>2. Dado que el ciudadano posee beneficios disponibles, cuando revisa las tarjetas, entonces cada beneficio debe mostrar nombre, descripción y acción de postulación.</w:t>
              <w:br/>
              <w:t>3. Dado que el ciudadano no cumple un beneficio, cuando visualiza la sección no aplicable, entonces el sistema debe diferenciar visualmente la tarjeta.</w:t>
              <w:br/>
              <w:t>4. Dado que la información del perfil se carga correctamente, cuando el dashboard termina de renderizar, entonces los beneficios deben estar ordenados por categoría.</w:t>
            </w:r>
          </w:p>
        </w:tc>
      </w:tr>
      <w:tr>
        <w:tc>
          <w:tcPr>
            <w:tcW w:type="dxa" w:w="2664"/>
            <w:vAlign w:val="top"/>
          </w:tcPr>
          <w:p>
            <w:r>
              <w:rPr>
                <w:sz w:val="16"/>
              </w:rPr>
              <w:t>HU-03</w:t>
            </w:r>
          </w:p>
        </w:tc>
        <w:tc>
          <w:tcPr>
            <w:tcW w:type="dxa" w:w="2664"/>
            <w:vAlign w:val="top"/>
          </w:tcPr>
          <w:p>
            <w:r>
              <w:rPr>
                <w:sz w:val="16"/>
              </w:rPr>
              <w:t>Transparencia de beneficios no aplicables</w:t>
            </w:r>
          </w:p>
        </w:tc>
        <w:tc>
          <w:tcPr>
            <w:tcW w:type="dxa" w:w="2664"/>
            <w:vAlign w:val="top"/>
          </w:tcPr>
          <w:p>
            <w:r>
              <w:rPr>
                <w:sz w:val="16"/>
              </w:rPr>
              <w:t>Como ciudadano, quiero conocer los motivos por los que no califico a ciertos beneficios, para entender qué requisitos no cumplo.</w:t>
            </w:r>
          </w:p>
        </w:tc>
        <w:tc>
          <w:tcPr>
            <w:tcW w:type="dxa" w:w="2664"/>
            <w:vAlign w:val="top"/>
          </w:tcPr>
          <w:p>
            <w:r>
              <w:rPr>
                <w:sz w:val="16"/>
              </w:rPr>
              <w:t>1. Dado que un beneficio no aplica por tramo RSH, cuando el ciudadano revisa la tarjeta, entonces debe visualizar el motivo específico de rechazo.</w:t>
              <w:br/>
              <w:t>2. Dado que un beneficio tiene más de un requisito incumplido, cuando el ciudadano expande o revisa el detalle, entonces el sistema debe listar todos los motivos.</w:t>
              <w:br/>
              <w:t>3. Dado que el rechazo puede regularizarse en otra institución, cuando se muestra el motivo, entonces debe entregarse orientación o enlace informativo.</w:t>
              <w:br/>
              <w:t>4. Dado que el ciudadano consulta beneficios no aplicables, cuando revisa el listado, entonces el texto debe ser claro y comprensible para usuarios no técnicos.</w:t>
            </w:r>
          </w:p>
        </w:tc>
      </w:tr>
      <w:tr>
        <w:tc>
          <w:tcPr>
            <w:tcW w:type="dxa" w:w="2664"/>
            <w:vAlign w:val="top"/>
          </w:tcPr>
          <w:p>
            <w:r>
              <w:rPr>
                <w:sz w:val="16"/>
              </w:rPr>
              <w:t>HU-04</w:t>
            </w:r>
          </w:p>
        </w:tc>
        <w:tc>
          <w:tcPr>
            <w:tcW w:type="dxa" w:w="2664"/>
            <w:vAlign w:val="top"/>
          </w:tcPr>
          <w:p>
            <w:r>
              <w:rPr>
                <w:sz w:val="16"/>
              </w:rPr>
              <w:t>Cierre de sesión seguro e inactividad</w:t>
            </w:r>
          </w:p>
        </w:tc>
        <w:tc>
          <w:tcPr>
            <w:tcW w:type="dxa" w:w="2664"/>
            <w:vAlign w:val="top"/>
          </w:tcPr>
          <w:p>
            <w:r>
              <w:rPr>
                <w:sz w:val="16"/>
              </w:rPr>
              <w:t>Como ciudadano, quiero cerrar sesión de forma segura y que el sistema me desconecte por inactividad, para proteger mis datos personales.</w:t>
            </w:r>
          </w:p>
        </w:tc>
        <w:tc>
          <w:tcPr>
            <w:tcW w:type="dxa" w:w="2664"/>
            <w:vAlign w:val="top"/>
          </w:tcPr>
          <w:p>
            <w:r>
              <w:rPr>
                <w:sz w:val="16"/>
              </w:rPr>
              <w:t>1. Dado que el ciudadano tiene sesión activa, cuando presiona cerrar sesión, entonces el sistema debe limpiar el estado local y volver al login.</w:t>
              <w:br/>
              <w:t>2. Dado que el ciudadano permanece inactivo por el tiempo definido, cuando expira la sesión, entonces el sistema debe cerrar sesión automáticamente.</w:t>
              <w:br/>
              <w:t>3. Dado que el ciudadano cerró sesión, cuando intenta volver con el botón atrás, entonces el sistema debe impedir ver información anterior.</w:t>
              <w:br/>
              <w:t>4. Dado que la sesión fue destruida, cuando se recarga la página protegida, entonces el sistema debe redirigir nuevamente al login.</w:t>
            </w:r>
          </w:p>
        </w:tc>
      </w:tr>
      <w:tr>
        <w:tc>
          <w:tcPr>
            <w:tcW w:type="dxa" w:w="2664"/>
            <w:vAlign w:val="top"/>
          </w:tcPr>
          <w:p>
            <w:r>
              <w:rPr>
                <w:sz w:val="16"/>
              </w:rPr>
              <w:t>HU-05</w:t>
            </w:r>
          </w:p>
        </w:tc>
        <w:tc>
          <w:tcPr>
            <w:tcW w:type="dxa" w:w="2664"/>
            <w:vAlign w:val="top"/>
          </w:tcPr>
          <w:p>
            <w:r>
              <w:rPr>
                <w:sz w:val="16"/>
              </w:rPr>
              <w:t>Accesibilidad universal</w:t>
            </w:r>
          </w:p>
        </w:tc>
        <w:tc>
          <w:tcPr>
            <w:tcW w:type="dxa" w:w="2664"/>
            <w:vAlign w:val="top"/>
          </w:tcPr>
          <w:p>
            <w:r>
              <w:rPr>
                <w:sz w:val="16"/>
              </w:rPr>
              <w:t>Como ciudadano con necesidades de accesibilidad, quiero navegar por teclado, lector de pantalla y alto contraste, para usar el portal sin barreras.</w:t>
            </w:r>
          </w:p>
        </w:tc>
        <w:tc>
          <w:tcPr>
            <w:tcW w:type="dxa" w:w="2664"/>
            <w:vAlign w:val="top"/>
          </w:tcPr>
          <w:p>
            <w:r>
              <w:rPr>
                <w:sz w:val="16"/>
              </w:rPr>
              <w:t>1. Dado que el usuario navega sin mouse, cuando presiona TAB, entonces el foco debe avanzar de forma lógica por todos los controles.</w:t>
              <w:br/>
              <w:t>2. Dado que el usuario utiliza lector de pantalla, cuando recorre tarjetas y botones, entonces los elementos deben tener etiquetas comprensibles.</w:t>
              <w:br/>
              <w:t>3. Dado que el usuario requiere alto contraste, cuando usa la interfaz, entonces los textos y botones deben mantener legibilidad suficiente.</w:t>
              <w:br/>
              <w:t>4. Dado que el usuario accede desde pantalla pequeña, cuando carga el portal, entonces el diseño debe adaptarse sin pérdida de información.</w:t>
            </w:r>
          </w:p>
        </w:tc>
      </w:tr>
      <w:tr>
        <w:tc>
          <w:tcPr>
            <w:tcW w:type="dxa" w:w="2664"/>
            <w:vAlign w:val="top"/>
          </w:tcPr>
          <w:p>
            <w:r>
              <w:rPr>
                <w:sz w:val="16"/>
              </w:rPr>
              <w:t>HU-06</w:t>
            </w:r>
          </w:p>
        </w:tc>
        <w:tc>
          <w:tcPr>
            <w:tcW w:type="dxa" w:w="2664"/>
            <w:vAlign w:val="top"/>
          </w:tcPr>
          <w:p>
            <w:r>
              <w:rPr>
                <w:sz w:val="16"/>
              </w:rPr>
              <w:t>Registro de fallas de APIs externas</w:t>
            </w:r>
          </w:p>
        </w:tc>
        <w:tc>
          <w:tcPr>
            <w:tcW w:type="dxa" w:w="2664"/>
            <w:vAlign w:val="top"/>
          </w:tcPr>
          <w:p>
            <w:r>
              <w:rPr>
                <w:sz w:val="16"/>
              </w:rPr>
              <w:t>Como administrador, quiero que las fallas de instituciones externas queden registradas, para auditar problemas sin exponer datos sensibles.</w:t>
            </w:r>
          </w:p>
        </w:tc>
        <w:tc>
          <w:tcPr>
            <w:tcW w:type="dxa" w:w="2664"/>
            <w:vAlign w:val="top"/>
          </w:tcPr>
          <w:p>
            <w:r>
              <w:rPr>
                <w:sz w:val="16"/>
              </w:rPr>
              <w:t>1. Dado que una API externa falla, cuando el sistema detecta el error, entonces debe registrar el evento en logs técnicos.</w:t>
              <w:br/>
              <w:t>2. Dado que se registra un error externo, cuando se guarda el log, entonces los datos sensibles deben aparecer anonimizados.</w:t>
              <w:br/>
              <w:t>3. Dado que la institución externa responde con error, cuando el ciudadano usa el portal, entonces el sistema no debe colapsar completamente.</w:t>
              <w:br/>
              <w:t>4. Dado que existe una falla recurrente, cuando el administrador revisa auditoría, entonces debe poder identificar institución, fecha y tipo de error.</w:t>
            </w:r>
          </w:p>
        </w:tc>
      </w:tr>
      <w:tr>
        <w:tc>
          <w:tcPr>
            <w:tcW w:type="dxa" w:w="2664"/>
            <w:vAlign w:val="top"/>
          </w:tcPr>
          <w:p>
            <w:r>
              <w:rPr>
                <w:sz w:val="16"/>
              </w:rPr>
              <w:t>HU-07</w:t>
            </w:r>
          </w:p>
        </w:tc>
        <w:tc>
          <w:tcPr>
            <w:tcW w:type="dxa" w:w="2664"/>
            <w:vAlign w:val="top"/>
          </w:tcPr>
          <w:p>
            <w:r>
              <w:rPr>
                <w:sz w:val="16"/>
              </w:rPr>
              <w:t>Monitoreo de rendimiento y disponibilidad</w:t>
            </w:r>
          </w:p>
        </w:tc>
        <w:tc>
          <w:tcPr>
            <w:tcW w:type="dxa" w:w="2664"/>
            <w:vAlign w:val="top"/>
          </w:tcPr>
          <w:p>
            <w:r>
              <w:rPr>
                <w:sz w:val="16"/>
              </w:rPr>
              <w:t>Como administrador, quiero revisar tiempos de respuesta y disponibilidad del portal, para detectar problemas operativos.</w:t>
            </w:r>
          </w:p>
        </w:tc>
        <w:tc>
          <w:tcPr>
            <w:tcW w:type="dxa" w:w="2664"/>
            <w:vAlign w:val="top"/>
          </w:tcPr>
          <w:p>
            <w:r>
              <w:rPr>
                <w:sz w:val="16"/>
              </w:rPr>
              <w:t>1. Dado que el administrador entra al módulo técnico, cuando revisa métricas, entonces debe visualizar estado general de disponibilidad.</w:t>
              <w:br/>
              <w:t>2. Dado que existen eventos de lentitud, cuando se revisan los logs, entonces deben mostrarse tiempos de respuesta relevantes.</w:t>
              <w:br/>
              <w:t>3. Dado que una institución se encuentra indisponible, cuando el sistema la detecta, entonces debe registrar su estado de disponibilidad.</w:t>
              <w:br/>
              <w:t>4. Dado que el administrador necesita seguimiento, cuando consulta el panel, entonces debe encontrar información útil para soporte.</w:t>
            </w:r>
          </w:p>
        </w:tc>
      </w:tr>
      <w:tr>
        <w:tc>
          <w:tcPr>
            <w:tcW w:type="dxa" w:w="2664"/>
            <w:vAlign w:val="top"/>
          </w:tcPr>
          <w:p>
            <w:r>
              <w:rPr>
                <w:sz w:val="16"/>
              </w:rPr>
              <w:t>HU-08</w:t>
            </w:r>
          </w:p>
        </w:tc>
        <w:tc>
          <w:tcPr>
            <w:tcW w:type="dxa" w:w="2664"/>
            <w:vAlign w:val="top"/>
          </w:tcPr>
          <w:p>
            <w:r>
              <w:rPr>
                <w:sz w:val="16"/>
              </w:rPr>
              <w:t>Programación de mantenimiento del portal</w:t>
            </w:r>
          </w:p>
        </w:tc>
        <w:tc>
          <w:tcPr>
            <w:tcW w:type="dxa" w:w="2664"/>
            <w:vAlign w:val="top"/>
          </w:tcPr>
          <w:p>
            <w:r>
              <w:rPr>
                <w:sz w:val="16"/>
              </w:rPr>
              <w:t>Como administrador, quiero programar ventanas de mantenimiento, para informar a los ciudadanos y evitar ingresos durante actualizaciones.</w:t>
            </w:r>
          </w:p>
        </w:tc>
        <w:tc>
          <w:tcPr>
            <w:tcW w:type="dxa" w:w="2664"/>
            <w:vAlign w:val="top"/>
          </w:tcPr>
          <w:p>
            <w:r>
              <w:rPr>
                <w:sz w:val="16"/>
              </w:rPr>
              <w:t>1. Dado que el administrador necesita actualizar la plataforma, cuando programa mantenimiento, entonces debe definir fecha, hora y mensaje.</w:t>
              <w:br/>
              <w:t>2. Dado que existe mantenimiento activo, cuando un ciudadano intenta ingresar, entonces debe ver pantalla de actualización y no el login normal.</w:t>
              <w:br/>
              <w:t>3. Dado que finaliza la ventana de mantenimiento, cuando el sistema vuelve a estar disponible, entonces debe permitir nuevamente el ingreso.</w:t>
              <w:br/>
              <w:t>4. Dado que se programa un mantenimiento, cuando se guarda la configuración, entonces debe quedar registro para auditoría.</w:t>
            </w:r>
          </w:p>
        </w:tc>
      </w:tr>
      <w:tr>
        <w:tc>
          <w:tcPr>
            <w:tcW w:type="dxa" w:w="2664"/>
            <w:vAlign w:val="top"/>
          </w:tcPr>
          <w:p>
            <w:r>
              <w:rPr>
                <w:sz w:val="16"/>
              </w:rPr>
              <w:t>HU-09</w:t>
            </w:r>
          </w:p>
        </w:tc>
        <w:tc>
          <w:tcPr>
            <w:tcW w:type="dxa" w:w="2664"/>
            <w:vAlign w:val="top"/>
          </w:tcPr>
          <w:p>
            <w:r>
              <w:rPr>
                <w:sz w:val="16"/>
              </w:rPr>
              <w:t>Acceso al panel de auditoría</w:t>
            </w:r>
          </w:p>
        </w:tc>
        <w:tc>
          <w:tcPr>
            <w:tcW w:type="dxa" w:w="2664"/>
            <w:vAlign w:val="top"/>
          </w:tcPr>
          <w:p>
            <w:r>
              <w:rPr>
                <w:sz w:val="16"/>
              </w:rPr>
              <w:t>Como administrador, quiero acceder a un panel exclusivo de auditoría, para revisar eventos técnicos y logs del sistema.</w:t>
            </w:r>
          </w:p>
        </w:tc>
        <w:tc>
          <w:tcPr>
            <w:tcW w:type="dxa" w:w="2664"/>
            <w:vAlign w:val="top"/>
          </w:tcPr>
          <w:p>
            <w:r>
              <w:rPr>
                <w:sz w:val="16"/>
              </w:rPr>
              <w:t>1. Dado que el usuario tiene rol ADMIN, cuando inicia sesión, entonces debe visualizar acceso al panel de auditoría.</w:t>
              <w:br/>
              <w:t>2. Dado que el usuario no tiene rol ADMIN, cuando navega por el portal, entonces no debe visualizar acceso al panel de auditoría.</w:t>
              <w:br/>
              <w:t>3. Dado que el administrador presiona el botón de auditoría, cuando se carga la ruta /admin, entonces debe acceder al panel técnico.</w:t>
              <w:br/>
              <w:t>4. Dado que el administrador revisa el panel, cuando visualiza la información, entonces debe encontrar logs o eventos técnicos del sistema.</w:t>
            </w:r>
          </w:p>
        </w:tc>
      </w:tr>
      <w:tr>
        <w:tc>
          <w:tcPr>
            <w:tcW w:type="dxa" w:w="2664"/>
            <w:vAlign w:val="top"/>
          </w:tcPr>
          <w:p>
            <w:r>
              <w:rPr>
                <w:sz w:val="16"/>
              </w:rPr>
              <w:t>HU-10</w:t>
            </w:r>
          </w:p>
        </w:tc>
        <w:tc>
          <w:tcPr>
            <w:tcW w:type="dxa" w:w="2664"/>
            <w:vAlign w:val="top"/>
          </w:tcPr>
          <w:p>
            <w:r>
              <w:rPr>
                <w:sz w:val="16"/>
              </w:rPr>
              <w:t>Consulta y filtrado de logs técnicos</w:t>
            </w:r>
          </w:p>
        </w:tc>
        <w:tc>
          <w:tcPr>
            <w:tcW w:type="dxa" w:w="2664"/>
            <w:vAlign w:val="top"/>
          </w:tcPr>
          <w:p>
            <w:r>
              <w:rPr>
                <w:sz w:val="16"/>
              </w:rPr>
              <w:t>Como administrador, quiero filtrar logs por fecha, estado o institución, para identificar incidentes relevantes con rapidez.</w:t>
            </w:r>
          </w:p>
        </w:tc>
        <w:tc>
          <w:tcPr>
            <w:tcW w:type="dxa" w:w="2664"/>
            <w:vAlign w:val="top"/>
          </w:tcPr>
          <w:p>
            <w:r>
              <w:rPr>
                <w:sz w:val="16"/>
              </w:rPr>
              <w:t>1. Dado que existen logs registrados, cuando el administrador consulta el panel, entonces debe visualizar una lista de eventos.</w:t>
              <w:br/>
              <w:t>2. Dado que el administrador requiere una búsqueda específica, cuando aplica un filtro, entonces el sistema debe reducir los resultados mostrados.</w:t>
              <w:br/>
              <w:t>3. Dado que no existen logs para el filtro aplicado, cuando se consulta el panel, entonces debe mostrarse un mensaje de sin resultados.</w:t>
              <w:br/>
              <w:t>4. Dado que un log contiene datos sensibles, cuando se visualiza en pantalla, entonces los datos personales deben estar anonimizados.</w:t>
            </w:r>
          </w:p>
        </w:tc>
      </w:tr>
      <w:tr>
        <w:tc>
          <w:tcPr>
            <w:tcW w:type="dxa" w:w="2664"/>
            <w:vAlign w:val="top"/>
          </w:tcPr>
          <w:p>
            <w:r>
              <w:rPr>
                <w:sz w:val="16"/>
              </w:rPr>
              <w:t>HU-11</w:t>
            </w:r>
          </w:p>
        </w:tc>
        <w:tc>
          <w:tcPr>
            <w:tcW w:type="dxa" w:w="2664"/>
            <w:vAlign w:val="top"/>
          </w:tcPr>
          <w:p>
            <w:r>
              <w:rPr>
                <w:sz w:val="16"/>
              </w:rPr>
              <w:t>Aviso de institución externa no disponible</w:t>
            </w:r>
          </w:p>
        </w:tc>
        <w:tc>
          <w:tcPr>
            <w:tcW w:type="dxa" w:w="2664"/>
            <w:vAlign w:val="top"/>
          </w:tcPr>
          <w:p>
            <w:r>
              <w:rPr>
                <w:sz w:val="16"/>
              </w:rPr>
              <w:t>Como ciudadano, quiero recibir un aviso claro cuando una institución externa esté caída, para entender que el problema no corresponde a mi perfil.</w:t>
            </w:r>
          </w:p>
        </w:tc>
        <w:tc>
          <w:tcPr>
            <w:tcW w:type="dxa" w:w="2664"/>
            <w:vAlign w:val="top"/>
          </w:tcPr>
          <w:p>
            <w:r>
              <w:rPr>
                <w:sz w:val="16"/>
              </w:rPr>
              <w:t>1. Dado que una institución externa tiene linkStatus down, cuando el ciudadano carga beneficios, entonces la tarjeta debe verse deshabilitada u opaca.</w:t>
              <w:br/>
              <w:t>2. Dado que una institución está caída, cuando se muestra su tarjeta, entonces debe aparecer una alerta de institución temporalmente no disponible.</w:t>
              <w:br/>
              <w:t>3. Dado que la institución está caída, cuando el ciudadano intenta postular, entonces el botón debe estar deshabilitado o impedir la acción.</w:t>
              <w:br/>
              <w:t>4. Dado que solo una institución falla, cuando se muestran beneficios de otras instituciones, entonces el resto del portal debe seguir funcionando.</w:t>
            </w:r>
          </w:p>
        </w:tc>
      </w:tr>
      <w:tr>
        <w:tc>
          <w:tcPr>
            <w:tcW w:type="dxa" w:w="2664"/>
            <w:vAlign w:val="top"/>
          </w:tcPr>
          <w:p>
            <w:r>
              <w:rPr>
                <w:sz w:val="16"/>
              </w:rPr>
              <w:t>HU-12</w:t>
            </w:r>
          </w:p>
        </w:tc>
        <w:tc>
          <w:tcPr>
            <w:tcW w:type="dxa" w:w="2664"/>
            <w:vAlign w:val="top"/>
          </w:tcPr>
          <w:p>
            <w:r>
              <w:rPr>
                <w:sz w:val="16"/>
              </w:rPr>
              <w:t>Redirección a portal oficial de postulación</w:t>
            </w:r>
          </w:p>
        </w:tc>
        <w:tc>
          <w:tcPr>
            <w:tcW w:type="dxa" w:w="2664"/>
            <w:vAlign w:val="top"/>
          </w:tcPr>
          <w:p>
            <w:r>
              <w:rPr>
                <w:sz w:val="16"/>
              </w:rPr>
              <w:t>Como ciudadano, quiero abrir el sitio oficial del beneficio disponible, para continuar el proceso de postulación en la institución correspondiente.</w:t>
            </w:r>
          </w:p>
        </w:tc>
        <w:tc>
          <w:tcPr>
            <w:tcW w:type="dxa" w:w="2664"/>
            <w:vAlign w:val="top"/>
          </w:tcPr>
          <w:p>
            <w:r>
              <w:rPr>
                <w:sz w:val="16"/>
              </w:rPr>
              <w:t>1. Dado que un beneficio está disponible, cuando el ciudadano presiona postular, entonces debe abrirse el portal oficial correspondiente.</w:t>
              <w:br/>
              <w:t>2. Dado que el beneficio tiene enlace externo, cuando se activa la acción, entonces la redirección debe abrirse en una nueva pestaña o ruta segura.</w:t>
              <w:br/>
              <w:t>3. Dado que el beneficio no está disponible, cuando se visualiza la tarjeta, entonces no debe permitir postulación directa.</w:t>
              <w:br/>
              <w:t>4. Dado que el enlace externo está configurado, cuando se ejecuta la redirección, entonces debe mantener al usuario informado sobre que sale del portal BES.</w:t>
            </w:r>
          </w:p>
        </w:tc>
      </w:tr>
    </w:tbl>
    <w:p>
      <w:pPr>
        <w:pStyle w:val="Heading1"/>
      </w:pPr>
      <w:r>
        <w:t>4. Estrategia de ejecución</w:t>
      </w:r>
    </w:p>
    <w:p>
      <w:r>
        <w:t>Los casos de prueba se ejecutan manualmente sobre el prototipo publicado. Para cada caso, el tester sigue los pasos del Excel, verifica el resultado esperado y mueve la tarjeta del caso en el Kanban. En caso de falla, se registra un defecto asociado con severidad, pasos para reproducir, resultado obtenido y resultado esperado.</w:t>
      </w:r>
    </w:p>
    <w:p>
      <w:pPr>
        <w:pStyle w:val="Heading1"/>
      </w:pPr>
      <w:r>
        <w:t>5. Resumen de cobertura</w:t>
      </w:r>
    </w:p>
    <w:tbl>
      <w:tblPr>
        <w:tblW w:type="auto" w:w="0"/>
        <w:jc w:val="center"/>
        <w:tblLook w:firstColumn="1" w:firstRow="1" w:lastColumn="0" w:lastRow="0" w:noHBand="0" w:noVBand="1" w:val="04A0"/>
      </w:tblPr>
      <w:tblGrid>
        <w:gridCol w:w="2664"/>
        <w:gridCol w:w="2664"/>
        <w:gridCol w:w="2664"/>
        <w:gridCol w:w="2664"/>
      </w:tblGrid>
      <w:tr>
        <w:tc>
          <w:tcPr>
            <w:tcW w:type="dxa" w:w="2664"/>
            <w:shd w:fill="002B5C"/>
            <w:vAlign w:val="top"/>
          </w:tcPr>
          <w:p>
            <w:r>
              <w:rPr>
                <w:b/>
                <w:color w:val="FFFFFF"/>
                <w:sz w:val="16"/>
              </w:rPr>
              <w:t>Indicador</w:t>
            </w:r>
          </w:p>
        </w:tc>
        <w:tc>
          <w:tcPr>
            <w:tcW w:type="dxa" w:w="2664"/>
            <w:shd w:fill="002B5C"/>
            <w:vAlign w:val="top"/>
          </w:tcPr>
          <w:p>
            <w:r>
              <w:rPr>
                <w:b/>
                <w:color w:val="FFFFFF"/>
                <w:sz w:val="16"/>
              </w:rPr>
              <w:t>Cantidad</w:t>
            </w:r>
          </w:p>
        </w:tc>
        <w:tc>
          <w:tcPr>
            <w:tcW w:type="dxa" w:w="2664"/>
            <w:shd w:fill="002B5C"/>
            <w:vAlign w:val="top"/>
          </w:tcPr>
          <w:p>
            <w:r>
              <w:rPr>
                <w:b/>
                <w:color w:val="FFFFFF"/>
                <w:sz w:val="16"/>
              </w:rPr>
              <w:t>Estado</w:t>
            </w:r>
          </w:p>
        </w:tc>
        <w:tc>
          <w:tcPr>
            <w:tcW w:type="dxa" w:w="2664"/>
            <w:shd w:fill="002B5C"/>
            <w:vAlign w:val="top"/>
          </w:tcPr>
          <w:p>
            <w:r>
              <w:rPr>
                <w:b/>
                <w:color w:val="FFFFFF"/>
                <w:sz w:val="16"/>
              </w:rPr>
              <w:t>Observación</w:t>
            </w:r>
          </w:p>
        </w:tc>
      </w:tr>
      <w:tr>
        <w:tc>
          <w:tcPr>
            <w:tcW w:type="dxa" w:w="2664"/>
            <w:vAlign w:val="top"/>
          </w:tcPr>
          <w:p>
            <w:r>
              <w:rPr>
                <w:sz w:val="16"/>
              </w:rPr>
              <w:t>Historias de usuario</w:t>
            </w:r>
          </w:p>
        </w:tc>
        <w:tc>
          <w:tcPr>
            <w:tcW w:type="dxa" w:w="2664"/>
            <w:vAlign w:val="top"/>
          </w:tcPr>
          <w:p>
            <w:r>
              <w:rPr>
                <w:sz w:val="16"/>
              </w:rPr>
              <w:t>12</w:t>
            </w:r>
          </w:p>
        </w:tc>
        <w:tc>
          <w:tcPr>
            <w:tcW w:type="dxa" w:w="2664"/>
            <w:vAlign w:val="top"/>
          </w:tcPr>
          <w:p>
            <w:r>
              <w:rPr>
                <w:sz w:val="16"/>
              </w:rPr>
              <w:t>Cubierto</w:t>
            </w:r>
          </w:p>
        </w:tc>
        <w:tc>
          <w:tcPr>
            <w:tcW w:type="dxa" w:w="2664"/>
            <w:vAlign w:val="top"/>
          </w:tcPr>
          <w:p>
            <w:r>
              <w:rPr>
                <w:sz w:val="16"/>
              </w:rPr>
              <w:t>8 originales + 4 nuevas</w:t>
            </w:r>
          </w:p>
        </w:tc>
      </w:tr>
      <w:tr>
        <w:tc>
          <w:tcPr>
            <w:tcW w:type="dxa" w:w="2664"/>
            <w:vAlign w:val="top"/>
          </w:tcPr>
          <w:p>
            <w:r>
              <w:rPr>
                <w:sz w:val="16"/>
              </w:rPr>
              <w:t>Criterios de aceptación</w:t>
            </w:r>
          </w:p>
        </w:tc>
        <w:tc>
          <w:tcPr>
            <w:tcW w:type="dxa" w:w="2664"/>
            <w:vAlign w:val="top"/>
          </w:tcPr>
          <w:p>
            <w:r>
              <w:rPr>
                <w:sz w:val="16"/>
              </w:rPr>
              <w:t>48</w:t>
            </w:r>
          </w:p>
        </w:tc>
        <w:tc>
          <w:tcPr>
            <w:tcW w:type="dxa" w:w="2664"/>
            <w:vAlign w:val="top"/>
          </w:tcPr>
          <w:p>
            <w:r>
              <w:rPr>
                <w:sz w:val="16"/>
              </w:rPr>
              <w:t>Cubierto</w:t>
            </w:r>
          </w:p>
        </w:tc>
        <w:tc>
          <w:tcPr>
            <w:tcW w:type="dxa" w:w="2664"/>
            <w:vAlign w:val="top"/>
          </w:tcPr>
          <w:p>
            <w:r>
              <w:rPr>
                <w:sz w:val="16"/>
              </w:rPr>
              <w:t>4 por HU</w:t>
            </w:r>
          </w:p>
        </w:tc>
      </w:tr>
      <w:tr>
        <w:tc>
          <w:tcPr>
            <w:tcW w:type="dxa" w:w="2664"/>
            <w:vAlign w:val="top"/>
          </w:tcPr>
          <w:p>
            <w:r>
              <w:rPr>
                <w:sz w:val="16"/>
              </w:rPr>
              <w:t>Casos de prueba</w:t>
            </w:r>
          </w:p>
        </w:tc>
        <w:tc>
          <w:tcPr>
            <w:tcW w:type="dxa" w:w="2664"/>
            <w:vAlign w:val="top"/>
          </w:tcPr>
          <w:p>
            <w:r>
              <w:rPr>
                <w:sz w:val="16"/>
              </w:rPr>
              <w:t>48</w:t>
            </w:r>
          </w:p>
        </w:tc>
        <w:tc>
          <w:tcPr>
            <w:tcW w:type="dxa" w:w="2664"/>
            <w:vAlign w:val="top"/>
          </w:tcPr>
          <w:p>
            <w:r>
              <w:rPr>
                <w:sz w:val="16"/>
              </w:rPr>
              <w:t>Cubierto</w:t>
            </w:r>
          </w:p>
        </w:tc>
        <w:tc>
          <w:tcPr>
            <w:tcW w:type="dxa" w:w="2664"/>
            <w:vAlign w:val="top"/>
          </w:tcPr>
          <w:p>
            <w:r>
              <w:rPr>
                <w:sz w:val="16"/>
              </w:rPr>
              <w:t>1 caso por CA</w:t>
            </w:r>
          </w:p>
        </w:tc>
      </w:tr>
      <w:tr>
        <w:tc>
          <w:tcPr>
            <w:tcW w:type="dxa" w:w="2664"/>
            <w:vAlign w:val="top"/>
          </w:tcPr>
          <w:p>
            <w:r>
              <w:rPr>
                <w:sz w:val="16"/>
              </w:rPr>
              <w:t>Defectos documentados</w:t>
            </w:r>
          </w:p>
        </w:tc>
        <w:tc>
          <w:tcPr>
            <w:tcW w:type="dxa" w:w="2664"/>
            <w:vAlign w:val="top"/>
          </w:tcPr>
          <w:p>
            <w:r>
              <w:rPr>
                <w:sz w:val="16"/>
              </w:rPr>
              <w:t>6</w:t>
            </w:r>
          </w:p>
        </w:tc>
        <w:tc>
          <w:tcPr>
            <w:tcW w:type="dxa" w:w="2664"/>
            <w:vAlign w:val="top"/>
          </w:tcPr>
          <w:p>
            <w:r>
              <w:rPr>
                <w:sz w:val="16"/>
              </w:rPr>
              <w:t>Cubierto</w:t>
            </w:r>
          </w:p>
        </w:tc>
        <w:tc>
          <w:tcPr>
            <w:tcW w:type="dxa" w:w="2664"/>
            <w:vAlign w:val="top"/>
          </w:tcPr>
          <w:p>
            <w:r>
              <w:rPr>
                <w:sz w:val="16"/>
              </w:rPr>
              <w:t>Asociados a casos Failed</w:t>
            </w:r>
          </w:p>
        </w:tc>
      </w:tr>
      <w:tr>
        <w:tc>
          <w:tcPr>
            <w:tcW w:type="dxa" w:w="2664"/>
            <w:vAlign w:val="top"/>
          </w:tcPr>
          <w:p>
            <w:r>
              <w:rPr>
                <w:sz w:val="16"/>
              </w:rPr>
              <w:t>Control de cambios</w:t>
            </w:r>
          </w:p>
        </w:tc>
        <w:tc>
          <w:tcPr>
            <w:tcW w:type="dxa" w:w="2664"/>
            <w:vAlign w:val="top"/>
          </w:tcPr>
          <w:p>
            <w:r>
              <w:rPr>
                <w:sz w:val="16"/>
              </w:rPr>
              <w:t>v1.0 a v1.5</w:t>
            </w:r>
          </w:p>
        </w:tc>
        <w:tc>
          <w:tcPr>
            <w:tcW w:type="dxa" w:w="2664"/>
            <w:vAlign w:val="top"/>
          </w:tcPr>
          <w:p>
            <w:r>
              <w:rPr>
                <w:sz w:val="16"/>
              </w:rPr>
              <w:t>Cubierto</w:t>
            </w:r>
          </w:p>
        </w:tc>
        <w:tc>
          <w:tcPr>
            <w:tcW w:type="dxa" w:w="2664"/>
            <w:vAlign w:val="top"/>
          </w:tcPr>
          <w:p>
            <w:r>
              <w:rPr>
                <w:sz w:val="16"/>
              </w:rPr>
              <w:t>Registro de mejoras del prototipo</w:t>
            </w:r>
          </w:p>
        </w:tc>
      </w:tr>
    </w:tbl>
    <w:p>
      <w:pPr>
        <w:pStyle w:val="Heading1"/>
      </w:pPr>
      <w:r>
        <w:t>6. Criterios de aceptación y rechazo del ciclo de pruebas</w:t>
      </w:r>
    </w:p>
    <w:p>
      <w:r>
        <w:t>Criterios de aceptación: ejecutar los casos definidos, documentar resultados, no dejar defectos críticos abiertos en flujos principales, evidenciar el Kanban y registrar cambios realizados al prototipo.</w:t>
      </w:r>
    </w:p>
    <w:p>
      <w:r>
        <w:t>Criterios de rechazo: fallas críticas en login, imposibilidad de acceder al dashboard, ausencia de evidencias, falta de control de cambios o incumplimiento grave de accesibilidad básica.</w:t>
      </w:r>
    </w:p>
    <w:p>
      <w:pPr>
        <w:pStyle w:val="Heading1"/>
      </w:pPr>
      <w:r>
        <w:t>7. Conclusión</w:t>
      </w:r>
    </w:p>
    <w:p>
      <w:r>
        <w:t>El plan de pruebas permite demostrar trazabilidad entre historias de usuario, criterios de aceptación, ejecución manual, defectos y control de cambios. Con esta versión, el equipo mantiene las 8 HU originales y amplía el alcance a 12 HU, alineándose con la exigencia de 3 historias por integrante en un equipo de 4 personas.</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2B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2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