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E9E3" w14:textId="77777777" w:rsidR="001224BB" w:rsidRPr="001224BB" w:rsidRDefault="001224BB" w:rsidP="00122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24BB">
        <w:rPr>
          <w:rFonts w:ascii="Times New Roman" w:eastAsia="Times New Roman" w:hAnsi="Times New Roman" w:cs="Times New Roman"/>
          <w:b/>
          <w:bCs/>
          <w:kern w:val="36"/>
          <w:sz w:val="48"/>
          <w:szCs w:val="48"/>
          <w14:ligatures w14:val="none"/>
        </w:rPr>
        <w:t>Implementation and Empirical Analysis of SoftmaxLoss@K: Advancing Top-K Ranking Metrics Optimization in Recommender Systems</w:t>
      </w:r>
    </w:p>
    <w:p w14:paraId="4270903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735882C3"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Group No. 16 – COMP 5331 Knowledge Discovery in Databases</w:t>
      </w:r>
    </w:p>
    <w:p w14:paraId="259D6050" w14:textId="37B8EC71" w:rsidR="001224BB" w:rsidRDefault="001224BB" w:rsidP="0081674B">
      <w:pPr>
        <w:tabs>
          <w:tab w:val="left" w:pos="3284"/>
        </w:tabs>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Type:</w:t>
      </w:r>
      <w:r w:rsidRPr="001224BB">
        <w:rPr>
          <w:rFonts w:ascii="Times New Roman" w:eastAsia="Times New Roman" w:hAnsi="Times New Roman" w:cs="Times New Roman"/>
          <w:kern w:val="0"/>
          <w14:ligatures w14:val="none"/>
        </w:rPr>
        <w:t xml:space="preserve"> Implementation</w:t>
      </w:r>
      <w:r w:rsidR="0081674B">
        <w:rPr>
          <w:rFonts w:ascii="Times New Roman" w:eastAsia="Times New Roman" w:hAnsi="Times New Roman" w:cs="Times New Roman"/>
          <w:kern w:val="0"/>
          <w14:ligatures w14:val="none"/>
        </w:rPr>
        <w:tab/>
      </w:r>
    </w:p>
    <w:tbl>
      <w:tblPr>
        <w:tblStyle w:val="GridTable1Light"/>
        <w:tblpPr w:leftFromText="180" w:rightFromText="180" w:vertAnchor="text" w:horzAnchor="margin" w:tblpXSpec="center" w:tblpY="515"/>
        <w:tblW w:w="8420" w:type="dxa"/>
        <w:tblLook w:val="04A0" w:firstRow="1" w:lastRow="0" w:firstColumn="1" w:lastColumn="0" w:noHBand="0" w:noVBand="1"/>
      </w:tblPr>
      <w:tblGrid>
        <w:gridCol w:w="1082"/>
        <w:gridCol w:w="2156"/>
        <w:gridCol w:w="2392"/>
        <w:gridCol w:w="2790"/>
      </w:tblGrid>
      <w:tr w:rsidR="0081674B" w14:paraId="10108780" w14:textId="77777777" w:rsidTr="00B92DF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082" w:type="dxa"/>
          </w:tcPr>
          <w:p w14:paraId="1247CA7D" w14:textId="77777777" w:rsidR="0081674B" w:rsidRPr="008D6DFC" w:rsidRDefault="0081674B" w:rsidP="00766B5B">
            <w:pPr>
              <w:jc w:val="center"/>
              <w:rPr>
                <w:sz w:val="15"/>
                <w:szCs w:val="16"/>
              </w:rPr>
            </w:pPr>
            <w:r w:rsidRPr="008D6DFC">
              <w:rPr>
                <w:rFonts w:hint="eastAsia"/>
                <w:sz w:val="15"/>
                <w:szCs w:val="16"/>
              </w:rPr>
              <w:t>Student ID</w:t>
            </w:r>
          </w:p>
        </w:tc>
        <w:tc>
          <w:tcPr>
            <w:tcW w:w="2156" w:type="dxa"/>
          </w:tcPr>
          <w:p w14:paraId="672FE57D" w14:textId="77777777" w:rsidR="0081674B" w:rsidRPr="008D6DFC" w:rsidRDefault="0081674B" w:rsidP="00766B5B">
            <w:pPr>
              <w:jc w:val="center"/>
              <w:cnfStyle w:val="100000000000" w:firstRow="1" w:lastRow="0" w:firstColumn="0" w:lastColumn="0" w:oddVBand="0" w:evenVBand="0" w:oddHBand="0" w:evenHBand="0" w:firstRowFirstColumn="0" w:firstRowLastColumn="0" w:lastRowFirstColumn="0" w:lastRowLastColumn="0"/>
              <w:rPr>
                <w:sz w:val="15"/>
                <w:szCs w:val="16"/>
              </w:rPr>
            </w:pPr>
            <w:r w:rsidRPr="008D6DFC">
              <w:rPr>
                <w:sz w:val="15"/>
                <w:szCs w:val="16"/>
              </w:rPr>
              <w:t>Student Name</w:t>
            </w:r>
          </w:p>
        </w:tc>
        <w:tc>
          <w:tcPr>
            <w:tcW w:w="2392" w:type="dxa"/>
          </w:tcPr>
          <w:p w14:paraId="3383E293" w14:textId="77777777" w:rsidR="0081674B" w:rsidRPr="008D6DFC" w:rsidRDefault="0081674B" w:rsidP="00766B5B">
            <w:pPr>
              <w:jc w:val="center"/>
              <w:cnfStyle w:val="100000000000" w:firstRow="1" w:lastRow="0" w:firstColumn="0" w:lastColumn="0" w:oddVBand="0" w:evenVBand="0" w:oddHBand="0" w:evenHBand="0" w:firstRowFirstColumn="0" w:firstRowLastColumn="0" w:lastRowFirstColumn="0" w:lastRowLastColumn="0"/>
              <w:rPr>
                <w:sz w:val="15"/>
                <w:szCs w:val="16"/>
              </w:rPr>
            </w:pPr>
            <w:r w:rsidRPr="008D6DFC">
              <w:rPr>
                <w:sz w:val="15"/>
                <w:szCs w:val="16"/>
              </w:rPr>
              <w:t>Research/FYP Supervisor (if any)</w:t>
            </w:r>
          </w:p>
        </w:tc>
        <w:tc>
          <w:tcPr>
            <w:tcW w:w="2790" w:type="dxa"/>
          </w:tcPr>
          <w:p w14:paraId="6597E609" w14:textId="77777777" w:rsidR="0081674B" w:rsidRPr="008D6DFC" w:rsidRDefault="0081674B" w:rsidP="00766B5B">
            <w:pPr>
              <w:jc w:val="center"/>
              <w:cnfStyle w:val="100000000000" w:firstRow="1" w:lastRow="0" w:firstColumn="0" w:lastColumn="0" w:oddVBand="0" w:evenVBand="0" w:oddHBand="0" w:evenHBand="0" w:firstRowFirstColumn="0" w:firstRowLastColumn="0" w:lastRowFirstColumn="0" w:lastRowLastColumn="0"/>
              <w:rPr>
                <w:sz w:val="15"/>
                <w:szCs w:val="16"/>
              </w:rPr>
            </w:pPr>
            <w:r w:rsidRPr="008D6DFC">
              <w:rPr>
                <w:sz w:val="15"/>
                <w:szCs w:val="16"/>
              </w:rPr>
              <w:t xml:space="preserve">Personal Research/FYP Topic (if any) </w:t>
            </w:r>
          </w:p>
        </w:tc>
      </w:tr>
      <w:tr w:rsidR="0081674B" w14:paraId="7A781917"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652AEA6D" w14:textId="77777777" w:rsidR="0081674B" w:rsidRPr="005424A2" w:rsidRDefault="0081674B" w:rsidP="00766B5B">
            <w:pPr>
              <w:rPr>
                <w:sz w:val="18"/>
                <w:szCs w:val="20"/>
              </w:rPr>
            </w:pPr>
            <w:r>
              <w:rPr>
                <w:rFonts w:hint="eastAsia"/>
                <w:b w:val="0"/>
                <w:bCs w:val="0"/>
                <w:sz w:val="18"/>
                <w:szCs w:val="20"/>
              </w:rPr>
              <w:t>21255086</w:t>
            </w:r>
          </w:p>
        </w:tc>
        <w:tc>
          <w:tcPr>
            <w:tcW w:w="2156" w:type="dxa"/>
          </w:tcPr>
          <w:p w14:paraId="3A7048E4"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AN, Jiayu</w:t>
            </w:r>
          </w:p>
        </w:tc>
        <w:tc>
          <w:tcPr>
            <w:tcW w:w="2392" w:type="dxa"/>
          </w:tcPr>
          <w:p w14:paraId="00A91EE2"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Li, Bo</w:t>
            </w:r>
          </w:p>
        </w:tc>
        <w:tc>
          <w:tcPr>
            <w:tcW w:w="2790" w:type="dxa"/>
          </w:tcPr>
          <w:p w14:paraId="73128596"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None</w:t>
            </w:r>
          </w:p>
        </w:tc>
      </w:tr>
      <w:tr w:rsidR="0081674B" w14:paraId="3E8FDC88"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6C67939E" w14:textId="77777777" w:rsidR="0081674B" w:rsidRPr="005424A2" w:rsidRDefault="0081674B" w:rsidP="00766B5B">
            <w:pPr>
              <w:rPr>
                <w:sz w:val="18"/>
                <w:szCs w:val="20"/>
              </w:rPr>
            </w:pPr>
            <w:r w:rsidRPr="00646CBB">
              <w:rPr>
                <w:rFonts w:hint="eastAsia"/>
                <w:b w:val="0"/>
                <w:bCs w:val="0"/>
                <w:sz w:val="18"/>
                <w:szCs w:val="20"/>
              </w:rPr>
              <w:t>21070084</w:t>
            </w:r>
          </w:p>
        </w:tc>
        <w:tc>
          <w:tcPr>
            <w:tcW w:w="2156" w:type="dxa"/>
          </w:tcPr>
          <w:p w14:paraId="5C9715CC"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CAO, Lunxi</w:t>
            </w:r>
          </w:p>
        </w:tc>
        <w:tc>
          <w:tcPr>
            <w:tcW w:w="2392" w:type="dxa"/>
          </w:tcPr>
          <w:p w14:paraId="2B2C27A0" w14:textId="1DDB3947"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WANG, Wei</w:t>
            </w:r>
          </w:p>
        </w:tc>
        <w:tc>
          <w:tcPr>
            <w:tcW w:w="2790" w:type="dxa"/>
          </w:tcPr>
          <w:p w14:paraId="57AB99E7"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System Optimization for </w:t>
            </w:r>
          </w:p>
          <w:p w14:paraId="57F8E9E8" w14:textId="55273E18"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LLM Post Training</w:t>
            </w:r>
          </w:p>
        </w:tc>
      </w:tr>
      <w:tr w:rsidR="0081674B" w14:paraId="1A8C8EDC" w14:textId="77777777" w:rsidTr="00B92DF8">
        <w:trPr>
          <w:trHeight w:val="338"/>
        </w:trPr>
        <w:tc>
          <w:tcPr>
            <w:cnfStyle w:val="001000000000" w:firstRow="0" w:lastRow="0" w:firstColumn="1" w:lastColumn="0" w:oddVBand="0" w:evenVBand="0" w:oddHBand="0" w:evenHBand="0" w:firstRowFirstColumn="0" w:firstRowLastColumn="0" w:lastRowFirstColumn="0" w:lastRowLastColumn="0"/>
            <w:tcW w:w="1082" w:type="dxa"/>
          </w:tcPr>
          <w:p w14:paraId="300C2573" w14:textId="77777777" w:rsidR="0081674B" w:rsidRPr="005424A2" w:rsidRDefault="0081674B" w:rsidP="00766B5B">
            <w:pPr>
              <w:rPr>
                <w:sz w:val="18"/>
                <w:szCs w:val="20"/>
              </w:rPr>
            </w:pPr>
            <w:r w:rsidRPr="00646CBB">
              <w:rPr>
                <w:rFonts w:hint="eastAsia"/>
                <w:b w:val="0"/>
                <w:bCs w:val="0"/>
                <w:sz w:val="18"/>
                <w:szCs w:val="20"/>
              </w:rPr>
              <w:t>20777063</w:t>
            </w:r>
          </w:p>
        </w:tc>
        <w:tc>
          <w:tcPr>
            <w:tcW w:w="2156" w:type="dxa"/>
          </w:tcPr>
          <w:p w14:paraId="5D0587AA"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CHAU, Yu Foon Darin</w:t>
            </w:r>
          </w:p>
        </w:tc>
        <w:tc>
          <w:tcPr>
            <w:tcW w:w="2392" w:type="dxa"/>
          </w:tcPr>
          <w:p w14:paraId="38326B43" w14:textId="2A17C9B4"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Andrew HORNER</w:t>
            </w:r>
          </w:p>
        </w:tc>
        <w:tc>
          <w:tcPr>
            <w:tcW w:w="2790" w:type="dxa"/>
          </w:tcPr>
          <w:p w14:paraId="613B554C"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Music Mashups with </w:t>
            </w:r>
          </w:p>
          <w:p w14:paraId="0149AF67" w14:textId="6FFC0AE4"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Generative AI</w:t>
            </w:r>
          </w:p>
        </w:tc>
      </w:tr>
      <w:tr w:rsidR="0081674B" w14:paraId="74E06687"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1D515178" w14:textId="77777777" w:rsidR="0081674B" w:rsidRPr="005424A2" w:rsidRDefault="0081674B" w:rsidP="00766B5B">
            <w:pPr>
              <w:rPr>
                <w:sz w:val="18"/>
                <w:szCs w:val="20"/>
              </w:rPr>
            </w:pPr>
            <w:r w:rsidRPr="00646CBB">
              <w:rPr>
                <w:rFonts w:hint="eastAsia"/>
                <w:b w:val="0"/>
                <w:bCs w:val="0"/>
                <w:sz w:val="18"/>
                <w:szCs w:val="20"/>
              </w:rPr>
              <w:t>20885042</w:t>
            </w:r>
          </w:p>
        </w:tc>
        <w:tc>
          <w:tcPr>
            <w:tcW w:w="2156" w:type="dxa"/>
          </w:tcPr>
          <w:p w14:paraId="53AF34FB"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LI, Jiaxiu</w:t>
            </w:r>
          </w:p>
        </w:tc>
        <w:tc>
          <w:tcPr>
            <w:tcW w:w="2392" w:type="dxa"/>
          </w:tcPr>
          <w:p w14:paraId="03907537" w14:textId="65FB690B"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CHEN, Hao</w:t>
            </w:r>
          </w:p>
        </w:tc>
        <w:tc>
          <w:tcPr>
            <w:tcW w:w="2790" w:type="dxa"/>
          </w:tcPr>
          <w:p w14:paraId="48815098"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Ambient Intelligence </w:t>
            </w:r>
          </w:p>
          <w:p w14:paraId="23FDA78B"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Empowered Smart </w:t>
            </w:r>
          </w:p>
          <w:p w14:paraId="55114E8B"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Nursing Home for </w:t>
            </w:r>
          </w:p>
          <w:p w14:paraId="13FF1C8A"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Vision-Based Elderly </w:t>
            </w:r>
          </w:p>
          <w:p w14:paraId="57ED69B0" w14:textId="064DF1E3"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Caring</w:t>
            </w:r>
          </w:p>
        </w:tc>
      </w:tr>
      <w:tr w:rsidR="0081674B" w14:paraId="6CCB4907"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5FCA3829" w14:textId="77777777" w:rsidR="0081674B" w:rsidRPr="005424A2" w:rsidRDefault="0081674B" w:rsidP="00766B5B">
            <w:pPr>
              <w:rPr>
                <w:sz w:val="18"/>
                <w:szCs w:val="20"/>
              </w:rPr>
            </w:pPr>
            <w:r w:rsidRPr="00646CBB">
              <w:rPr>
                <w:rFonts w:hint="eastAsia"/>
                <w:b w:val="0"/>
                <w:bCs w:val="0"/>
                <w:sz w:val="18"/>
                <w:szCs w:val="20"/>
              </w:rPr>
              <w:t>21247601</w:t>
            </w:r>
          </w:p>
        </w:tc>
        <w:tc>
          <w:tcPr>
            <w:tcW w:w="2156" w:type="dxa"/>
          </w:tcPr>
          <w:p w14:paraId="6BD9651E"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YOU, Hanzhi</w:t>
            </w:r>
          </w:p>
        </w:tc>
        <w:tc>
          <w:tcPr>
            <w:tcW w:w="2392" w:type="dxa"/>
          </w:tcPr>
          <w:p w14:paraId="0E092324"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Li, Bo</w:t>
            </w:r>
          </w:p>
        </w:tc>
        <w:tc>
          <w:tcPr>
            <w:tcW w:w="2790" w:type="dxa"/>
          </w:tcPr>
          <w:p w14:paraId="0F95DD7E"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None</w:t>
            </w:r>
          </w:p>
        </w:tc>
      </w:tr>
    </w:tbl>
    <w:p w14:paraId="3C152561" w14:textId="591A23B8" w:rsidR="0081674B" w:rsidRPr="001224BB" w:rsidRDefault="0081674B" w:rsidP="0081674B">
      <w:pPr>
        <w:tabs>
          <w:tab w:val="left" w:pos="3284"/>
        </w:tabs>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Members:</w:t>
      </w:r>
    </w:p>
    <w:p w14:paraId="56B0C874" w14:textId="77777777" w:rsidR="0081674B" w:rsidRDefault="0081674B" w:rsidP="001224BB">
      <w:pPr>
        <w:spacing w:before="100" w:beforeAutospacing="1" w:after="100" w:afterAutospacing="1" w:line="240" w:lineRule="auto"/>
        <w:rPr>
          <w:rFonts w:ascii="Times New Roman" w:eastAsia="Times New Roman" w:hAnsi="Times New Roman" w:cs="Times New Roman"/>
          <w:b/>
          <w:bCs/>
          <w:kern w:val="0"/>
          <w14:ligatures w14:val="none"/>
        </w:rPr>
      </w:pPr>
    </w:p>
    <w:p w14:paraId="2842A5B5" w14:textId="5AD92016" w:rsid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Declaration:</w:t>
      </w:r>
      <w:r w:rsidRPr="001224BB">
        <w:rPr>
          <w:rFonts w:ascii="Times New Roman" w:eastAsia="Times New Roman" w:hAnsi="Times New Roman" w:cs="Times New Roman"/>
          <w:kern w:val="0"/>
          <w14:ligatures w14:val="none"/>
        </w:rPr>
        <w:t xml:space="preserve"> This project was completed solely for COMP 5331 and does not overlap with any other course, FYP, or research project.</w:t>
      </w:r>
    </w:p>
    <w:p w14:paraId="114A2CB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FDBEAD2"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1  Introduction</w:t>
      </w:r>
    </w:p>
    <w:p w14:paraId="52CC3A8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7FED33E3"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Modern recommender systems (RS) underpin e-commerce, streaming, and social-media platforms by predicting which items users are most likely to engage with.</w:t>
      </w:r>
    </w:p>
    <w:p w14:paraId="49EC812D"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In practice, evaluation relies heavily on </w:t>
      </w:r>
      <w:r w:rsidRPr="001224BB">
        <w:rPr>
          <w:rFonts w:ascii="Times New Roman" w:eastAsia="Times New Roman" w:hAnsi="Times New Roman" w:cs="Times New Roman"/>
          <w:i/>
          <w:iCs/>
          <w:kern w:val="0"/>
          <w14:ligatures w14:val="none"/>
        </w:rPr>
        <w:t>Top-K</w:t>
      </w:r>
      <w:r w:rsidRPr="001224BB">
        <w:rPr>
          <w:rFonts w:ascii="Times New Roman" w:eastAsia="Times New Roman" w:hAnsi="Times New Roman" w:cs="Times New Roman"/>
          <w:kern w:val="0"/>
          <w14:ligatures w14:val="none"/>
        </w:rPr>
        <w:t xml:space="preserve"> ranking metrics—particularly </w:t>
      </w:r>
      <w:r w:rsidRPr="001224BB">
        <w:rPr>
          <w:rFonts w:ascii="Times New Roman" w:eastAsia="Times New Roman" w:hAnsi="Times New Roman" w:cs="Times New Roman"/>
          <w:b/>
          <w:bCs/>
          <w:kern w:val="0"/>
          <w14:ligatures w14:val="none"/>
        </w:rPr>
        <w:t>Recall@K</w:t>
      </w:r>
      <w:r w:rsidRPr="001224BB">
        <w:rPr>
          <w:rFonts w:ascii="Times New Roman" w:eastAsia="Times New Roman" w:hAnsi="Times New Roman" w:cs="Times New Roman"/>
          <w:kern w:val="0"/>
          <w14:ligatures w14:val="none"/>
        </w:rPr>
        <w:t xml:space="preserve"> and </w:t>
      </w:r>
      <w:r w:rsidRPr="001224BB">
        <w:rPr>
          <w:rFonts w:ascii="Times New Roman" w:eastAsia="Times New Roman" w:hAnsi="Times New Roman" w:cs="Times New Roman"/>
          <w:b/>
          <w:bCs/>
          <w:kern w:val="0"/>
          <w14:ligatures w14:val="none"/>
        </w:rPr>
        <w:t>NDCG@K</w:t>
      </w:r>
      <w:r w:rsidRPr="001224BB">
        <w:rPr>
          <w:rFonts w:ascii="Times New Roman" w:eastAsia="Times New Roman" w:hAnsi="Times New Roman" w:cs="Times New Roman"/>
          <w:kern w:val="0"/>
          <w14:ligatures w14:val="none"/>
        </w:rPr>
        <w:t xml:space="preserve">—that emphasize the quality of the first </w:t>
      </w:r>
      <w:r w:rsidRPr="001224BB">
        <w:rPr>
          <w:rFonts w:ascii="Times New Roman" w:eastAsia="Times New Roman" w:hAnsi="Times New Roman" w:cs="Times New Roman"/>
          <w:i/>
          <w:iCs/>
          <w:kern w:val="0"/>
          <w14:ligatures w14:val="none"/>
        </w:rPr>
        <w:t>K</w:t>
      </w:r>
      <w:r w:rsidRPr="001224BB">
        <w:rPr>
          <w:rFonts w:ascii="Times New Roman" w:eastAsia="Times New Roman" w:hAnsi="Times New Roman" w:cs="Times New Roman"/>
          <w:kern w:val="0"/>
          <w14:ligatures w14:val="none"/>
        </w:rPr>
        <w:t xml:space="preserve"> results presented to users.</w:t>
      </w:r>
    </w:p>
    <w:p w14:paraId="112482F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 xml:space="preserve">However, most optimization objectives, such as </w:t>
      </w:r>
      <w:r w:rsidRPr="001224BB">
        <w:rPr>
          <w:rFonts w:ascii="Times New Roman" w:eastAsia="Times New Roman" w:hAnsi="Times New Roman" w:cs="Times New Roman"/>
          <w:b/>
          <w:bCs/>
          <w:kern w:val="0"/>
          <w14:ligatures w14:val="none"/>
        </w:rPr>
        <w:t>Bayesian Personalized Ranking (BPR)</w:t>
      </w:r>
      <w:r w:rsidRPr="001224BB">
        <w:rPr>
          <w:rFonts w:ascii="Times New Roman" w:eastAsia="Times New Roman" w:hAnsi="Times New Roman" w:cs="Times New Roman"/>
          <w:kern w:val="0"/>
          <w14:ligatures w14:val="none"/>
        </w:rPr>
        <w:t xml:space="preserve"> or </w:t>
      </w:r>
      <w:r w:rsidRPr="001224BB">
        <w:rPr>
          <w:rFonts w:ascii="Times New Roman" w:eastAsia="Times New Roman" w:hAnsi="Times New Roman" w:cs="Times New Roman"/>
          <w:b/>
          <w:bCs/>
          <w:kern w:val="0"/>
          <w14:ligatures w14:val="none"/>
        </w:rPr>
        <w:t>Softmax-based list-wise losses</w:t>
      </w:r>
      <w:r w:rsidRPr="001224BB">
        <w:rPr>
          <w:rFonts w:ascii="Times New Roman" w:eastAsia="Times New Roman" w:hAnsi="Times New Roman" w:cs="Times New Roman"/>
          <w:kern w:val="0"/>
          <w14:ligatures w14:val="none"/>
        </w:rPr>
        <w:t xml:space="preserve">, do </w:t>
      </w:r>
      <w:r w:rsidRPr="001224BB">
        <w:rPr>
          <w:rFonts w:ascii="Times New Roman" w:eastAsia="Times New Roman" w:hAnsi="Times New Roman" w:cs="Times New Roman"/>
          <w:b/>
          <w:bCs/>
          <w:kern w:val="0"/>
          <w14:ligatures w14:val="none"/>
        </w:rPr>
        <w:t>not</w:t>
      </w:r>
      <w:r w:rsidRPr="001224BB">
        <w:rPr>
          <w:rFonts w:ascii="Times New Roman" w:eastAsia="Times New Roman" w:hAnsi="Times New Roman" w:cs="Times New Roman"/>
          <w:kern w:val="0"/>
          <w14:ligatures w14:val="none"/>
        </w:rPr>
        <w:t xml:space="preserve"> directly correspond to these Top-K metrics.</w:t>
      </w:r>
    </w:p>
    <w:p w14:paraId="40C16C5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They treat the entire ranked list equally, causing a persistent mismatch between training objectives and evaluation criteria.</w:t>
      </w:r>
    </w:p>
    <w:p w14:paraId="57651B7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CDAAAD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The KDD 2025 paper </w:t>
      </w:r>
      <w:r w:rsidRPr="001224BB">
        <w:rPr>
          <w:rFonts w:ascii="Times New Roman" w:eastAsia="Times New Roman" w:hAnsi="Times New Roman" w:cs="Times New Roman"/>
          <w:i/>
          <w:iCs/>
          <w:kern w:val="0"/>
          <w14:ligatures w14:val="none"/>
        </w:rPr>
        <w:t>“Breaking the Top-K Barrier: Advancing Top-K Ranking Metrics Optimization in Recommender Systems”</w:t>
      </w:r>
      <w:r w:rsidRPr="001224BB">
        <w:rPr>
          <w:rFonts w:ascii="Times New Roman" w:eastAsia="Times New Roman" w:hAnsi="Times New Roman" w:cs="Times New Roman"/>
          <w:kern w:val="0"/>
          <w14:ligatures w14:val="none"/>
        </w:rPr>
        <w:t xml:space="preserve"> proposes a new surrogate loss—</w:t>
      </w:r>
      <w:r w:rsidRPr="001224BB">
        <w:rPr>
          <w:rFonts w:ascii="Times New Roman" w:eastAsia="Times New Roman" w:hAnsi="Times New Roman" w:cs="Times New Roman"/>
          <w:b/>
          <w:bCs/>
          <w:kern w:val="0"/>
          <w14:ligatures w14:val="none"/>
        </w:rPr>
        <w:t>SoftmaxLoss@K (SL@K)</w:t>
      </w:r>
      <w:r w:rsidRPr="001224BB">
        <w:rPr>
          <w:rFonts w:ascii="Times New Roman" w:eastAsia="Times New Roman" w:hAnsi="Times New Roman" w:cs="Times New Roman"/>
          <w:kern w:val="0"/>
          <w14:ligatures w14:val="none"/>
        </w:rPr>
        <w:t>—that explicitly models the difficulty of entering the Top-K region through a quantile-based truncation and smooth upper-bound formulation.</w:t>
      </w:r>
    </w:p>
    <w:p w14:paraId="4BD916C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This work reproduces and analyzes that idea through an independent PyTorch implementation emphasizing clarity, modularity, and reproducibility.</w:t>
      </w:r>
    </w:p>
    <w:p w14:paraId="624BC93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073965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Our goals are:</w:t>
      </w:r>
    </w:p>
    <w:p w14:paraId="3D5BE432"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Faithful re-implementation</w:t>
      </w:r>
      <w:r w:rsidRPr="001224BB">
        <w:rPr>
          <w:rFonts w:ascii="Times New Roman" w:eastAsia="Times New Roman" w:hAnsi="Times New Roman" w:cs="Times New Roman"/>
          <w:kern w:val="0"/>
          <w14:ligatures w14:val="none"/>
        </w:rPr>
        <w:t xml:space="preserve"> of the SL@K loss and its Monte-Carlo Top-K quantile estimation.</w:t>
      </w:r>
    </w:p>
    <w:p w14:paraId="094E226A"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Integration</w:t>
      </w:r>
      <w:r w:rsidRPr="001224BB">
        <w:rPr>
          <w:rFonts w:ascii="Times New Roman" w:eastAsia="Times New Roman" w:hAnsi="Times New Roman" w:cs="Times New Roman"/>
          <w:kern w:val="0"/>
          <w14:ligatures w14:val="none"/>
        </w:rPr>
        <w:t xml:space="preserve"> with standard recommender backbones (Matrix Factorization and LightGCN).</w:t>
      </w:r>
    </w:p>
    <w:p w14:paraId="158B0497"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Empirical reproduction</w:t>
      </w:r>
      <w:r w:rsidRPr="001224BB">
        <w:rPr>
          <w:rFonts w:ascii="Times New Roman" w:eastAsia="Times New Roman" w:hAnsi="Times New Roman" w:cs="Times New Roman"/>
          <w:kern w:val="0"/>
          <w14:ligatures w14:val="none"/>
        </w:rPr>
        <w:t xml:space="preserve"> of the performance trend reported in the paper (≈ 6 % improvement in NDCG@20).</w:t>
      </w:r>
    </w:p>
    <w:p w14:paraId="113BE4A8"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Extended analyses</w:t>
      </w:r>
      <w:r w:rsidRPr="001224BB">
        <w:rPr>
          <w:rFonts w:ascii="Times New Roman" w:eastAsia="Times New Roman" w:hAnsi="Times New Roman" w:cs="Times New Roman"/>
          <w:kern w:val="0"/>
          <w14:ligatures w14:val="none"/>
        </w:rPr>
        <w:t>—ablation, parameter sensitivity, and engineering observations—under a lightweight yet reproducible framework.</w:t>
      </w:r>
    </w:p>
    <w:p w14:paraId="41BFC5AA" w14:textId="65A11BD9" w:rsidR="001224BB" w:rsidRPr="001224BB" w:rsidRDefault="001224BB" w:rsidP="001224BB">
      <w:pPr>
        <w:spacing w:after="0" w:line="240" w:lineRule="auto"/>
        <w:rPr>
          <w:rFonts w:ascii="Times New Roman" w:eastAsia="Times New Roman" w:hAnsi="Times New Roman" w:cs="Times New Roman"/>
          <w:kern w:val="0"/>
          <w14:ligatures w14:val="none"/>
        </w:rPr>
      </w:pPr>
    </w:p>
    <w:p w14:paraId="750EF348"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2  Background and Related Work</w:t>
      </w:r>
    </w:p>
    <w:p w14:paraId="5997F9E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365B1093"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2.1  BPR: Pairwise Ranking Baseline</w:t>
      </w:r>
    </w:p>
    <w:p w14:paraId="5E97A254"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7A3B62E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Bayesian Personalized Ranking objective maximizes the probability that positive items receive higher scores than negatives:</w:t>
      </w:r>
    </w:p>
    <w:p w14:paraId="534F2C50" w14:textId="3D783ED8" w:rsidR="001224BB" w:rsidRPr="001224BB" w:rsidRDefault="00762615" w:rsidP="001224BB">
      <w:pPr>
        <w:spacing w:before="100" w:beforeAutospacing="1" w:after="100" w:afterAutospacing="1" w:line="240" w:lineRule="auto"/>
        <w:rPr>
          <w:rFonts w:ascii="Times New Roman" w:eastAsia="Times New Roman" w:hAnsi="Times New Roman" w:cs="Times New Roman"/>
          <w:kern w:val="0"/>
          <w14:ligatures w14:val="none"/>
        </w:rPr>
      </w:pPr>
      <w:r>
        <w:rPr>
          <w:noProof/>
          <w:position w:val="-19"/>
        </w:rPr>
        <w:drawing>
          <wp:inline distT="0" distB="0" distL="0" distR="0" wp14:anchorId="38952235" wp14:editId="6C4BE664">
            <wp:extent cx="2985008" cy="270256"/>
            <wp:effectExtent l="0" t="0" r="0" b="0"/>
            <wp:docPr id="1" name="Picture 1" descr="{&quot;mathml&quot;:&quot;&lt;math style=\&quot;font-family:stix;font-size:16px;\&quot; xmlns=\&quot;http://www.w3.org/1998/Math/MathML\&quot;&gt;&lt;msub&gt;&lt;mi&gt;L&lt;/mi&gt;&lt;mrow&gt;&lt;mi&gt;B&lt;/mi&gt;&lt;mi&gt;P&lt;/mi&gt;&lt;mi&gt;R&lt;/mi&gt;&lt;/mrow&gt;&lt;/msub&gt;&lt;mo&gt;=&lt;/mo&gt;&lt;mo&gt;-&lt;/mo&gt;&lt;mi mathvariant=\&quot;double-struck\&quot;&gt;E&lt;/mi&gt;&lt;mrow&gt;&lt;mo&gt;(&lt;/mo&gt;&lt;mi&gt;u&lt;/mi&gt;&lt;mo&gt;,&lt;/mo&gt;&lt;mi&gt;i&lt;/mi&gt;&lt;mo&gt;,&lt;/mo&gt;&lt;mi&gt;j&lt;/mi&gt;&lt;mo&gt;)&lt;/mo&gt;&lt;/mrow&gt;&lt;mi&gt;log&lt;/mi&gt;&lt;mi&gt;&amp;#x3C3;&lt;/mi&gt;&lt;mo&gt;(&lt;/mo&gt;&lt;mi&gt;s&lt;/mi&gt;&lt;mi&gt;u&lt;/mi&gt;&lt;mi&gt;i&lt;/mi&gt;&lt;mo&gt;-&lt;/mo&gt;&lt;msub&gt;&lt;mi&gt;s&lt;/mi&gt;&lt;mrow&gt;&lt;mi&gt;u&lt;/mi&gt;&lt;mi&gt;j&lt;/mi&gt;&lt;/mrow&gt;&lt;/msub&gt;&lt;mo&gt;)&lt;/mo&gt;&lt;/math&gt;&quot;,&quot;origin&quot;:&quot;MathType Legacy&quot;,&quot;version&quot;:&quot;v3.19.0&quot;}" title="L subscript B P R end subscript equals negative double-struck E left parenthesis u comma i comma j right parenthesis log sigma left parenthesis s u i minus s subscript u j end subscript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row&gt;&lt;mi&gt;B&lt;/mi&gt;&lt;mi&gt;P&lt;/mi&gt;&lt;mi&gt;R&lt;/mi&gt;&lt;/mrow&gt;&lt;/msub&gt;&lt;mo&gt;=&lt;/mo&gt;&lt;mo&gt;-&lt;/mo&gt;&lt;mi mathvariant=\&quot;double-struck\&quot;&gt;E&lt;/mi&gt;&lt;mrow&gt;&lt;mo&gt;(&lt;/mo&gt;&lt;mi&gt;u&lt;/mi&gt;&lt;mo&gt;,&lt;/mo&gt;&lt;mi&gt;i&lt;/mi&gt;&lt;mo&gt;,&lt;/mo&gt;&lt;mi&gt;j&lt;/mi&gt;&lt;mo&gt;)&lt;/mo&gt;&lt;/mrow&gt;&lt;mi&gt;log&lt;/mi&gt;&lt;mi&gt;&amp;#x3C3;&lt;/mi&gt;&lt;mo&gt;(&lt;/mo&gt;&lt;mi&gt;s&lt;/mi&gt;&lt;mi&gt;u&lt;/mi&gt;&lt;mi&gt;i&lt;/mi&gt;&lt;mo&gt;-&lt;/mo&gt;&lt;msub&gt;&lt;mi&gt;s&lt;/mi&gt;&lt;mrow&gt;&lt;mi&gt;u&lt;/mi&gt;&lt;mi&gt;j&lt;/mi&gt;&lt;/mrow&gt;&lt;/msub&gt;&lt;mo&gt;)&lt;/mo&gt;&lt;/math&gt;&quot;,&quot;origin&quot;:&quot;MathType Legacy&quot;,&quot;version&quot;:&quot;v3.19.0&quot;}" title="L subscript B P R end subscript equals negative double-struck E left parenthesis u comma i comma j right parenthesis log sigma left parenthesis s u i minus s subscript u j end subscript right parenthesis"/>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5008" cy="270256"/>
                    </a:xfrm>
                    <a:prstGeom prst="rect">
                      <a:avLst/>
                    </a:prstGeom>
                  </pic:spPr>
                </pic:pic>
              </a:graphicData>
            </a:graphic>
          </wp:inline>
        </w:drawing>
      </w:r>
    </w:p>
    <w:p w14:paraId="1F63C976"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It is simple and efficient but ignores list-wise structure and Top-K truncation.</w:t>
      </w:r>
    </w:p>
    <w:p w14:paraId="523489E2"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449A9105"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2.2  Softmax Loss (SL)</w:t>
      </w:r>
    </w:p>
    <w:p w14:paraId="78BA588F"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FE46DC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classic Softmax (ListNet-style) loss treats each user’s interacted items as positives and normalizes scores over the candidate set:</w:t>
      </w:r>
    </w:p>
    <w:p w14:paraId="13B31828" w14:textId="298692D3" w:rsidR="00762615" w:rsidRDefault="00762615" w:rsidP="001224BB">
      <w:pPr>
        <w:spacing w:before="100" w:beforeAutospacing="1" w:after="100" w:afterAutospacing="1" w:line="240" w:lineRule="auto"/>
        <w:rPr>
          <w:rFonts w:ascii="Times New Roman" w:eastAsia="Times New Roman" w:hAnsi="Times New Roman" w:cs="Times New Roman"/>
          <w:kern w:val="0"/>
          <w14:ligatures w14:val="none"/>
        </w:rPr>
      </w:pPr>
      <w:r>
        <w:rPr>
          <w:noProof/>
          <w:position w:val="-34"/>
        </w:rPr>
        <w:drawing>
          <wp:inline distT="0" distB="0" distL="0" distR="0" wp14:anchorId="2ABB78E7" wp14:editId="25C75D1D">
            <wp:extent cx="3903624" cy="450613"/>
            <wp:effectExtent l="0" t="0" r="0" b="0"/>
            <wp:docPr id="1419055818" name="Picture 1419055818" descr="{&quot;mathml&quot;:&quot;&lt;math style=\&quot;font-family:stix;font-size:16px;\&quot; xmlns=\&quot;http://www.w3.org/1998/Math/MathML\&quot;&gt;&lt;msub&gt;&lt;mi&gt;L&lt;/mi&gt;&lt;mrow&gt;&lt;mi&gt;S&lt;/mi&gt;&lt;mi&gt;L&lt;/mi&gt;&lt;/mrow&gt;&lt;/msub&gt;&lt;mo&gt;(&lt;/mo&gt;&lt;mi&gt;u&lt;/mi&gt;&lt;mo&gt;,&lt;/mo&gt;&lt;mi&gt;i&lt;/mi&gt;&lt;mo&gt;)&lt;/mo&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end subscript left parenthesis u comma i right parenthesis equals log blank sum for j of exp blank backslash big left parenthesis left parenthesis s subscript u j end subscript minus s subscript u i end subscript right parenthesis divided by tau subscript d backslash big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row&gt;&lt;mi&gt;S&lt;/mi&gt;&lt;mi&gt;L&lt;/mi&gt;&lt;/mrow&gt;&lt;/msub&gt;&lt;mo&gt;(&lt;/mo&gt;&lt;mi&gt;u&lt;/mi&gt;&lt;mo&gt;,&lt;/mo&gt;&lt;mi&gt;i&lt;/mi&gt;&lt;mo&gt;)&lt;/mo&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end subscript left parenthesis u comma i right parenthesis equals log blank sum for j of exp blank backslash big left parenthesis left parenthesis s subscript u j end subscript minus s subscript u i end subscript right parenthesis divided by tau subscript d backslash big right parenthesis"/>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3624" cy="450613"/>
                    </a:xfrm>
                    <a:prstGeom prst="rect">
                      <a:avLst/>
                    </a:prstGeom>
                  </pic:spPr>
                </pic:pic>
              </a:graphicData>
            </a:graphic>
          </wp:inline>
        </w:drawing>
      </w:r>
    </w:p>
    <w:p w14:paraId="69BD9D36" w14:textId="2686929B"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Although theoretically an upper bound of −log NDCG, it optimizes the </w:t>
      </w:r>
      <w:r w:rsidRPr="001224BB">
        <w:rPr>
          <w:rFonts w:ascii="Times New Roman" w:eastAsia="Times New Roman" w:hAnsi="Times New Roman" w:cs="Times New Roman"/>
          <w:i/>
          <w:iCs/>
          <w:kern w:val="0"/>
          <w14:ligatures w14:val="none"/>
        </w:rPr>
        <w:t>entire</w:t>
      </w:r>
      <w:r w:rsidRPr="001224BB">
        <w:rPr>
          <w:rFonts w:ascii="Times New Roman" w:eastAsia="Times New Roman" w:hAnsi="Times New Roman" w:cs="Times New Roman"/>
          <w:kern w:val="0"/>
          <w14:ligatures w14:val="none"/>
        </w:rPr>
        <w:t xml:space="preserve"> ranking rather than the Top-K segment, which may not improve NDCG@K.</w:t>
      </w:r>
    </w:p>
    <w:p w14:paraId="2A4510F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36A78561"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2.3  Prior Top-K-Aware Surrogates</w:t>
      </w:r>
    </w:p>
    <w:p w14:paraId="53B4AAEF"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50E84B7"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LambdaLoss@K introduces position-based weights but requires sorting all items, making it computationally prohibitive.</w:t>
      </w:r>
    </w:p>
    <w:p w14:paraId="29063DE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SONG@K uses bilevel optimization yet exhibits long-tailed gradients and instability on sparse recommendation data.</w:t>
      </w:r>
    </w:p>
    <w:p w14:paraId="6F82274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F28BC02"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2.4  SoftmaxLoss@K (SL@K)</w:t>
      </w:r>
    </w:p>
    <w:p w14:paraId="08C17903"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14C2B4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SL@K extends Softmax Loss by </w:t>
      </w:r>
      <w:r w:rsidRPr="001224BB">
        <w:rPr>
          <w:rFonts w:ascii="Times New Roman" w:eastAsia="Times New Roman" w:hAnsi="Times New Roman" w:cs="Times New Roman"/>
          <w:b/>
          <w:bCs/>
          <w:kern w:val="0"/>
          <w14:ligatures w14:val="none"/>
        </w:rPr>
        <w:t>weighting each positive sample according to its proximity to the Top-K boundary</w:t>
      </w:r>
      <w:r w:rsidRPr="001224BB">
        <w:rPr>
          <w:rFonts w:ascii="Times New Roman" w:eastAsia="Times New Roman" w:hAnsi="Times New Roman" w:cs="Times New Roman"/>
          <w:kern w:val="0"/>
          <w14:ligatures w14:val="none"/>
        </w:rPr>
        <w:t>.</w:t>
      </w:r>
    </w:p>
    <w:p w14:paraId="6226003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weight is determined by the score difference between a positive item and the user-specific Top-K quantile βᵤᴷ:</w:t>
      </w:r>
    </w:p>
    <w:p w14:paraId="36A3AD3E" w14:textId="7C19CCCB" w:rsidR="00762615" w:rsidRDefault="00762615" w:rsidP="001224BB">
      <w:pPr>
        <w:spacing w:before="100" w:beforeAutospacing="1" w:after="100" w:afterAutospacing="1" w:line="240" w:lineRule="auto"/>
        <w:rPr>
          <w:rFonts w:ascii="Times New Roman" w:eastAsia="Times New Roman" w:hAnsi="Times New Roman" w:cs="Times New Roman"/>
          <w:kern w:val="0"/>
          <w14:ligatures w14:val="none"/>
        </w:rPr>
      </w:pPr>
      <w:r>
        <w:rPr>
          <w:noProof/>
          <w:position w:val="-42"/>
        </w:rPr>
        <w:drawing>
          <wp:inline distT="0" distB="0" distL="0" distR="0" wp14:anchorId="04D26F27" wp14:editId="1196DBD5">
            <wp:extent cx="5450078" cy="502412"/>
            <wp:effectExtent l="0" t="0" r="0" b="0"/>
            <wp:docPr id="10787694" name="Picture 10787694" descr="{&quot;mathml&quot;:&quot;&lt;math style=\&quot;font-family:stix;font-size:16px;\&quot; xmlns=\&quot;http://www.w3.org/1998/Math/MathML\&quot;&gt;&lt;msub&gt;&lt;mi&gt;L&lt;/mi&gt;&lt;mrow&gt;&lt;mi&gt;S&lt;/mi&gt;&lt;mi&gt;L&lt;/mi&gt;&lt;mo&gt;@&lt;/mo&gt;&lt;mi&gt;K&lt;/mi&gt;&lt;/mrow&gt;&lt;/msub&gt;&lt;mo&gt;(&lt;/mo&gt;&lt;mi&gt;u&lt;/mi&gt;&lt;mo&gt;)&lt;/mo&gt;&lt;mo&gt;=&lt;/mo&gt;&lt;munder&gt;&lt;mo&gt;&amp;#x2211;&lt;/mo&gt;&lt;mrow&gt;&lt;mi&gt;i&lt;/mi&gt;&lt;mo&gt;&amp;#x2208;&lt;/mo&gt;&lt;msub&gt;&lt;mi&gt;P&lt;/mi&gt;&lt;mi&gt;u&lt;/mi&gt;&lt;/msub&gt;&lt;/mrow&gt;&lt;/munder&gt;&lt;msub&gt;&lt;mi&gt;&amp;#x3C3;&lt;/mi&gt;&lt;mi&gt;w&lt;/mi&gt;&lt;/msub&gt;&lt;mo&gt;(&lt;/mo&gt;&lt;msub&gt;&lt;mi&gt;s&lt;/mi&gt;&lt;mrow&gt;&lt;mi&gt;u&lt;/mi&gt;&lt;mi&gt;i&lt;/mi&gt;&lt;/mrow&gt;&lt;/msub&gt;&lt;mo&gt;-&lt;/mo&gt;&lt;msubsup&gt;&lt;mi&gt;&amp;#x3B2;&lt;/mi&gt;&lt;mi&gt;u&lt;/mi&gt;&lt;mi&gt;K&lt;/mi&gt;&lt;/msubsup&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 K end subscript left parenthesis u right parenthesis equals sum for i element of P subscript u of sigma subscript w left parenthesis s subscript u i end subscript minus beta subscript u superscript K right parenthesis log blank sum for j of exp blank backslash big left parenthesis left parenthesis s subscript u j end subscript minus s subscript u i end subscript right parenthesis divided by tau subscript d backslash big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row&gt;&lt;mi&gt;S&lt;/mi&gt;&lt;mi&gt;L&lt;/mi&gt;&lt;mo&gt;@&lt;/mo&gt;&lt;mi&gt;K&lt;/mi&gt;&lt;/mrow&gt;&lt;/msub&gt;&lt;mo&gt;(&lt;/mo&gt;&lt;mi&gt;u&lt;/mi&gt;&lt;mo&gt;)&lt;/mo&gt;&lt;mo&gt;=&lt;/mo&gt;&lt;munder&gt;&lt;mo&gt;&amp;#x2211;&lt;/mo&gt;&lt;mrow&gt;&lt;mi&gt;i&lt;/mi&gt;&lt;mo&gt;&amp;#x2208;&lt;/mo&gt;&lt;msub&gt;&lt;mi&gt;P&lt;/mi&gt;&lt;mi&gt;u&lt;/mi&gt;&lt;/msub&gt;&lt;/mrow&gt;&lt;/munder&gt;&lt;msub&gt;&lt;mi&gt;&amp;#x3C3;&lt;/mi&gt;&lt;mi&gt;w&lt;/mi&gt;&lt;/msub&gt;&lt;mo&gt;(&lt;/mo&gt;&lt;msub&gt;&lt;mi&gt;s&lt;/mi&gt;&lt;mrow&gt;&lt;mi&gt;u&lt;/mi&gt;&lt;mi&gt;i&lt;/mi&gt;&lt;/mrow&gt;&lt;/msub&gt;&lt;mo&gt;-&lt;/mo&gt;&lt;msubsup&gt;&lt;mi&gt;&amp;#x3B2;&lt;/mi&gt;&lt;mi&gt;u&lt;/mi&gt;&lt;mi&gt;K&lt;/mi&gt;&lt;/msubsup&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 K end subscript left parenthesis u right parenthesis equals sum for i element of P subscript u of sigma subscript w left parenthesis s subscript u i end subscript minus beta subscript u superscript K right parenthesis log blank sum for j of exp blank backslash big left parenthesis left parenthesis s subscript u j end subscript minus s subscript u i end subscript right parenthesis divided by tau subscript d backslash big right parenthesi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0078" cy="502412"/>
                    </a:xfrm>
                    <a:prstGeom prst="rect">
                      <a:avLst/>
                    </a:prstGeom>
                  </pic:spPr>
                </pic:pic>
              </a:graphicData>
            </a:graphic>
          </wp:inline>
        </w:drawing>
      </w:r>
    </w:p>
    <w:p w14:paraId="0B4FE37B" w14:textId="28D5AE63"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where </w:t>
      </w:r>
      <w:r w:rsidR="00762615">
        <w:rPr>
          <w:noProof/>
          <w:position w:val="-14"/>
        </w:rPr>
        <w:drawing>
          <wp:inline distT="0" distB="0" distL="0" distR="0" wp14:anchorId="288FE415" wp14:editId="4A529619">
            <wp:extent cx="2111248" cy="227584"/>
            <wp:effectExtent l="0" t="0" r="0" b="0"/>
            <wp:docPr id="956353213" name="Picture 956353213" descr="{&quot;mathml&quot;:&quot;&lt;math style=\&quot;font-family:stix;font-size:16px;\&quot; xmlns=\&quot;http://www.w3.org/1998/Math/MathML\&quot;&gt;&lt;msub&gt;&lt;mi&gt;&amp;#x3C3;&lt;/mi&gt;&lt;mi&gt;w&lt;/mi&gt;&lt;/msub&gt;&lt;mo&gt;(&lt;/mo&gt;&lt;mi&gt;x&lt;/mi&gt;&lt;mo&gt;)&lt;/mo&gt;&lt;mo&gt;=&lt;/mo&gt;&lt;mi&gt;s&lt;/mi&gt;&lt;mi&gt;i&lt;/mi&gt;&lt;mi&gt;g&lt;/mi&gt;&lt;mi&gt;m&lt;/mi&gt;&lt;mi&gt;o&lt;/mi&gt;&lt;mi&gt;i&lt;/mi&gt;&lt;mi&gt;d&lt;/mi&gt;&lt;mo&gt;(&lt;/mo&gt;&lt;mi&gt;x&lt;/mi&gt;&lt;mo&gt;/&lt;/mo&gt;&lt;msub&gt;&lt;mi&gt;&amp;#x3C4;&lt;/mi&gt;&lt;mi&gt;w&lt;/mi&gt;&lt;/msub&gt;&lt;mo&gt;)&lt;/mo&gt;&lt;/math&gt;&quot;,&quot;origin&quot;:&quot;MathType Legacy&quot;,&quot;version&quot;:&quot;v3.19.0&quot;}" title="sigma subscript w left parenthesis x right parenthesis equals s i g m o i d left parenthesis x divided by tau subscript w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3C3;&lt;/mi&gt;&lt;mi&gt;w&lt;/mi&gt;&lt;/msub&gt;&lt;mo&gt;(&lt;/mo&gt;&lt;mi&gt;x&lt;/mi&gt;&lt;mo&gt;)&lt;/mo&gt;&lt;mo&gt;=&lt;/mo&gt;&lt;mi&gt;s&lt;/mi&gt;&lt;mi&gt;i&lt;/mi&gt;&lt;mi&gt;g&lt;/mi&gt;&lt;mi&gt;m&lt;/mi&gt;&lt;mi&gt;o&lt;/mi&gt;&lt;mi&gt;i&lt;/mi&gt;&lt;mi&gt;d&lt;/mi&gt;&lt;mo&gt;(&lt;/mo&gt;&lt;mi&gt;x&lt;/mi&gt;&lt;mo&gt;/&lt;/mo&gt;&lt;msub&gt;&lt;mi&gt;&amp;#x3C4;&lt;/mi&gt;&lt;mi&gt;w&lt;/mi&gt;&lt;/msub&gt;&lt;mo&gt;)&lt;/mo&gt;&lt;/math&gt;&quot;,&quot;origin&quot;:&quot;MathType Legacy&quot;,&quot;version&quot;:&quot;v3.19.0&quot;}" title="sigma subscript w left parenthesis x right parenthesis equals s i g m o i d left parenthesis x divided by tau subscript w right parenthes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1248" cy="227584"/>
                    </a:xfrm>
                    <a:prstGeom prst="rect">
                      <a:avLst/>
                    </a:prstGeom>
                  </pic:spPr>
                </pic:pic>
              </a:graphicData>
            </a:graphic>
          </wp:inline>
        </w:drawing>
      </w:r>
    </w:p>
    <w:p w14:paraId="12D69EC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Items near the Top-K threshold receive higher weights, focusing learning on borderline cases.</w:t>
      </w:r>
    </w:p>
    <w:p w14:paraId="4E9621D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Monte-Carlo sampling efficiently estimates βᵤᴷ without sorting the full item set.</w:t>
      </w:r>
    </w:p>
    <w:p w14:paraId="709E18DD" w14:textId="70B651B5" w:rsidR="001224BB" w:rsidRPr="001224BB" w:rsidRDefault="001224BB" w:rsidP="001224BB">
      <w:pPr>
        <w:spacing w:after="0" w:line="240" w:lineRule="auto"/>
        <w:rPr>
          <w:rFonts w:ascii="Times New Roman" w:eastAsia="Times New Roman" w:hAnsi="Times New Roman" w:cs="Times New Roman"/>
          <w:kern w:val="0"/>
          <w14:ligatures w14:val="none"/>
        </w:rPr>
      </w:pPr>
    </w:p>
    <w:p w14:paraId="7C2CC09B"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3  Methodology</w:t>
      </w:r>
    </w:p>
    <w:p w14:paraId="5BE5F0E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F5855E5"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3.1  Notation</w:t>
      </w:r>
    </w:p>
    <w:tbl>
      <w:tblPr>
        <w:tblStyle w:val="GridTable1Light"/>
        <w:tblW w:w="9282" w:type="dxa"/>
        <w:tblLook w:val="04A0" w:firstRow="1" w:lastRow="0" w:firstColumn="1" w:lastColumn="0" w:noHBand="0" w:noVBand="1"/>
      </w:tblPr>
      <w:tblGrid>
        <w:gridCol w:w="1300"/>
        <w:gridCol w:w="7982"/>
      </w:tblGrid>
      <w:tr w:rsidR="001224BB" w:rsidRPr="001224BB" w14:paraId="3BA1299E" w14:textId="77777777" w:rsidTr="00DD68DC">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1AE3E299" w14:textId="77777777" w:rsidR="001224BB" w:rsidRPr="001224BB" w:rsidRDefault="001224BB" w:rsidP="001224BB">
            <w:pPr>
              <w:spacing w:before="100" w:beforeAutospacing="1" w:after="100" w:afterAutospacing="1"/>
              <w:jc w:val="center"/>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Symbol</w:t>
            </w:r>
          </w:p>
        </w:tc>
        <w:tc>
          <w:tcPr>
            <w:tcW w:w="0" w:type="auto"/>
            <w:hideMark/>
          </w:tcPr>
          <w:p w14:paraId="3378C819" w14:textId="77777777" w:rsidR="001224BB" w:rsidRPr="001224BB" w:rsidRDefault="001224BB" w:rsidP="001224B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Meaning</w:t>
            </w:r>
          </w:p>
        </w:tc>
      </w:tr>
      <w:tr w:rsidR="001224BB" w:rsidRPr="001224BB" w14:paraId="0BDA7127" w14:textId="77777777" w:rsidTr="00DD68DC">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0C677A1" w14:textId="399E5086"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0983F1B6" wp14:editId="719A5F9A">
                  <wp:extent cx="237744" cy="176784"/>
                  <wp:effectExtent l="0" t="0" r="0" b="0"/>
                  <wp:docPr id="1329903409" name="Picture 1329903409" descr="{&quot;mathml&quot;:&quot;&lt;math style=\&quot;font-family:stix;font-size:16px;\&quot; xmlns=\&quot;http://www.w3.org/1998/Math/MathML\&quot;&gt;&lt;msub&gt;&lt;mi&gt;s&lt;/mi&gt;&lt;mrow&gt;&lt;mi&gt;u&lt;/mi&gt;&lt;mi&gt;i&lt;/mi&gt;&lt;/mrow&gt;&lt;/msub&gt;&lt;/math&gt;&quot;,&quot;origin&quot;:&quot;MathType Legacy&quot;,&quot;version&quot;:&quot;v3.19.0&quot;}" title="s subscript u i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s&lt;/mi&gt;&lt;mrow&gt;&lt;mi&gt;u&lt;/mi&gt;&lt;mi&gt;i&lt;/mi&gt;&lt;/mrow&gt;&lt;/msub&gt;&lt;/math&gt;&quot;,&quot;origin&quot;:&quot;MathType Legacy&quot;,&quot;version&quot;:&quot;v3.19.0&quot;}" title="s subscript u i end subscrip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744" cy="176784"/>
                          </a:xfrm>
                          <a:prstGeom prst="rect">
                            <a:avLst/>
                          </a:prstGeom>
                        </pic:spPr>
                      </pic:pic>
                    </a:graphicData>
                  </a:graphic>
                </wp:inline>
              </w:drawing>
            </w:r>
          </w:p>
        </w:tc>
        <w:tc>
          <w:tcPr>
            <w:tcW w:w="0" w:type="auto"/>
            <w:hideMark/>
          </w:tcPr>
          <w:p w14:paraId="48E81E2D"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predicted preference score for user u and item i</w:t>
            </w:r>
          </w:p>
        </w:tc>
      </w:tr>
      <w:tr w:rsidR="001224BB" w:rsidRPr="001224BB" w14:paraId="47B8AF42" w14:textId="77777777" w:rsidTr="00DD68DC">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56339F9C" w14:textId="5A50ACBC"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63FF892D" wp14:editId="2BBFA143">
                  <wp:extent cx="235712" cy="219456"/>
                  <wp:effectExtent l="0" t="0" r="0" b="0"/>
                  <wp:docPr id="530806605" name="Picture 530806605" descr="{&quot;mathml&quot;:&quot;&lt;math style=\&quot;font-family:stix;font-size:16px;\&quot; xmlns=\&quot;http://www.w3.org/1998/Math/MathML\&quot;&gt;&lt;msub&gt;&lt;mi&gt;P&lt;/mi&gt;&lt;mi&gt;u&lt;/mi&gt;&lt;/msub&gt;&lt;/math&gt;&quot;,&quot;origin&quot;:&quot;MathType Legacy&quot;,&quot;version&quot;:&quot;v3.19.0&quot;}" title="P subscript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P&lt;/mi&gt;&lt;mi&gt;u&lt;/mi&gt;&lt;/msub&gt;&lt;/math&gt;&quot;,&quot;origin&quot;:&quot;MathType Legacy&quot;,&quot;version&quot;:&quot;v3.19.0&quot;}" title="P subscript 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712" cy="219456"/>
                          </a:xfrm>
                          <a:prstGeom prst="rect">
                            <a:avLst/>
                          </a:prstGeom>
                        </pic:spPr>
                      </pic:pic>
                    </a:graphicData>
                  </a:graphic>
                </wp:inline>
              </w:drawing>
            </w:r>
          </w:p>
        </w:tc>
        <w:tc>
          <w:tcPr>
            <w:tcW w:w="0" w:type="auto"/>
            <w:hideMark/>
          </w:tcPr>
          <w:p w14:paraId="157F1797"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positive-item set of u</w:t>
            </w:r>
          </w:p>
        </w:tc>
      </w:tr>
      <w:tr w:rsidR="001224BB" w:rsidRPr="001224BB" w14:paraId="0185C010" w14:textId="77777777" w:rsidTr="00DD68DC">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132841AF" w14:textId="5C8900BE"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0EEE4D8C" wp14:editId="3197E882">
                  <wp:extent cx="247904" cy="245872"/>
                  <wp:effectExtent l="0" t="0" r="0" b="0"/>
                  <wp:docPr id="1220756212" name="Picture 1220756212" descr="{&quot;mathml&quot;:&quot;&lt;math style=\&quot;font-family:stix;font-size:16px;\&quot; xmlns=\&quot;http://www.w3.org/1998/Math/MathML\&quot;&gt;&lt;msubsup&gt;&lt;mi&gt;&amp;#x3B2;&lt;/mi&gt;&lt;mi&gt;u&lt;/mi&gt;&lt;mi&gt;K&lt;/mi&gt;&lt;/msubsup&gt;&lt;/math&gt;&quot;,&quot;origin&quot;:&quot;MathType Legacy&quot;,&quot;version&quot;:&quot;v3.19.0&quot;}" title="beta subscript u superscript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amp;#x3B2;&lt;/mi&gt;&lt;mi&gt;u&lt;/mi&gt;&lt;mi&gt;K&lt;/mi&gt;&lt;/msubsup&gt;&lt;/math&gt;&quot;,&quot;origin&quot;:&quot;MathType Legacy&quot;,&quot;version&quot;:&quot;v3.19.0&quot;}" title="beta subscript u superscript K"/>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904" cy="245872"/>
                          </a:xfrm>
                          <a:prstGeom prst="rect">
                            <a:avLst/>
                          </a:prstGeom>
                        </pic:spPr>
                      </pic:pic>
                    </a:graphicData>
                  </a:graphic>
                </wp:inline>
              </w:drawing>
            </w:r>
          </w:p>
        </w:tc>
        <w:tc>
          <w:tcPr>
            <w:tcW w:w="0" w:type="auto"/>
            <w:hideMark/>
          </w:tcPr>
          <w:p w14:paraId="0A6C8DBA"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K-th-score quantile threshold for u</w:t>
            </w:r>
          </w:p>
        </w:tc>
      </w:tr>
      <w:tr w:rsidR="001224BB" w:rsidRPr="001224BB" w14:paraId="136582E5" w14:textId="77777777" w:rsidTr="00DE5F95">
        <w:trPr>
          <w:trHeight w:val="436"/>
        </w:trPr>
        <w:tc>
          <w:tcPr>
            <w:cnfStyle w:val="001000000000" w:firstRow="0" w:lastRow="0" w:firstColumn="1" w:lastColumn="0" w:oddVBand="0" w:evenVBand="0" w:oddHBand="0" w:evenHBand="0" w:firstRowFirstColumn="0" w:firstRowLastColumn="0" w:lastRowFirstColumn="0" w:lastRowLastColumn="0"/>
            <w:tcW w:w="0" w:type="auto"/>
          </w:tcPr>
          <w:p w14:paraId="0325CEBA" w14:textId="431AC25C"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749F12EB" wp14:editId="7AE801BF">
                  <wp:extent cx="499872" cy="174752"/>
                  <wp:effectExtent l="0" t="0" r="0" b="0"/>
                  <wp:docPr id="1946707809" name="Picture 1946707809" descr="{&quot;mathml&quot;:&quot;&lt;math style=\&quot;font-family:stix;font-size:16px;\&quot; xmlns=\&quot;http://www.w3.org/1998/Math/MathML\&quot;&gt;&lt;msub&gt;&lt;mi&gt;&amp;#x3C4;&lt;/mi&gt;&lt;mi&gt;d&lt;/mi&gt;&lt;/msub&gt;&lt;mo&gt;,&lt;/mo&gt;&lt;msub&gt;&lt;mi&gt;&amp;#x3C4;&lt;/mi&gt;&lt;mi&gt;w&lt;/mi&gt;&lt;/msub&gt;&lt;/math&gt;&quot;,&quot;origin&quot;:&quot;MathType Legacy&quot;,&quot;version&quot;:&quot;v3.19.0&quot;}" title="tau subscript d comma tau subscript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3C4;&lt;/mi&gt;&lt;mi&gt;d&lt;/mi&gt;&lt;/msub&gt;&lt;mo&gt;,&lt;/mo&gt;&lt;msub&gt;&lt;mi&gt;&amp;#x3C4;&lt;/mi&gt;&lt;mi&gt;w&lt;/mi&gt;&lt;/msub&gt;&lt;/math&gt;&quot;,&quot;origin&quot;:&quot;MathType Legacy&quot;,&quot;version&quot;:&quot;v3.19.0&quot;}" title="tau subscript d comma tau subscript w"/>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9872" cy="174752"/>
                          </a:xfrm>
                          <a:prstGeom prst="rect">
                            <a:avLst/>
                          </a:prstGeom>
                        </pic:spPr>
                      </pic:pic>
                    </a:graphicData>
                  </a:graphic>
                </wp:inline>
              </w:drawing>
            </w:r>
          </w:p>
        </w:tc>
        <w:tc>
          <w:tcPr>
            <w:tcW w:w="0" w:type="auto"/>
            <w:hideMark/>
          </w:tcPr>
          <w:p w14:paraId="5C786FCA"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temperature parameters for denominator and weight functions</w:t>
            </w:r>
          </w:p>
        </w:tc>
      </w:tr>
    </w:tbl>
    <w:p w14:paraId="385B42A4"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3.2  Monte-Carlo Quantile Estimation</w:t>
      </w:r>
    </w:p>
    <w:p w14:paraId="201850F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FE5EC57" w14:textId="1AB76824"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To avoid </w:t>
      </w:r>
      <w:r w:rsidR="00CD79E3">
        <w:rPr>
          <w:noProof/>
          <w:position w:val="-7"/>
        </w:rPr>
        <w:drawing>
          <wp:inline distT="0" distB="0" distL="0" distR="0" wp14:anchorId="0922F35D" wp14:editId="35EDB290">
            <wp:extent cx="1328928" cy="184912"/>
            <wp:effectExtent l="0" t="0" r="0" b="0"/>
            <wp:docPr id="1978975858" name="Picture 1978975858" descr="{&quot;mathml&quot;:&quot;&lt;math style=\&quot;font-family:stix;font-size:16px;\&quot; xmlns=\&quot;http://www.w3.org/1998/Math/MathML\&quot;&gt;&lt;mi&gt;O&lt;/mi&gt;&lt;mo&gt;(&lt;/mo&gt;&lt;mo&gt;|&lt;/mo&gt;&lt;mi&gt;U&lt;/mi&gt;&lt;mo&gt;|&lt;/mo&gt;&lt;mo&gt;|&lt;/mo&gt;&lt;mi&gt;I&lt;/mi&gt;&lt;mo&gt;|&lt;/mo&gt;&lt;mi&gt;log&lt;/mi&gt;&lt;mo&gt;|&lt;/mo&gt;&lt;mi&gt;I&lt;/mi&gt;&lt;mo&gt;|&lt;/mo&gt;&lt;mo&gt;)&lt;/mo&gt;&lt;/math&gt;&quot;,&quot;origin&quot;:&quot;MathType Legacy&quot;,&quot;version&quot;:&quot;v3.19.0&quot;}" title="O left parenthesis vertical line U vertical line vertical line I vertical line log vertical line I vertical line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O&lt;/mi&gt;&lt;mo&gt;(&lt;/mo&gt;&lt;mo&gt;|&lt;/mo&gt;&lt;mi&gt;U&lt;/mi&gt;&lt;mo&gt;|&lt;/mo&gt;&lt;mo&gt;|&lt;/mo&gt;&lt;mi&gt;I&lt;/mi&gt;&lt;mo&gt;|&lt;/mo&gt;&lt;mi&gt;log&lt;/mi&gt;&lt;mo&gt;|&lt;/mo&gt;&lt;mi&gt;I&lt;/mi&gt;&lt;mo&gt;|&lt;/mo&gt;&lt;mo&gt;)&lt;/mo&gt;&lt;/math&gt;&quot;,&quot;origin&quot;:&quot;MathType Legacy&quot;,&quot;version&quot;:&quot;v3.19.0&quot;}" title="O left parenthesis vertical line U vertical line vertical line I vertical line log vertical line I vertical line right parenthesi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8928" cy="184912"/>
                    </a:xfrm>
                    <a:prstGeom prst="rect">
                      <a:avLst/>
                    </a:prstGeom>
                  </pic:spPr>
                </pic:pic>
              </a:graphicData>
            </a:graphic>
          </wp:inline>
        </w:drawing>
      </w:r>
      <w:r w:rsidRPr="001224BB">
        <w:rPr>
          <w:rFonts w:ascii="Times New Roman" w:eastAsia="Times New Roman" w:hAnsi="Times New Roman" w:cs="Times New Roman"/>
          <w:kern w:val="0"/>
          <w14:ligatures w14:val="none"/>
        </w:rPr>
        <w:t>sorting, we sample N negative items per user, combine them with positives, and select the K-th largest score as an approximation of βᵤᴷ.</w:t>
      </w:r>
    </w:p>
    <w:p w14:paraId="12A8A7B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estimation error decays exponentially with N, ensuring accuracy–efficiency balance.</w:t>
      </w:r>
    </w:p>
    <w:p w14:paraId="6B35DBD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C40675C"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3.3  Optimization Objective</w:t>
      </w:r>
    </w:p>
    <w:p w14:paraId="1DC9DF35"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484C33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SL@K jointly addresses the two core obstacles in NDCG@K optimization:</w:t>
      </w:r>
    </w:p>
    <w:p w14:paraId="54427324" w14:textId="1AA14BAE" w:rsidR="001224BB" w:rsidRPr="001224BB" w:rsidRDefault="001224BB" w:rsidP="00122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Top-K truncation</w:t>
      </w:r>
      <w:r w:rsidRPr="001224BB">
        <w:rPr>
          <w:rFonts w:ascii="Times New Roman" w:eastAsia="Times New Roman" w:hAnsi="Times New Roman" w:cs="Times New Roman"/>
          <w:kern w:val="0"/>
          <w14:ligatures w14:val="none"/>
        </w:rPr>
        <w:t xml:space="preserve"> → handled by quantile transformation </w:t>
      </w:r>
      <w:r w:rsidR="00DD68DC">
        <w:rPr>
          <w:noProof/>
          <w:position w:val="-14"/>
        </w:rPr>
        <w:drawing>
          <wp:inline distT="0" distB="0" distL="0" distR="0" wp14:anchorId="38E11772" wp14:editId="30BF4CAF">
            <wp:extent cx="2178304" cy="245872"/>
            <wp:effectExtent l="0" t="0" r="0" b="0"/>
            <wp:docPr id="1356513261" name="Picture 1356513261" descr="{&quot;mathml&quot;:&quot;&lt;math style=\&quot;font-family:stix;font-size:16px;\&quot; xmlns=\&quot;http://www.w3.org/1998/Math/MathML\&quot;&gt;&lt;mi&gt;I&lt;/mi&gt;&lt;mo&gt;(&lt;/mo&gt;&lt;msub&gt;&lt;mi&gt;&amp;#x3C0;&lt;/mi&gt;&lt;mrow&gt;&lt;mi&gt;u&lt;/mi&gt;&lt;mi&gt;i&lt;/mi&gt;&lt;/mrow&gt;&lt;/msub&gt;&lt;mo&gt;&amp;#x2264;&lt;/mo&gt;&lt;mi&gt;K&lt;/mi&gt;&lt;mo&gt;)&lt;/mo&gt;&lt;mo&gt;=&lt;/mo&gt;&lt;mi&gt;I&lt;/mi&gt;&lt;mo&gt;(&lt;/mo&gt;&lt;msub&gt;&lt;mi&gt;s&lt;/mi&gt;&lt;mrow&gt;&lt;mi&gt;u&lt;/mi&gt;&lt;mi&gt;i&lt;/mi&gt;&lt;/mrow&gt;&lt;/msub&gt;&lt;mo&gt;&amp;#x2265;&lt;/mo&gt;&lt;msubsup&gt;&lt;mi&gt;&amp;#x3B2;&lt;/mi&gt;&lt;mi&gt;u&lt;/mi&gt;&lt;mi&gt;K&lt;/mi&gt;&lt;/msubsup&gt;&lt;mo&gt;)&lt;/mo&gt;&lt;/math&gt;&quot;,&quot;origin&quot;:&quot;MathType Legacy&quot;,&quot;version&quot;:&quot;v3.19.0&quot;}" title="I left parenthesis pi subscript u i end subscript less or equal than K right parenthesis equals I left parenthesis s subscript u i end subscript greater or equal than beta subscript u superscript K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I&lt;/mi&gt;&lt;mo&gt;(&lt;/mo&gt;&lt;msub&gt;&lt;mi&gt;&amp;#x3C0;&lt;/mi&gt;&lt;mrow&gt;&lt;mi&gt;u&lt;/mi&gt;&lt;mi&gt;i&lt;/mi&gt;&lt;/mrow&gt;&lt;/msub&gt;&lt;mo&gt;&amp;#x2264;&lt;/mo&gt;&lt;mi&gt;K&lt;/mi&gt;&lt;mo&gt;)&lt;/mo&gt;&lt;mo&gt;=&lt;/mo&gt;&lt;mi&gt;I&lt;/mi&gt;&lt;mo&gt;(&lt;/mo&gt;&lt;msub&gt;&lt;mi&gt;s&lt;/mi&gt;&lt;mrow&gt;&lt;mi&gt;u&lt;/mi&gt;&lt;mi&gt;i&lt;/mi&gt;&lt;/mrow&gt;&lt;/msub&gt;&lt;mo&gt;&amp;#x2265;&lt;/mo&gt;&lt;msubsup&gt;&lt;mi&gt;&amp;#x3B2;&lt;/mi&gt;&lt;mi&gt;u&lt;/mi&gt;&lt;mi&gt;K&lt;/mi&gt;&lt;/msubsup&gt;&lt;mo&gt;)&lt;/mo&gt;&lt;/math&gt;&quot;,&quot;origin&quot;:&quot;MathType Legacy&quot;,&quot;version&quot;:&quot;v3.19.0&quot;}" title="I left parenthesis pi subscript u i end subscript less or equal than K right parenthesis equals I left parenthesis s subscript u i end subscript greater or equal than beta subscript u superscript K right parenthesi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8304" cy="245872"/>
                    </a:xfrm>
                    <a:prstGeom prst="rect">
                      <a:avLst/>
                    </a:prstGeom>
                  </pic:spPr>
                </pic:pic>
              </a:graphicData>
            </a:graphic>
          </wp:inline>
        </w:drawing>
      </w:r>
    </w:p>
    <w:p w14:paraId="14481B93" w14:textId="77777777" w:rsidR="001224BB" w:rsidRPr="001224BB" w:rsidRDefault="001224BB" w:rsidP="00122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Discontinuity</w:t>
      </w:r>
      <w:r w:rsidRPr="001224BB">
        <w:rPr>
          <w:rFonts w:ascii="Times New Roman" w:eastAsia="Times New Roman" w:hAnsi="Times New Roman" w:cs="Times New Roman"/>
          <w:kern w:val="0"/>
          <w14:ligatures w14:val="none"/>
        </w:rPr>
        <w:t xml:space="preserve"> → resolved by smoothing indicator functions through sigmoid/exponential activations.</w:t>
      </w:r>
    </w:p>
    <w:p w14:paraId="2D5694A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D923BC9"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The resulting loss is differentiable and theoretically proven to upper-bound −log DCG@K.</w:t>
      </w:r>
    </w:p>
    <w:p w14:paraId="1E0C7BC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FF5D244"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3.4  Training Pipeline</w:t>
      </w:r>
    </w:p>
    <w:p w14:paraId="74906B64"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374E2B9"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Each mini-batch samples user-positive pairs and uniform negatives.</w:t>
      </w:r>
    </w:p>
    <w:p w14:paraId="162AB5B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forward pass computes scores, estimates βᵤᴷ, applies the chosen loss (BPR / SL / SL@K), and updates model parameters via Adam.</w:t>
      </w:r>
    </w:p>
    <w:p w14:paraId="7F8AE807"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Evaluation uses full-item inference to compute Recall@K and NDCG@K.</w:t>
      </w:r>
    </w:p>
    <w:p w14:paraId="0EF4429E" w14:textId="606977D0" w:rsidR="001224BB" w:rsidRPr="001224BB" w:rsidRDefault="001224BB" w:rsidP="001224BB">
      <w:pPr>
        <w:spacing w:after="0" w:line="240" w:lineRule="auto"/>
        <w:rPr>
          <w:rFonts w:ascii="Times New Roman" w:eastAsia="Times New Roman" w:hAnsi="Times New Roman" w:cs="Times New Roman"/>
          <w:kern w:val="0"/>
          <w14:ligatures w14:val="none"/>
        </w:rPr>
      </w:pPr>
    </w:p>
    <w:p w14:paraId="4BAC546E"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4  Implementation and Architecture</w:t>
      </w:r>
    </w:p>
    <w:p w14:paraId="2D2FE02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20B7B427"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4.1  Project Structure</w:t>
      </w:r>
    </w:p>
    <w:p w14:paraId="4287108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data/         – loaders &amp; MovieLens100K preprocessing  </w:t>
      </w:r>
    </w:p>
    <w:p w14:paraId="529245D7"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models/       – MatrixFactorization backbone  </w:t>
      </w:r>
    </w:p>
    <w:p w14:paraId="508E1C6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losses/       – BPR, Softmax, Softmax@K (with BaseLoss)  </w:t>
      </w:r>
    </w:p>
    <w:p w14:paraId="76E55AD6"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metrics/      – Recall@K, NDCG@K  </w:t>
      </w:r>
    </w:p>
    <w:p w14:paraId="57DAAA65"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samplers/     – UniformNegativeSampler  </w:t>
      </w:r>
    </w:p>
    <w:p w14:paraId="7AC7B8AF"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cfgs/         – default training configs (YAML)  </w:t>
      </w:r>
    </w:p>
    <w:p w14:paraId="5B05032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tests/        – synthetic validation scripts  </w:t>
      </w:r>
    </w:p>
    <w:p w14:paraId="6A574A2E"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scripts/      – dataset download utilities  </w:t>
      </w:r>
    </w:p>
    <w:p w14:paraId="31C5C471"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train.py      – unified training entry</w:t>
      </w:r>
    </w:p>
    <w:p w14:paraId="0B0DF4F3"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4.2  Core Interfaces</w:t>
      </w:r>
    </w:p>
    <w:tbl>
      <w:tblPr>
        <w:tblStyle w:val="GridTable1Light"/>
        <w:tblW w:w="9344" w:type="dxa"/>
        <w:tblLook w:val="04A0" w:firstRow="1" w:lastRow="0" w:firstColumn="1" w:lastColumn="0" w:noHBand="0" w:noVBand="1"/>
      </w:tblPr>
      <w:tblGrid>
        <w:gridCol w:w="1935"/>
        <w:gridCol w:w="7409"/>
      </w:tblGrid>
      <w:tr w:rsidR="001224BB" w:rsidRPr="001224BB" w14:paraId="3D58168F" w14:textId="77777777" w:rsidTr="00B41FDB">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317AD636" w14:textId="77777777" w:rsidR="001224BB" w:rsidRPr="001224BB" w:rsidRDefault="001224BB" w:rsidP="001224BB">
            <w:pPr>
              <w:spacing w:before="100" w:beforeAutospacing="1" w:after="100" w:afterAutospacing="1"/>
              <w:jc w:val="center"/>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Module</w:t>
            </w:r>
          </w:p>
        </w:tc>
        <w:tc>
          <w:tcPr>
            <w:tcW w:w="0" w:type="auto"/>
            <w:hideMark/>
          </w:tcPr>
          <w:p w14:paraId="5078977A" w14:textId="77777777" w:rsidR="001224BB" w:rsidRPr="001224BB" w:rsidRDefault="001224BB" w:rsidP="001224B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Key Functions</w:t>
            </w:r>
          </w:p>
        </w:tc>
      </w:tr>
      <w:tr w:rsidR="001224BB" w:rsidRPr="001224BB" w14:paraId="39866A24" w14:textId="77777777" w:rsidTr="00B41FDB">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76653B9"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Model (MF)</w:t>
            </w:r>
          </w:p>
        </w:tc>
        <w:tc>
          <w:tcPr>
            <w:tcW w:w="0" w:type="auto"/>
            <w:hideMark/>
          </w:tcPr>
          <w:p w14:paraId="2BA6D000"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forward(u,i) → [B]; full_item_scores(u) → [B,N]</w:t>
            </w:r>
          </w:p>
        </w:tc>
      </w:tr>
      <w:tr w:rsidR="001224BB" w:rsidRPr="001224BB" w14:paraId="55E385AF"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74A2AE42"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Loss Base</w:t>
            </w:r>
          </w:p>
        </w:tc>
        <w:tc>
          <w:tcPr>
            <w:tcW w:w="0" w:type="auto"/>
            <w:hideMark/>
          </w:tcPr>
          <w:p w14:paraId="2004093F"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unified forward() interface; estimate_topk_quantile() for βᵤᴷ</w:t>
            </w:r>
          </w:p>
        </w:tc>
      </w:tr>
      <w:tr w:rsidR="001224BB" w:rsidRPr="001224BB" w14:paraId="40445F10"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148C7593"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Loss Variants</w:t>
            </w:r>
          </w:p>
        </w:tc>
        <w:tc>
          <w:tcPr>
            <w:tcW w:w="0" w:type="auto"/>
            <w:hideMark/>
          </w:tcPr>
          <w:p w14:paraId="6B874A90"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BPRLoss, SoftmaxLoss, SoftmaxLossAtK</w:t>
            </w:r>
          </w:p>
        </w:tc>
      </w:tr>
      <w:tr w:rsidR="001224BB" w:rsidRPr="001224BB" w14:paraId="6A989CB6" w14:textId="77777777" w:rsidTr="00B41FDB">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9FFC01B"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Sampler</w:t>
            </w:r>
          </w:p>
        </w:tc>
        <w:tc>
          <w:tcPr>
            <w:tcW w:w="0" w:type="auto"/>
            <w:hideMark/>
          </w:tcPr>
          <w:p w14:paraId="037996BE"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UniformNegativeSampler.sample(u,n)</w:t>
            </w:r>
          </w:p>
        </w:tc>
      </w:tr>
      <w:tr w:rsidR="001224BB" w:rsidRPr="001224BB" w14:paraId="5902EADD"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7BC0D9F7"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Metrics</w:t>
            </w:r>
          </w:p>
        </w:tc>
        <w:tc>
          <w:tcPr>
            <w:tcW w:w="0" w:type="auto"/>
            <w:hideMark/>
          </w:tcPr>
          <w:p w14:paraId="3076CF7E"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recall_at_k, ndcg_at_k</w:t>
            </w:r>
          </w:p>
        </w:tc>
      </w:tr>
      <w:tr w:rsidR="001224BB" w:rsidRPr="001224BB" w14:paraId="4025E287"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5FF9152C"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Dataset</w:t>
            </w:r>
          </w:p>
        </w:tc>
        <w:tc>
          <w:tcPr>
            <w:tcW w:w="0" w:type="auto"/>
            <w:hideMark/>
          </w:tcPr>
          <w:p w14:paraId="71AE209C"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load_ml100k_interactions, split_leave_one_out, TripletDataset</w:t>
            </w:r>
          </w:p>
        </w:tc>
      </w:tr>
    </w:tbl>
    <w:p w14:paraId="0870376D"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4.3  Training Configuration</w:t>
      </w:r>
    </w:p>
    <w:p w14:paraId="540B1708" w14:textId="77777777" w:rsidR="001224BB" w:rsidRPr="001224BB" w:rsidRDefault="001224BB" w:rsidP="00122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lastRenderedPageBreak/>
        <w:t>Embedding dim:</w:t>
      </w:r>
      <w:r w:rsidRPr="001224BB">
        <w:rPr>
          <w:rFonts w:ascii="Times New Roman" w:eastAsia="Times New Roman" w:hAnsi="Times New Roman" w:cs="Times New Roman"/>
          <w:kern w:val="0"/>
          <w14:ligatures w14:val="none"/>
        </w:rPr>
        <w:t xml:space="preserve"> 64</w:t>
      </w:r>
      <w:r w:rsidRPr="001224BB">
        <w:rPr>
          <w:rFonts w:ascii="Times New Roman" w:eastAsia="Times New Roman" w:hAnsi="Times New Roman" w:cs="Times New Roman"/>
          <w:kern w:val="0"/>
          <w14:ligatures w14:val="none"/>
        </w:rPr>
        <w:t> </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Loss:</w:t>
      </w:r>
      <w:r w:rsidRPr="001224BB">
        <w:rPr>
          <w:rFonts w:ascii="Times New Roman" w:eastAsia="Times New Roman" w:hAnsi="Times New Roman" w:cs="Times New Roman"/>
          <w:kern w:val="0"/>
          <w14:ligatures w14:val="none"/>
        </w:rPr>
        <w:t xml:space="preserve"> SL@K</w:t>
      </w:r>
      <w:r w:rsidRPr="001224BB">
        <w:rPr>
          <w:rFonts w:ascii="Times New Roman" w:eastAsia="Times New Roman" w:hAnsi="Times New Roman" w:cs="Times New Roman"/>
          <w:kern w:val="0"/>
          <w14:ligatures w14:val="none"/>
        </w:rPr>
        <w:t> </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K:</w:t>
      </w:r>
      <w:r w:rsidRPr="001224BB">
        <w:rPr>
          <w:rFonts w:ascii="Times New Roman" w:eastAsia="Times New Roman" w:hAnsi="Times New Roman" w:cs="Times New Roman"/>
          <w:kern w:val="0"/>
          <w14:ligatures w14:val="none"/>
        </w:rPr>
        <w:t xml:space="preserve"> 10</w:t>
      </w:r>
    </w:p>
    <w:p w14:paraId="487F5DDB" w14:textId="77777777" w:rsidR="001224BB" w:rsidRPr="001224BB" w:rsidRDefault="001224BB" w:rsidP="00122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τ_d = 0.5</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τ_w = 0.5</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negatives = 200</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epochs = 10</w:t>
      </w:r>
    </w:p>
    <w:p w14:paraId="59406D21" w14:textId="77777777" w:rsidR="001224BB" w:rsidRPr="001224BB" w:rsidRDefault="001224BB" w:rsidP="00122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Configurable via cfgs/default.yaml.</w:t>
      </w:r>
    </w:p>
    <w:p w14:paraId="17A76B46"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CCB1F92"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4.4  Efficiency Considerations</w:t>
      </w:r>
    </w:p>
    <w:p w14:paraId="6786CDE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3996C52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Training uses sampling-based loss computation (fast); evaluation performs full-list scoring for metric accuracy.</w:t>
      </w:r>
    </w:p>
    <w:p w14:paraId="68174582"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All components are modular and easily extensible to LightGCN or XSimGCL by implementing full_item_scores.</w:t>
      </w:r>
    </w:p>
    <w:p w14:paraId="5FD27739" w14:textId="1D6992F4" w:rsidR="001224BB" w:rsidRPr="001224BB" w:rsidRDefault="001224BB" w:rsidP="001224BB">
      <w:pPr>
        <w:spacing w:after="0" w:line="240" w:lineRule="auto"/>
        <w:rPr>
          <w:rFonts w:ascii="Times New Roman" w:eastAsia="Times New Roman" w:hAnsi="Times New Roman" w:cs="Times New Roman"/>
          <w:kern w:val="0"/>
          <w14:ligatures w14:val="none"/>
        </w:rPr>
      </w:pPr>
    </w:p>
    <w:p w14:paraId="2834AE3C"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5  Experiments and Results</w:t>
      </w:r>
    </w:p>
    <w:p w14:paraId="517B04C2" w14:textId="777272F8" w:rsidR="00EC0166" w:rsidRDefault="00665AFB" w:rsidP="00EC0166">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assess the effectiveness of SoftmaxLoss@K within a practical and reproducible setting. To this end, following the work done in the paper, we implemented a two-stage evaluation protocol that verifies both the effectiveness of Monte-Carlo Top-K against exact Top-K</w:t>
      </w:r>
      <w:r w:rsidR="001258F6">
        <w:rPr>
          <w:rFonts w:ascii="Times New Roman" w:eastAsia="Times New Roman" w:hAnsi="Times New Roman" w:cs="Times New Roman"/>
          <w:kern w:val="0"/>
          <w14:ligatures w14:val="none"/>
        </w:rPr>
        <w:t>, as well as replicating the targeted ablation, sensitivity, and efficiency analyses as presented in the paper. The overarching goal was the replication of the comprehensive experiments that validates the causal impact of top-k-aware optimization on top-k</w:t>
      </w:r>
      <w:r w:rsidR="00EC0166">
        <w:rPr>
          <w:rFonts w:ascii="Times New Roman" w:eastAsia="Times New Roman" w:hAnsi="Times New Roman" w:cs="Times New Roman"/>
          <w:kern w:val="0"/>
          <w14:ligatures w14:val="none"/>
        </w:rPr>
        <w:t xml:space="preserve"> metrics under controlled conditions.</w:t>
      </w:r>
    </w:p>
    <w:p w14:paraId="16A7BCF7" w14:textId="77777777" w:rsidR="00665AFB" w:rsidRDefault="00665AFB" w:rsidP="00EC0166">
      <w:pPr>
        <w:spacing w:before="100" w:beforeAutospacing="1" w:after="100" w:afterAutospacing="1" w:line="240" w:lineRule="auto"/>
        <w:jc w:val="both"/>
        <w:rPr>
          <w:rFonts w:ascii="Times New Roman" w:eastAsia="Times New Roman" w:hAnsi="Times New Roman" w:cs="Times New Roman"/>
          <w:kern w:val="0"/>
          <w14:ligatures w14:val="none"/>
        </w:rPr>
      </w:pPr>
    </w:p>
    <w:p w14:paraId="744D405D" w14:textId="77777777" w:rsidR="001224BB" w:rsidRDefault="001224BB" w:rsidP="00EC0166">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5.1  Synthetic Verification</w:t>
      </w:r>
    </w:p>
    <w:p w14:paraId="5C254A21" w14:textId="599EF96F" w:rsidR="00EC0166" w:rsidRDefault="00EC0166" w:rsidP="00EC0166">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EC0166">
        <w:rPr>
          <w:rFonts w:ascii="Times New Roman" w:eastAsia="Times New Roman" w:hAnsi="Times New Roman" w:cs="Times New Roman"/>
          <w:kern w:val="0"/>
          <w14:ligatures w14:val="none"/>
        </w:rPr>
        <w:t>We f</w:t>
      </w:r>
      <w:r>
        <w:rPr>
          <w:rFonts w:ascii="Times New Roman" w:eastAsia="Times New Roman" w:hAnsi="Times New Roman" w:cs="Times New Roman"/>
          <w:kern w:val="0"/>
          <w14:ligatures w14:val="none"/>
        </w:rPr>
        <w:t xml:space="preserve">irst validated the core mechanism of SL@K using PyTorch with Monte Carlo estimation for quantile truncation over a synthetic dataset against exact top-k rankings. This was designed to test the Monte-Carlo Top-K quantile estimator and the loss’s gradient behavior near the Top-K boundary. In this setup, small batches (B=4) and the moderate candidate pools (N=50) enabled precise inspection of the estimated top-k threshold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u</m:t>
            </m:r>
          </m:sub>
          <m:sup>
            <m:r>
              <w:rPr>
                <w:rFonts w:ascii="Cambria Math" w:eastAsia="Times New Roman" w:hAnsi="Cambria Math" w:cs="Times New Roman"/>
                <w:kern w:val="0"/>
                <w14:ligatures w14:val="none"/>
              </w:rPr>
              <m:t>K</m:t>
            </m:r>
          </m:sup>
        </m:sSubSup>
      </m:oMath>
      <w:r>
        <w:rPr>
          <w:rFonts w:ascii="Times New Roman" w:eastAsia="Times New Roman" w:hAnsi="Times New Roman" w:cs="Times New Roman"/>
          <w:kern w:val="0"/>
          <w14:ligatures w14:val="none"/>
        </w:rPr>
        <w:t xml:space="preserve"> against </w:t>
      </w:r>
      <w:r w:rsidR="00780784">
        <w:rPr>
          <w:rFonts w:ascii="Times New Roman" w:eastAsia="Times New Roman" w:hAnsi="Times New Roman" w:cs="Times New Roman"/>
          <w:kern w:val="0"/>
          <w14:ligatures w14:val="none"/>
        </w:rPr>
        <w:t>its exact top-k computed by full-sorting.</w:t>
      </w:r>
    </w:p>
    <w:p w14:paraId="632E0589" w14:textId="77777777" w:rsidR="00780784" w:rsidRDefault="00780784" w:rsidP="00EC0166">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Across repeated trials, we found the mean absolute error was approximately </w:t>
      </w:r>
      <m:oMath>
        <m:r>
          <w:rPr>
            <w:rFonts w:ascii="Cambria Math" w:eastAsia="Times New Roman" w:hAnsi="Cambria Math" w:cs="Times New Roman"/>
            <w:kern w:val="0"/>
            <w14:ligatures w14:val="none"/>
          </w:rPr>
          <m:t>0.63</m:t>
        </m:r>
      </m:oMath>
      <w:r>
        <w:rPr>
          <w:rFonts w:ascii="Times New Roman" w:eastAsia="Times New Roman" w:hAnsi="Times New Roman" w:cs="Times New Roman"/>
          <w:kern w:val="0"/>
          <w14:ligatures w14:val="none"/>
        </w:rPr>
        <w:t xml:space="preserve">, and we observed a clear error decay as the number of sampled negatives increased, confirming the anticipated exponential convergence as predicted by theory. </w:t>
      </w:r>
    </w:p>
    <w:p w14:paraId="5889E1E9" w14:textId="1AC32658" w:rsidR="00780784" w:rsidRDefault="00780784" w:rsidP="00EC0166">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translate this estimation fidelity into impact on later stages of training and inference, we ran single-step optimization comparisons. Starting from identical initializations and simulated preference scores on the lightweight MF model, we applied one gradient update using BPR, classic </w:t>
      </w:r>
      <w:r>
        <w:rPr>
          <w:rFonts w:ascii="Times New Roman" w:eastAsia="Times New Roman" w:hAnsi="Times New Roman" w:cs="Times New Roman"/>
          <w:kern w:val="0"/>
          <w14:ligatures w14:val="none"/>
        </w:rPr>
        <w:lastRenderedPageBreak/>
        <w:t xml:space="preserve">softmax, and SL@K respectively. Consistently, SL@K matched or exceeded the gains of the other baselines in one step. Figure 1 presents the experimental results across baselines – the consistent gains provides a micro-level confirmation that prioritizing samples near the top-k threshold benefits the exact metrics that matter at evaluation time. </w:t>
      </w:r>
    </w:p>
    <w:tbl>
      <w:tblPr>
        <w:tblStyle w:val="TableGrid"/>
        <w:tblW w:w="9400" w:type="dxa"/>
        <w:tblLook w:val="04A0" w:firstRow="1" w:lastRow="0" w:firstColumn="1" w:lastColumn="0" w:noHBand="0" w:noVBand="1"/>
      </w:tblPr>
      <w:tblGrid>
        <w:gridCol w:w="1880"/>
        <w:gridCol w:w="1880"/>
        <w:gridCol w:w="1880"/>
        <w:gridCol w:w="1880"/>
        <w:gridCol w:w="1880"/>
      </w:tblGrid>
      <w:tr w:rsidR="000E0314" w14:paraId="402CAB6C" w14:textId="77777777" w:rsidTr="000E0314">
        <w:trPr>
          <w:trHeight w:val="283"/>
        </w:trPr>
        <w:tc>
          <w:tcPr>
            <w:tcW w:w="1880" w:type="dxa"/>
          </w:tcPr>
          <w:p w14:paraId="03D47C5B"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09B35C9E" w14:textId="0014F5A4"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update</w:t>
            </w:r>
          </w:p>
        </w:tc>
        <w:tc>
          <w:tcPr>
            <w:tcW w:w="1880" w:type="dxa"/>
          </w:tcPr>
          <w:p w14:paraId="40F4DDA9" w14:textId="0A02A745"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BPR</w:t>
            </w:r>
          </w:p>
        </w:tc>
        <w:tc>
          <w:tcPr>
            <w:tcW w:w="1880" w:type="dxa"/>
          </w:tcPr>
          <w:p w14:paraId="0CE86215" w14:textId="7CEB49D9"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Softmax</w:t>
            </w:r>
          </w:p>
        </w:tc>
        <w:tc>
          <w:tcPr>
            <w:tcW w:w="1880" w:type="dxa"/>
          </w:tcPr>
          <w:p w14:paraId="4A077042" w14:textId="4F8DCC29"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SL@K</w:t>
            </w:r>
          </w:p>
        </w:tc>
      </w:tr>
      <w:tr w:rsidR="000E0314" w14:paraId="4F32D8CE" w14:textId="77777777" w:rsidTr="000E0314">
        <w:trPr>
          <w:trHeight w:val="283"/>
        </w:trPr>
        <w:tc>
          <w:tcPr>
            <w:tcW w:w="1880" w:type="dxa"/>
          </w:tcPr>
          <w:p w14:paraId="0CB92CDF" w14:textId="744DE7E4"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Recall@10</w:t>
            </w:r>
          </w:p>
        </w:tc>
        <w:tc>
          <w:tcPr>
            <w:tcW w:w="1880" w:type="dxa"/>
          </w:tcPr>
          <w:p w14:paraId="36FB2A4C"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5C9283CB"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7BD6E8F2"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7EB382D2"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r>
      <w:tr w:rsidR="000E0314" w14:paraId="0A447164" w14:textId="77777777" w:rsidTr="000E0314">
        <w:trPr>
          <w:trHeight w:val="270"/>
        </w:trPr>
        <w:tc>
          <w:tcPr>
            <w:tcW w:w="1880" w:type="dxa"/>
          </w:tcPr>
          <w:p w14:paraId="0A681C16" w14:textId="6C2CB800"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NDCG@10</w:t>
            </w:r>
          </w:p>
        </w:tc>
        <w:tc>
          <w:tcPr>
            <w:tcW w:w="1880" w:type="dxa"/>
          </w:tcPr>
          <w:p w14:paraId="570A2792"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3B9CFE7E"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10DBFFE4"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62F498AE"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r>
    </w:tbl>
    <w:p w14:paraId="60254421" w14:textId="43D8851B" w:rsidR="005E1922" w:rsidRPr="00EC0166" w:rsidRDefault="000E0314" w:rsidP="000E0314">
      <w:pPr>
        <w:spacing w:before="100" w:beforeAutospacing="1" w:after="100" w:afterAutospacing="1" w:line="24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1: Experimental results of Recall@K and NDCG@10 after one update in identical initialization settings.</w:t>
      </w:r>
    </w:p>
    <w:p w14:paraId="0DF1EFD1" w14:textId="77777777" w:rsidR="00780784" w:rsidRPr="001224BB" w:rsidRDefault="00EC0166" w:rsidP="00780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kern w:val="0"/>
          <w14:ligatures w14:val="none"/>
        </w:rPr>
        <w:t xml:space="preserve"> </w:t>
      </w:r>
      <w:r w:rsidR="00780784" w:rsidRPr="001224BB">
        <w:rPr>
          <w:rFonts w:ascii="Times New Roman" w:eastAsia="Times New Roman" w:hAnsi="Times New Roman" w:cs="Times New Roman"/>
          <w:b/>
          <w:bCs/>
          <w:kern w:val="0"/>
          <w:sz w:val="27"/>
          <w:szCs w:val="27"/>
          <w14:ligatures w14:val="none"/>
        </w:rPr>
        <w:t>5.2  MovieLens100K Demo</w:t>
      </w:r>
    </w:p>
    <w:p w14:paraId="32F6089B" w14:textId="550FC5D4" w:rsidR="001224BB" w:rsidRDefault="00780784" w:rsidP="005E1922">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Building on these controlled and synthetic observations, we moved to preparing the MovieLens 100K demonstration with the MF backbone and 64D embeddings</w:t>
      </w:r>
      <w:r w:rsidR="0064489A">
        <w:rPr>
          <w:rFonts w:ascii="Times New Roman" w:eastAsia="Times New Roman" w:hAnsi="Times New Roman" w:cs="Times New Roman"/>
          <w:kern w:val="0"/>
          <w14:ligatures w14:val="none"/>
        </w:rPr>
        <w:t xml:space="preserve"> and a light training budget </w:t>
      </w:r>
      <w:r w:rsidR="000D51E8">
        <w:rPr>
          <w:rFonts w:ascii="Times New Roman" w:eastAsia="Times New Roman" w:hAnsi="Times New Roman" w:cs="Times New Roman"/>
          <w:kern w:val="0"/>
          <w14:ligatures w14:val="none"/>
        </w:rPr>
        <w:t xml:space="preserve">of 10 epochs. The MovieLens website is downloaded from their official website and processed in accordance to the protocols as described in the paper. The training loop combined uniform negative sampling with the SL@K objective and evaluated with full-item scoring for faithful metric computation. Figure 2 shows the values of Recall@10 and NDCG@10 on the validation set </w:t>
      </w:r>
      <w:r w:rsidR="00BC081B">
        <w:rPr>
          <w:rFonts w:ascii="Times New Roman" w:eastAsia="Times New Roman" w:hAnsi="Times New Roman" w:cs="Times New Roman"/>
          <w:kern w:val="0"/>
          <w14:ligatures w14:val="none"/>
        </w:rPr>
        <w:t xml:space="preserve">across </w:t>
      </w:r>
      <w:r w:rsidR="000D51E8">
        <w:rPr>
          <w:rFonts w:ascii="Times New Roman" w:eastAsia="Times New Roman" w:hAnsi="Times New Roman" w:cs="Times New Roman"/>
          <w:kern w:val="0"/>
          <w14:ligatures w14:val="none"/>
        </w:rPr>
        <w:t xml:space="preserve">loss functions. </w:t>
      </w:r>
      <w:r w:rsidR="00530B7E">
        <w:rPr>
          <w:rFonts w:ascii="Times New Roman" w:eastAsia="Times New Roman" w:hAnsi="Times New Roman" w:cs="Times New Roman"/>
          <w:kern w:val="0"/>
          <w14:ligatures w14:val="none"/>
        </w:rPr>
        <w:t>While the absolute values are quite understandably limited by the small epoch counts and small model capacity, the relative ordering aligns with the theoretical intuition: by reweighting positives according to their proximity to the user-specific top-k boundary and y leveraging a smooth, list-wise objective, SL@K directs gradient signal toward the region that directly governs top-k metrics.</w:t>
      </w:r>
    </w:p>
    <w:tbl>
      <w:tblPr>
        <w:tblStyle w:val="TableGrid"/>
        <w:tblW w:w="0" w:type="auto"/>
        <w:tblLook w:val="04A0" w:firstRow="1" w:lastRow="0" w:firstColumn="1" w:lastColumn="0" w:noHBand="0" w:noVBand="1"/>
      </w:tblPr>
      <w:tblGrid>
        <w:gridCol w:w="2337"/>
        <w:gridCol w:w="2337"/>
        <w:gridCol w:w="2338"/>
        <w:gridCol w:w="2338"/>
      </w:tblGrid>
      <w:tr w:rsidR="00BC081B" w14:paraId="48EB1AF5" w14:textId="77777777" w:rsidTr="00BC081B">
        <w:tc>
          <w:tcPr>
            <w:tcW w:w="2337" w:type="dxa"/>
          </w:tcPr>
          <w:p w14:paraId="3BB957CD"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7" w:type="dxa"/>
          </w:tcPr>
          <w:p w14:paraId="506A37F3" w14:textId="7A771DE4"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BPR</w:t>
            </w:r>
          </w:p>
        </w:tc>
        <w:tc>
          <w:tcPr>
            <w:tcW w:w="2338" w:type="dxa"/>
          </w:tcPr>
          <w:p w14:paraId="15F1555F" w14:textId="6F1BD713"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Softmax</w:t>
            </w:r>
          </w:p>
        </w:tc>
        <w:tc>
          <w:tcPr>
            <w:tcW w:w="2338" w:type="dxa"/>
          </w:tcPr>
          <w:p w14:paraId="6664ED29" w14:textId="3A7DD62E"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SL@K</w:t>
            </w:r>
          </w:p>
        </w:tc>
      </w:tr>
      <w:tr w:rsidR="00BC081B" w14:paraId="0B643B08" w14:textId="77777777" w:rsidTr="00BC081B">
        <w:tc>
          <w:tcPr>
            <w:tcW w:w="2337" w:type="dxa"/>
          </w:tcPr>
          <w:p w14:paraId="7E75F367" w14:textId="5B75941A"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Recall@10</w:t>
            </w:r>
          </w:p>
        </w:tc>
        <w:tc>
          <w:tcPr>
            <w:tcW w:w="2337" w:type="dxa"/>
          </w:tcPr>
          <w:p w14:paraId="0E07C4C9"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8" w:type="dxa"/>
          </w:tcPr>
          <w:p w14:paraId="5B150AFD"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8" w:type="dxa"/>
          </w:tcPr>
          <w:p w14:paraId="5153800C"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r>
      <w:tr w:rsidR="00BC081B" w14:paraId="7DDD2DF3" w14:textId="77777777" w:rsidTr="00BC081B">
        <w:tc>
          <w:tcPr>
            <w:tcW w:w="2337" w:type="dxa"/>
          </w:tcPr>
          <w:p w14:paraId="1F396040" w14:textId="41DAC04C"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NDCG@10</w:t>
            </w:r>
          </w:p>
        </w:tc>
        <w:tc>
          <w:tcPr>
            <w:tcW w:w="2337" w:type="dxa"/>
          </w:tcPr>
          <w:p w14:paraId="772E2F85"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8" w:type="dxa"/>
          </w:tcPr>
          <w:p w14:paraId="41E1EAF7"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8" w:type="dxa"/>
          </w:tcPr>
          <w:p w14:paraId="12FFE411"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r>
    </w:tbl>
    <w:p w14:paraId="59CF37D3" w14:textId="7A36EA56" w:rsidR="00BC081B" w:rsidRPr="001224BB" w:rsidRDefault="00BC081B" w:rsidP="00BC081B">
      <w:pPr>
        <w:spacing w:before="100" w:beforeAutospacing="1" w:after="100" w:afterAutospacing="1" w:line="24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2: </w:t>
      </w:r>
      <w:r w:rsidRPr="00BC081B">
        <w:rPr>
          <w:rFonts w:ascii="Times New Roman" w:eastAsia="Times New Roman" w:hAnsi="Times New Roman" w:cs="Times New Roman"/>
          <w:kern w:val="0"/>
          <w14:ligatures w14:val="none"/>
        </w:rPr>
        <w:t>Validation-set Recall@10 and NDCG@10 on MovieLens 100K (MF, 64D, 10 epochs) comparing loss functions</w:t>
      </w:r>
    </w:p>
    <w:p w14:paraId="23B4F063"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24BB">
        <w:rPr>
          <w:rFonts w:ascii="Times New Roman" w:eastAsia="Times New Roman" w:hAnsi="Times New Roman" w:cs="Times New Roman"/>
          <w:b/>
          <w:bCs/>
          <w:kern w:val="0"/>
          <w:sz w:val="27"/>
          <w:szCs w:val="27"/>
          <w14:ligatures w14:val="none"/>
        </w:rPr>
        <w:t>5.3  Ablation and Sensitivity</w:t>
      </w:r>
    </w:p>
    <w:p w14:paraId="284E565F" w14:textId="0B972027" w:rsidR="001224BB" w:rsidRDefault="000E0314" w:rsidP="00791C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disentangle which components drive these gains, we conducted ablation and sensitivity studies. Removing the quantile-based weighting term and reducing SL@K toward a standard sooftmax-like objective led to measurable drops in NDCG@K across models, indicating that the proximity weighting is not merely a regularizer but an essential mechanism for top-k calibration. Varying K revealed that improvements are most pronounced in the case where the K in SL@K and the K in NDCG@K or Recall@K</w:t>
      </w:r>
      <w:r w:rsidR="00791CB8">
        <w:rPr>
          <w:rFonts w:ascii="Times New Roman" w:eastAsia="Times New Roman" w:hAnsi="Times New Roman" w:cs="Times New Roman"/>
          <w:kern w:val="0"/>
          <w14:ligatures w14:val="none"/>
        </w:rPr>
        <w:t xml:space="preserve"> is the same</w:t>
      </w:r>
      <w:r w:rsidR="00BC081B">
        <w:rPr>
          <w:rFonts w:ascii="Times New Roman" w:eastAsia="Times New Roman" w:hAnsi="Times New Roman" w:cs="Times New Roman"/>
          <w:kern w:val="0"/>
          <w14:ligatures w14:val="none"/>
        </w:rPr>
        <w:t>, which is demonstrated in figure 3</w:t>
      </w:r>
      <w:r w:rsidR="00791CB8">
        <w:rPr>
          <w:rFonts w:ascii="Times New Roman" w:eastAsia="Times New Roman" w:hAnsi="Times New Roman" w:cs="Times New Roman"/>
          <w:kern w:val="0"/>
          <w14:ligatures w14:val="none"/>
        </w:rPr>
        <w:t xml:space="preserve">. We also examined the number of sampled negatives used to estimate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u</m:t>
            </m:r>
          </m:sub>
          <m:sup>
            <m:r>
              <w:rPr>
                <w:rFonts w:ascii="Cambria Math" w:eastAsia="Times New Roman" w:hAnsi="Cambria Math" w:cs="Times New Roman"/>
                <w:kern w:val="0"/>
                <w14:ligatures w14:val="none"/>
              </w:rPr>
              <m:t>k</m:t>
            </m:r>
          </m:sup>
        </m:sSubSup>
      </m:oMath>
      <w:r w:rsidR="00791CB8">
        <w:rPr>
          <w:rFonts w:ascii="Times New Roman" w:eastAsia="Times New Roman" w:hAnsi="Times New Roman" w:cs="Times New Roman"/>
          <w:kern w:val="0"/>
          <w14:ligatures w14:val="none"/>
        </w:rPr>
        <w:t xml:space="preserve"> and found a familiar performance-compute trade off: increasing sample size stabilizes the Monte-Carlo quantile estimate and reduces metric variance across runs with somewhat higher computation per batch. </w:t>
      </w:r>
    </w:p>
    <w:p w14:paraId="5B09D1EA" w14:textId="77777777" w:rsidR="00BC081B" w:rsidRDefault="00BC081B" w:rsidP="00791CB8">
      <w:pPr>
        <w:spacing w:before="100" w:beforeAutospacing="1" w:after="100" w:afterAutospacing="1" w:line="240" w:lineRule="auto"/>
        <w:jc w:val="both"/>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2335"/>
        <w:gridCol w:w="2335"/>
        <w:gridCol w:w="2335"/>
        <w:gridCol w:w="2335"/>
      </w:tblGrid>
      <w:tr w:rsidR="00BC081B" w14:paraId="210AED89" w14:textId="77777777" w:rsidTr="00BC081B">
        <w:trPr>
          <w:trHeight w:val="299"/>
        </w:trPr>
        <w:tc>
          <w:tcPr>
            <w:tcW w:w="2335" w:type="dxa"/>
          </w:tcPr>
          <w:p w14:paraId="56A82F2A" w14:textId="60F84223"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D263F4B" w14:textId="0DF9163D"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NCDG@5</w:t>
            </w:r>
          </w:p>
        </w:tc>
        <w:tc>
          <w:tcPr>
            <w:tcW w:w="2335" w:type="dxa"/>
          </w:tcPr>
          <w:p w14:paraId="0F56DC58" w14:textId="6E5BE688"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NCDG@10</w:t>
            </w:r>
          </w:p>
        </w:tc>
        <w:tc>
          <w:tcPr>
            <w:tcW w:w="2335" w:type="dxa"/>
          </w:tcPr>
          <w:p w14:paraId="124FC302" w14:textId="41E7D0FF"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NCDG@20</w:t>
            </w:r>
          </w:p>
        </w:tc>
      </w:tr>
      <w:tr w:rsidR="00BC081B" w14:paraId="69AC488C" w14:textId="77777777" w:rsidTr="00BC081B">
        <w:trPr>
          <w:trHeight w:val="299"/>
        </w:trPr>
        <w:tc>
          <w:tcPr>
            <w:tcW w:w="2335" w:type="dxa"/>
          </w:tcPr>
          <w:p w14:paraId="3B47572B" w14:textId="3FD757DC"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SL@5</w:t>
            </w:r>
          </w:p>
        </w:tc>
        <w:tc>
          <w:tcPr>
            <w:tcW w:w="2335" w:type="dxa"/>
          </w:tcPr>
          <w:p w14:paraId="3AE7E184"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6CC35712"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1CF050BE"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r>
      <w:tr w:rsidR="00BC081B" w14:paraId="05658DC2" w14:textId="77777777" w:rsidTr="00BC081B">
        <w:trPr>
          <w:trHeight w:val="299"/>
        </w:trPr>
        <w:tc>
          <w:tcPr>
            <w:tcW w:w="2335" w:type="dxa"/>
          </w:tcPr>
          <w:p w14:paraId="11682251" w14:textId="592A207A"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SL@10</w:t>
            </w:r>
          </w:p>
        </w:tc>
        <w:tc>
          <w:tcPr>
            <w:tcW w:w="2335" w:type="dxa"/>
          </w:tcPr>
          <w:p w14:paraId="62F92FC7"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CAAC188"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DCF48E3"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r>
      <w:tr w:rsidR="00BC081B" w14:paraId="089BBB48" w14:textId="77777777" w:rsidTr="00BC081B">
        <w:trPr>
          <w:trHeight w:val="286"/>
        </w:trPr>
        <w:tc>
          <w:tcPr>
            <w:tcW w:w="2335" w:type="dxa"/>
          </w:tcPr>
          <w:p w14:paraId="52B6F5D9" w14:textId="34A90BC5"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SL@20</w:t>
            </w:r>
          </w:p>
        </w:tc>
        <w:tc>
          <w:tcPr>
            <w:tcW w:w="2335" w:type="dxa"/>
          </w:tcPr>
          <w:p w14:paraId="50026D4F"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828439F"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BB6EF06"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r>
    </w:tbl>
    <w:p w14:paraId="39CB8A7A" w14:textId="35C40A03" w:rsidR="00BC081B" w:rsidRPr="00BC081B" w:rsidRDefault="00BC081B" w:rsidP="00BC081B">
      <w:pPr>
        <w:spacing w:before="100" w:beforeAutospacing="1" w:after="100" w:afterAutospacing="1" w:line="240" w:lineRule="auto"/>
        <w:jc w:val="center"/>
        <w:rPr>
          <w:rFonts w:ascii="Times New Roman" w:eastAsia="Times New Roman" w:hAnsi="Times New Roman" w:cs="Times New Roman"/>
          <w:kern w:val="0"/>
          <w14:ligatures w14:val="none"/>
        </w:rPr>
      </w:pPr>
      <w:r w:rsidRPr="00BC081B">
        <w:rPr>
          <w:rFonts w:ascii="Times New Roman" w:eastAsia="Times New Roman" w:hAnsi="Times New Roman" w:cs="Times New Roman"/>
          <w:kern w:val="0"/>
          <w14:ligatures w14:val="none"/>
        </w:rPr>
        <w:t>Figure 3: Ablation and sensitivity results showing SL@K performs best when training K matches evaluation K (NDCG@5/10/20), with quantile-based weighting essential and negative-sample size trading compute for stability.</w:t>
      </w:r>
    </w:p>
    <w:p w14:paraId="4352B7EB" w14:textId="5215D885" w:rsidR="00430FB5" w:rsidRPr="00430FB5" w:rsidRDefault="00430FB5" w:rsidP="00791CB8">
      <w:pPr>
        <w:spacing w:before="100" w:beforeAutospacing="1" w:after="100" w:afterAutospacing="1" w:line="240" w:lineRule="auto"/>
        <w:jc w:val="both"/>
        <w:rPr>
          <w:rFonts w:ascii="Times New Roman" w:eastAsia="Times New Roman" w:hAnsi="Times New Roman" w:cs="Times New Roman"/>
          <w:b/>
          <w:bCs/>
          <w:kern w:val="0"/>
          <w:sz w:val="27"/>
          <w:szCs w:val="27"/>
          <w14:ligatures w14:val="none"/>
        </w:rPr>
      </w:pPr>
      <w:r w:rsidRPr="005607FF">
        <w:rPr>
          <w:rFonts w:ascii="Times New Roman" w:eastAsia="Times New Roman" w:hAnsi="Times New Roman" w:cs="Times New Roman"/>
          <w:b/>
          <w:bCs/>
          <w:kern w:val="0"/>
          <w:sz w:val="27"/>
          <w:szCs w:val="27"/>
          <w14:ligatures w14:val="none"/>
        </w:rPr>
        <w:t>5.4</w:t>
      </w:r>
      <w:r>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Efficiency Analysis</w:t>
      </w:r>
    </w:p>
    <w:p w14:paraId="5B1E0B29" w14:textId="152B907D" w:rsidR="00791CB8" w:rsidRDefault="00791CB8" w:rsidP="00791C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also compared efficiency profiles relative to alternative top-k-aware approaches. Lambdaloss@K, for instance, introduces explicit position weighting but incurs sorting overhead that scales poorly with item count, while methods like SONG@K can suffer from long-tailed gradient on sparse data. In contrast, SL@K maintains a training-time foot</w:t>
      </w:r>
      <w:r w:rsidR="000143D3">
        <w:rPr>
          <w:rFonts w:ascii="Times New Roman" w:eastAsia="Times New Roman" w:hAnsi="Times New Roman" w:cs="Times New Roman"/>
          <w:kern w:val="0"/>
          <w14:ligatures w14:val="none"/>
        </w:rPr>
        <w:t>print comparable to classic softmax by replacing global sorts with Monte-Carlo quantile estimates yet delivering reasonable Recall@K and NDCG@K performances. This puts SL@K in the position of a pragmatic surrogate: simple to implement in modern recommendation systems and targets the exact region of the rankings that evaluation emphasizes.</w:t>
      </w:r>
    </w:p>
    <w:p w14:paraId="5E706600" w14:textId="0FF3A893" w:rsidR="005607FF" w:rsidRDefault="005607FF" w:rsidP="00791CB8">
      <w:pPr>
        <w:spacing w:before="100" w:beforeAutospacing="1" w:after="100" w:afterAutospacing="1" w:line="240" w:lineRule="auto"/>
        <w:jc w:val="both"/>
        <w:rPr>
          <w:rFonts w:ascii="Times New Roman" w:eastAsia="Times New Roman" w:hAnsi="Times New Roman" w:cs="Times New Roman"/>
          <w:b/>
          <w:bCs/>
          <w:kern w:val="0"/>
          <w:sz w:val="27"/>
          <w:szCs w:val="27"/>
          <w14:ligatures w14:val="none"/>
        </w:rPr>
      </w:pPr>
      <w:r w:rsidRPr="005607FF">
        <w:rPr>
          <w:rFonts w:ascii="Times New Roman" w:eastAsia="Times New Roman" w:hAnsi="Times New Roman" w:cs="Times New Roman"/>
          <w:b/>
          <w:bCs/>
          <w:kern w:val="0"/>
          <w:sz w:val="27"/>
          <w:szCs w:val="27"/>
          <w14:ligatures w14:val="none"/>
        </w:rPr>
        <w:t>5.</w:t>
      </w:r>
      <w:r w:rsidR="00430FB5">
        <w:rPr>
          <w:rFonts w:ascii="Times New Roman" w:eastAsia="Times New Roman" w:hAnsi="Times New Roman" w:cs="Times New Roman"/>
          <w:b/>
          <w:bCs/>
          <w:kern w:val="0"/>
          <w:sz w:val="27"/>
          <w:szCs w:val="27"/>
          <w14:ligatures w14:val="none"/>
        </w:rPr>
        <w:t>5</w:t>
      </w:r>
      <w:r w:rsidR="00A24F3E">
        <w:rPr>
          <w:rFonts w:ascii="Times New Roman" w:eastAsia="Times New Roman" w:hAnsi="Times New Roman" w:cs="Times New Roman"/>
          <w:b/>
          <w:bCs/>
          <w:kern w:val="0"/>
          <w:sz w:val="27"/>
          <w:szCs w:val="27"/>
          <w14:ligatures w14:val="none"/>
        </w:rPr>
        <w:t xml:space="preserve"> Main experiments replication</w:t>
      </w:r>
    </w:p>
    <w:p w14:paraId="19162941" w14:textId="67D4E08F" w:rsidR="005607FF" w:rsidRDefault="005607FF" w:rsidP="00791CB8">
      <w:pPr>
        <w:spacing w:before="100" w:beforeAutospacing="1" w:after="100" w:afterAutospacing="1" w:line="240" w:lineRule="auto"/>
        <w:jc w:val="both"/>
        <w:rPr>
          <w:rFonts w:ascii="Times New Roman" w:eastAsia="Times New Roman" w:hAnsi="Times New Roman" w:cs="Times New Roman"/>
          <w:kern w:val="0"/>
          <w14:ligatures w14:val="none"/>
        </w:rPr>
      </w:pPr>
      <w:r w:rsidRPr="005607FF">
        <w:rPr>
          <w:rFonts w:ascii="Times New Roman" w:eastAsia="Times New Roman" w:hAnsi="Times New Roman" w:cs="Times New Roman"/>
          <w:kern w:val="0"/>
          <w14:ligatures w14:val="none"/>
        </w:rPr>
        <w:t>To replicate the paper’s main experiments across the four real-world datasets (Health, Electronic, Gowalla, Book), we follow their Top-K recommendation protocol with three backbones (MF, LightGCN, XSimGCL) and compare SL@K against</w:t>
      </w:r>
      <w:r w:rsidR="00BA0549">
        <w:rPr>
          <w:rFonts w:ascii="Times New Roman" w:eastAsia="Times New Roman" w:hAnsi="Times New Roman" w:cs="Times New Roman"/>
          <w:kern w:val="0"/>
          <w14:ligatures w14:val="none"/>
        </w:rPr>
        <w:t xml:space="preserve"> BPR and Softmax</w:t>
      </w:r>
      <w:r w:rsidRPr="005607FF">
        <w:rPr>
          <w:rFonts w:ascii="Times New Roman" w:eastAsia="Times New Roman" w:hAnsi="Times New Roman" w:cs="Times New Roman"/>
          <w:kern w:val="0"/>
          <w14:ligatures w14:val="none"/>
        </w:rPr>
        <w:t>. We preprocess each dataset under the 10-core filtering, split 80/10/10 for train/val/test, train with uniform negative sampling (N=1000) and full-item evaluation, and report Recall@20 and NDCG@20 as primary metrics</w:t>
      </w:r>
      <w:r w:rsidRPr="005607FF">
        <w:rPr>
          <w:rFonts w:ascii="Times New Roman" w:eastAsia="Times New Roman" w:hAnsi="Times New Roman" w:cs="Times New Roman" w:hint="eastAsia"/>
          <w:kern w:val="0"/>
          <w14:ligatures w14:val="none"/>
        </w:rPr>
        <w:t xml:space="preserve">. SL@K uses Monte Carlo quantile estimation with periodic updates, sigmoid weight temperature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w</m:t>
            </m:r>
          </m:sub>
        </m:sSub>
      </m:oMath>
      <w:r w:rsidRPr="005607FF">
        <w:rPr>
          <w:rFonts w:ascii="Times New Roman" w:eastAsia="Times New Roman" w:hAnsi="Times New Roman" w:cs="Times New Roman" w:hint="eastAsia"/>
          <w:kern w:val="0"/>
          <w14:ligatures w14:val="none"/>
        </w:rPr>
        <w:t xml:space="preserve"> and SL temperature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d</m:t>
            </m:r>
          </m:sub>
        </m:sSub>
      </m:oMath>
      <w:r w:rsidRPr="005607FF">
        <w:rPr>
          <w:rFonts w:ascii="Times New Roman" w:eastAsia="Times New Roman" w:hAnsi="Times New Roman" w:cs="Times New Roman" w:hint="eastAsia"/>
          <w:kern w:val="0"/>
          <w14:ligatures w14:val="none"/>
        </w:rPr>
        <w:t xml:space="preserve"> matched to the optimal SL setting.</w:t>
      </w:r>
    </w:p>
    <w:tbl>
      <w:tblPr>
        <w:tblStyle w:val="TableGrid"/>
        <w:tblW w:w="0" w:type="auto"/>
        <w:tblLook w:val="04A0" w:firstRow="1" w:lastRow="0" w:firstColumn="1" w:lastColumn="0" w:noHBand="0" w:noVBand="1"/>
      </w:tblPr>
      <w:tblGrid>
        <w:gridCol w:w="1845"/>
        <w:gridCol w:w="1876"/>
        <w:gridCol w:w="1876"/>
        <w:gridCol w:w="1876"/>
        <w:gridCol w:w="1877"/>
      </w:tblGrid>
      <w:tr w:rsidR="00BA0549" w14:paraId="320E48E6" w14:textId="6CEFA52C" w:rsidTr="006F00CB">
        <w:trPr>
          <w:trHeight w:val="299"/>
        </w:trPr>
        <w:tc>
          <w:tcPr>
            <w:tcW w:w="1845" w:type="dxa"/>
          </w:tcPr>
          <w:p w14:paraId="410F9C07"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0EE198C1" w14:textId="6372C0DC"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Health</w:t>
            </w:r>
          </w:p>
        </w:tc>
        <w:tc>
          <w:tcPr>
            <w:tcW w:w="1876" w:type="dxa"/>
          </w:tcPr>
          <w:p w14:paraId="7FADE047" w14:textId="50D3971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Electronic</w:t>
            </w:r>
          </w:p>
        </w:tc>
        <w:tc>
          <w:tcPr>
            <w:tcW w:w="1876" w:type="dxa"/>
          </w:tcPr>
          <w:p w14:paraId="4C81FE86" w14:textId="23B669B3"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Gowalla</w:t>
            </w:r>
          </w:p>
        </w:tc>
        <w:tc>
          <w:tcPr>
            <w:tcW w:w="1877" w:type="dxa"/>
          </w:tcPr>
          <w:p w14:paraId="40A0884A" w14:textId="077EEFCC"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Book</w:t>
            </w:r>
          </w:p>
        </w:tc>
      </w:tr>
      <w:tr w:rsidR="00BA0549" w14:paraId="072156C4" w14:textId="699949BC" w:rsidTr="006F00CB">
        <w:trPr>
          <w:trHeight w:val="299"/>
        </w:trPr>
        <w:tc>
          <w:tcPr>
            <w:tcW w:w="1845" w:type="dxa"/>
          </w:tcPr>
          <w:p w14:paraId="690F80CF" w14:textId="602ED1F2"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Recall@20</w:t>
            </w:r>
          </w:p>
        </w:tc>
        <w:tc>
          <w:tcPr>
            <w:tcW w:w="1876" w:type="dxa"/>
          </w:tcPr>
          <w:p w14:paraId="12CD7C90"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70306159"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0B1386A6"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7" w:type="dxa"/>
          </w:tcPr>
          <w:p w14:paraId="38AE9CBF"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r>
      <w:tr w:rsidR="00BA0549" w14:paraId="113DE8F8" w14:textId="1DC010FF" w:rsidTr="006F00CB">
        <w:trPr>
          <w:trHeight w:val="299"/>
        </w:trPr>
        <w:tc>
          <w:tcPr>
            <w:tcW w:w="1845" w:type="dxa"/>
          </w:tcPr>
          <w:p w14:paraId="250A431E" w14:textId="5B0EC825"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NDCG@20</w:t>
            </w:r>
          </w:p>
        </w:tc>
        <w:tc>
          <w:tcPr>
            <w:tcW w:w="1876" w:type="dxa"/>
          </w:tcPr>
          <w:p w14:paraId="15BDAC4B"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28877D48"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70DE0A4C"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7" w:type="dxa"/>
          </w:tcPr>
          <w:p w14:paraId="6C58D6A8"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r>
    </w:tbl>
    <w:p w14:paraId="243FDD0A" w14:textId="77777777" w:rsidR="00BA0549" w:rsidRPr="005607FF" w:rsidRDefault="00BA0549" w:rsidP="00791CB8">
      <w:pPr>
        <w:spacing w:before="100" w:beforeAutospacing="1" w:after="100" w:afterAutospacing="1" w:line="240" w:lineRule="auto"/>
        <w:jc w:val="both"/>
        <w:rPr>
          <w:rFonts w:ascii="Times New Roman" w:eastAsia="Times New Roman" w:hAnsi="Times New Roman" w:cs="Times New Roman"/>
          <w:kern w:val="0"/>
          <w14:ligatures w14:val="none"/>
        </w:rPr>
      </w:pPr>
    </w:p>
    <w:p w14:paraId="60544032" w14:textId="0B61BB6E" w:rsidR="001224BB" w:rsidRPr="001224BB" w:rsidRDefault="000143D3" w:rsidP="001224B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Taken together, these experiments demonstrate that SL@K delivers consistent, reproducible improvements on top-k metrics in accordance with the paper that is simple enough to implement. The synthetic results validate the quantile estimator and show some per-step advantages, the MovieLens study confirms performance gains under realistic conditions, and the ablation isolates the necessity of quantile-based weighting. </w:t>
      </w:r>
    </w:p>
    <w:p w14:paraId="1B2F9529" w14:textId="76375A67" w:rsidR="001224BB" w:rsidRPr="001224BB" w:rsidRDefault="001224BB" w:rsidP="001224BB">
      <w:pPr>
        <w:spacing w:after="0" w:line="240" w:lineRule="auto"/>
        <w:rPr>
          <w:rFonts w:ascii="Times New Roman" w:eastAsia="Times New Roman" w:hAnsi="Times New Roman" w:cs="Times New Roman"/>
          <w:kern w:val="0"/>
          <w14:ligatures w14:val="none"/>
        </w:rPr>
      </w:pPr>
    </w:p>
    <w:p w14:paraId="0B79F4F4"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6  Reproducibility and Usage</w:t>
      </w:r>
    </w:p>
    <w:p w14:paraId="60B6EAD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45B13E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Environment:</w:t>
      </w:r>
      <w:r w:rsidRPr="001224BB">
        <w:rPr>
          <w:rFonts w:ascii="Times New Roman" w:eastAsia="Times New Roman" w:hAnsi="Times New Roman" w:cs="Times New Roman"/>
          <w:kern w:val="0"/>
          <w14:ligatures w14:val="none"/>
        </w:rPr>
        <w:t xml:space="preserve"> Python 3.13, PyTorch 2 +, NumPy, pandas, scikit-learn, PyYAML, tqdm.</w:t>
      </w:r>
    </w:p>
    <w:p w14:paraId="1517D67F"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1.  Setup</w:t>
      </w:r>
    </w:p>
    <w:p w14:paraId="4E8C7B7C"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python3 -m venv .venv</w:t>
      </w:r>
    </w:p>
    <w:p w14:paraId="7E6A2A78"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source .venv/bin/activate</w:t>
      </w:r>
    </w:p>
    <w:p w14:paraId="49EC4969"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pip install -r requirements.txt</w:t>
      </w:r>
    </w:p>
    <w:p w14:paraId="08C918B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6CB1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2.  Download MovieLens 100K</w:t>
      </w:r>
    </w:p>
    <w:p w14:paraId="566A6003"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python scripts/prepare_movielens.py</w:t>
      </w:r>
    </w:p>
    <w:p w14:paraId="49F23C70"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57D5C"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3.  Run unit tests</w:t>
      </w:r>
    </w:p>
    <w:p w14:paraId="06A7291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PYTHONPATH=. python tests/test_losses.py</w:t>
      </w:r>
    </w:p>
    <w:p w14:paraId="55E0E638"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ECE463"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4.  Train (default SL@K)</w:t>
      </w:r>
    </w:p>
    <w:p w14:paraId="2E026EF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PYTHONPATH=. python train.py --config cfgs/default.yaml</w:t>
      </w:r>
    </w:p>
    <w:p w14:paraId="2E682B76"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Configuration fields (cfgs/default.yaml):</w:t>
      </w:r>
    </w:p>
    <w:p w14:paraId="6D582202"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train:</w:t>
      </w:r>
    </w:p>
    <w:p w14:paraId="691DA641"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loss: slatk        # bpr | sl | slatk</w:t>
      </w:r>
    </w:p>
    <w:p w14:paraId="317FEB4C"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loss_params:</w:t>
      </w:r>
    </w:p>
    <w:p w14:paraId="13729AB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topk: 10</w:t>
      </w:r>
    </w:p>
    <w:p w14:paraId="2EA69C6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tau_d: 0.5</w:t>
      </w:r>
    </w:p>
    <w:p w14:paraId="48CBC6AE"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tau_w: 0.5</w:t>
      </w:r>
    </w:p>
    <w:p w14:paraId="4C91ED2F"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num_negatives: 200</w:t>
      </w:r>
    </w:p>
    <w:p w14:paraId="1544F41A" w14:textId="4494115C" w:rsidR="001224BB" w:rsidRPr="001224BB" w:rsidRDefault="001224BB" w:rsidP="001224BB">
      <w:pPr>
        <w:spacing w:after="0" w:line="240" w:lineRule="auto"/>
        <w:rPr>
          <w:rFonts w:ascii="Times New Roman" w:eastAsia="Times New Roman" w:hAnsi="Times New Roman" w:cs="Times New Roman"/>
          <w:kern w:val="0"/>
          <w14:ligatures w14:val="none"/>
        </w:rPr>
      </w:pPr>
    </w:p>
    <w:p w14:paraId="11553CA0"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7  Engineering Notes and Extensibility</w:t>
      </w:r>
    </w:p>
    <w:p w14:paraId="0E037BED" w14:textId="77777777" w:rsidR="001224BB" w:rsidRPr="001224BB" w:rsidRDefault="001224BB" w:rsidP="00122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Unified interfaces</w:t>
      </w:r>
      <w:r w:rsidRPr="001224BB">
        <w:rPr>
          <w:rFonts w:ascii="Times New Roman" w:eastAsia="Times New Roman" w:hAnsi="Times New Roman" w:cs="Times New Roman"/>
          <w:kern w:val="0"/>
          <w14:ligatures w14:val="none"/>
        </w:rPr>
        <w:t xml:space="preserve"> allow plug-and-play replacement of models and losses.</w:t>
      </w:r>
    </w:p>
    <w:p w14:paraId="36B5F69C" w14:textId="77777777" w:rsidR="001224BB" w:rsidRPr="001224BB" w:rsidRDefault="001224BB" w:rsidP="00122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Separation of training and evaluation</w:t>
      </w:r>
      <w:r w:rsidRPr="001224BB">
        <w:rPr>
          <w:rFonts w:ascii="Times New Roman" w:eastAsia="Times New Roman" w:hAnsi="Times New Roman" w:cs="Times New Roman"/>
          <w:kern w:val="0"/>
          <w14:ligatures w14:val="none"/>
        </w:rPr>
        <w:t xml:space="preserve"> balances efficiency and fidelity.</w:t>
      </w:r>
    </w:p>
    <w:p w14:paraId="7DC28B65" w14:textId="77777777" w:rsidR="001224BB" w:rsidRPr="001224BB" w:rsidRDefault="001224BB" w:rsidP="00122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Future extensions:</w:t>
      </w:r>
    </w:p>
    <w:p w14:paraId="2B6AA1E5"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integrate LightGCN / XSimGCL;</w:t>
      </w:r>
    </w:p>
    <w:p w14:paraId="34D19FF0"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implement adaptive or hard-negative sampling;</w:t>
      </w:r>
    </w:p>
    <w:p w14:paraId="68F19A8B"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scale to large datasets (Health, Electronic, Gowalla, Book);</w:t>
      </w:r>
    </w:p>
    <w:p w14:paraId="17C2B6F7"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add mixed-precision or distributed training.</w:t>
      </w:r>
    </w:p>
    <w:p w14:paraId="23F1EDDC" w14:textId="7F6ADE7E" w:rsidR="001224BB" w:rsidRPr="001224BB" w:rsidRDefault="001224BB" w:rsidP="001224BB">
      <w:pPr>
        <w:spacing w:after="0" w:line="240" w:lineRule="auto"/>
        <w:rPr>
          <w:rFonts w:ascii="Times New Roman" w:eastAsia="Times New Roman" w:hAnsi="Times New Roman" w:cs="Times New Roman"/>
          <w:kern w:val="0"/>
          <w14:ligatures w14:val="none"/>
        </w:rPr>
      </w:pPr>
    </w:p>
    <w:p w14:paraId="133ED961"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8  Limitations and Discussion</w:t>
      </w:r>
    </w:p>
    <w:p w14:paraId="6D262A83"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Scale limitation:</w:t>
      </w:r>
      <w:r w:rsidRPr="001224BB">
        <w:rPr>
          <w:rFonts w:ascii="Times New Roman" w:eastAsia="Times New Roman" w:hAnsi="Times New Roman" w:cs="Times New Roman"/>
          <w:kern w:val="0"/>
          <w14:ligatures w14:val="none"/>
        </w:rPr>
        <w:t xml:space="preserve"> current demo uses MF backbone and small epochs; metrics are illustrative.</w:t>
      </w:r>
    </w:p>
    <w:p w14:paraId="6C39E058"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Sampling sensitivity:</w:t>
      </w:r>
      <w:r w:rsidRPr="001224BB">
        <w:rPr>
          <w:rFonts w:ascii="Times New Roman" w:eastAsia="Times New Roman" w:hAnsi="Times New Roman" w:cs="Times New Roman"/>
          <w:kern w:val="0"/>
          <w14:ligatures w14:val="none"/>
        </w:rPr>
        <w:t xml:space="preserve"> Monte-Carlo βᵤᴷ estimation depends on negative-sample size.</w:t>
      </w:r>
    </w:p>
    <w:p w14:paraId="03607A72"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Simplified pipeline:</w:t>
      </w:r>
      <w:r w:rsidRPr="001224BB">
        <w:rPr>
          <w:rFonts w:ascii="Times New Roman" w:eastAsia="Times New Roman" w:hAnsi="Times New Roman" w:cs="Times New Roman"/>
          <w:kern w:val="0"/>
          <w14:ligatures w14:val="none"/>
        </w:rPr>
        <w:t xml:space="preserve"> no advanced positive sampling or de-duplication.</w:t>
      </w:r>
    </w:p>
    <w:p w14:paraId="27461F3D"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Scope:</w:t>
      </w:r>
      <w:r w:rsidRPr="001224BB">
        <w:rPr>
          <w:rFonts w:ascii="Times New Roman" w:eastAsia="Times New Roman" w:hAnsi="Times New Roman" w:cs="Times New Roman"/>
          <w:kern w:val="0"/>
          <w14:ligatures w14:val="none"/>
        </w:rPr>
        <w:t xml:space="preserve"> focuses on core loss reproduction, not full large-scale replication of KDD experiments.</w:t>
      </w:r>
    </w:p>
    <w:p w14:paraId="4829270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DC9FB8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Despite these constraints, the system faithfully demonstrates the mechanism and trend claimed by the original study.</w:t>
      </w:r>
    </w:p>
    <w:p w14:paraId="78C40DD0" w14:textId="41E69371" w:rsidR="001224BB" w:rsidRPr="001224BB" w:rsidRDefault="001224BB" w:rsidP="001224BB">
      <w:pPr>
        <w:spacing w:after="0" w:line="240" w:lineRule="auto"/>
        <w:rPr>
          <w:rFonts w:ascii="Times New Roman" w:eastAsia="Times New Roman" w:hAnsi="Times New Roman" w:cs="Times New Roman"/>
          <w:kern w:val="0"/>
          <w14:ligatures w14:val="none"/>
        </w:rPr>
      </w:pPr>
    </w:p>
    <w:p w14:paraId="1452CA3E"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9  Conclusion</w:t>
      </w:r>
    </w:p>
    <w:p w14:paraId="472572B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2AF515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We built an independent, minimal, and fully reproducible PyTorch implementation of </w:t>
      </w:r>
      <w:r w:rsidRPr="001224BB">
        <w:rPr>
          <w:rFonts w:ascii="Times New Roman" w:eastAsia="Times New Roman" w:hAnsi="Times New Roman" w:cs="Times New Roman"/>
          <w:b/>
          <w:bCs/>
          <w:kern w:val="0"/>
          <w14:ligatures w14:val="none"/>
        </w:rPr>
        <w:t>SoftmaxLoss@K</w:t>
      </w:r>
      <w:r w:rsidRPr="001224BB">
        <w:rPr>
          <w:rFonts w:ascii="Times New Roman" w:eastAsia="Times New Roman" w:hAnsi="Times New Roman" w:cs="Times New Roman"/>
          <w:kern w:val="0"/>
          <w14:ligatures w14:val="none"/>
        </w:rPr>
        <w:t>, validating its effectiveness for Top-K metric optimization in recommender systems.</w:t>
      </w:r>
    </w:p>
    <w:p w14:paraId="1AD0558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Through synthetic and MovieLens experiments, SL@K consistently outperformed classical BPR and Softmax losses in NDCG@K and Recall@K, while maintaining comparable efficiency.</w:t>
      </w:r>
    </w:p>
    <w:p w14:paraId="456E6E4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project provides a clean educational reference for metric-aware loss design and lays a foundation for future extensions toward larger models and datasets.</w:t>
      </w:r>
    </w:p>
    <w:p w14:paraId="388A17F3" w14:textId="45B31FB5" w:rsidR="001224BB" w:rsidRPr="001224BB" w:rsidRDefault="001224BB" w:rsidP="001224BB">
      <w:pPr>
        <w:spacing w:after="0" w:line="240" w:lineRule="auto"/>
        <w:rPr>
          <w:rFonts w:ascii="Times New Roman" w:eastAsia="Times New Roman" w:hAnsi="Times New Roman" w:cs="Times New Roman"/>
          <w:kern w:val="0"/>
          <w14:ligatures w14:val="none"/>
        </w:rPr>
      </w:pPr>
    </w:p>
    <w:p w14:paraId="24C5A3EA" w14:textId="77777777" w:rsid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10  Individual Contributions (Excluded from word count)</w:t>
      </w:r>
    </w:p>
    <w:p w14:paraId="4C6224B2" w14:textId="77777777" w:rsidR="007D5306" w:rsidRPr="001224BB" w:rsidRDefault="007D5306"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tbl>
      <w:tblPr>
        <w:tblStyle w:val="GridTable1Light"/>
        <w:tblW w:w="9129" w:type="dxa"/>
        <w:tblLook w:val="04A0" w:firstRow="1" w:lastRow="0" w:firstColumn="1" w:lastColumn="0" w:noHBand="0" w:noVBand="1"/>
      </w:tblPr>
      <w:tblGrid>
        <w:gridCol w:w="1858"/>
        <w:gridCol w:w="7271"/>
      </w:tblGrid>
      <w:tr w:rsidR="001224BB" w:rsidRPr="001224BB" w14:paraId="5326D42A" w14:textId="77777777" w:rsidTr="00B41FDB">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58" w:type="dxa"/>
            <w:hideMark/>
          </w:tcPr>
          <w:p w14:paraId="4D2E0B4B" w14:textId="77777777" w:rsidR="001224BB" w:rsidRPr="001224BB" w:rsidRDefault="001224BB" w:rsidP="001224BB">
            <w:pPr>
              <w:spacing w:before="100" w:beforeAutospacing="1" w:after="100" w:afterAutospacing="1"/>
              <w:jc w:val="center"/>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Member</w:t>
            </w:r>
          </w:p>
        </w:tc>
        <w:tc>
          <w:tcPr>
            <w:tcW w:w="0" w:type="auto"/>
            <w:hideMark/>
          </w:tcPr>
          <w:p w14:paraId="7A741A6D" w14:textId="77777777" w:rsidR="001224BB" w:rsidRPr="001224BB" w:rsidRDefault="001224BB" w:rsidP="001224B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Contribution Summary</w:t>
            </w:r>
          </w:p>
        </w:tc>
      </w:tr>
      <w:tr w:rsidR="001224BB" w:rsidRPr="001224BB" w14:paraId="2C2DFC10"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13A61FCF"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AN Jiayu</w:t>
            </w:r>
          </w:p>
        </w:tc>
        <w:tc>
          <w:tcPr>
            <w:tcW w:w="0" w:type="auto"/>
            <w:hideMark/>
          </w:tcPr>
          <w:p w14:paraId="671F05CA" w14:textId="692E7A25" w:rsidR="001224BB" w:rsidRPr="001224BB" w:rsidRDefault="00D13C6D"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imSun" w:eastAsia="SimSun" w:hAnsi="SimSun" w:cs="SimSun"/>
                <w:kern w:val="0"/>
                <w14:ligatures w14:val="none"/>
              </w:rPr>
            </w:pPr>
            <w:r>
              <w:rPr>
                <w:rFonts w:ascii="Times New Roman" w:eastAsia="Times New Roman" w:hAnsi="Times New Roman" w:cs="Times New Roman"/>
                <w:kern w:val="0"/>
                <w14:ligatures w14:val="none"/>
              </w:rPr>
              <w:t>P</w:t>
            </w:r>
            <w:r>
              <w:rPr>
                <w:rFonts w:ascii="Times New Roman" w:eastAsia="Times New Roman" w:hAnsi="Times New Roman" w:cs="Times New Roman" w:hint="eastAsia"/>
                <w:kern w:val="0"/>
                <w14:ligatures w14:val="none"/>
              </w:rPr>
              <w:t>roposal</w:t>
            </w:r>
            <w:r>
              <w:rPr>
                <w:rFonts w:ascii="Times New Roman" w:eastAsia="Times New Roman" w:hAnsi="Times New Roman" w:cs="Times New Roman"/>
                <w:kern w:val="0"/>
                <w14:ligatures w14:val="none"/>
              </w:rPr>
              <w:t>, losses</w:t>
            </w:r>
          </w:p>
        </w:tc>
      </w:tr>
      <w:tr w:rsidR="001224BB" w:rsidRPr="001224BB" w14:paraId="4AD3F4D3"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7B2BB7F1"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CAO Lunxi</w:t>
            </w:r>
          </w:p>
        </w:tc>
        <w:tc>
          <w:tcPr>
            <w:tcW w:w="0" w:type="auto"/>
            <w:hideMark/>
          </w:tcPr>
          <w:p w14:paraId="573C995A" w14:textId="4EFBA1BB" w:rsidR="001224BB" w:rsidRPr="001224BB" w:rsidRDefault="00D13C6D"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r>
      <w:tr w:rsidR="001224BB" w:rsidRPr="001224BB" w14:paraId="0335B66C"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40642868"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CHAU Yu Foon Darin</w:t>
            </w:r>
          </w:p>
        </w:tc>
        <w:tc>
          <w:tcPr>
            <w:tcW w:w="0" w:type="auto"/>
            <w:hideMark/>
          </w:tcPr>
          <w:p w14:paraId="5D6EEAE2" w14:textId="366D1913" w:rsidR="001224BB" w:rsidRPr="001224BB" w:rsidRDefault="00665AF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00D13C6D">
              <w:rPr>
                <w:rFonts w:ascii="Times New Roman" w:eastAsia="Times New Roman" w:hAnsi="Times New Roman" w:cs="Times New Roman"/>
                <w:kern w:val="0"/>
                <w14:ligatures w14:val="none"/>
              </w:rPr>
              <w:t>etrics</w:t>
            </w:r>
            <w:r>
              <w:rPr>
                <w:rFonts w:ascii="Times New Roman" w:eastAsia="Times New Roman" w:hAnsi="Times New Roman" w:cs="Times New Roman"/>
                <w:kern w:val="0"/>
                <w14:ligatures w14:val="none"/>
              </w:rPr>
              <w:t>, final report</w:t>
            </w:r>
          </w:p>
        </w:tc>
      </w:tr>
      <w:tr w:rsidR="001224BB" w:rsidRPr="001224BB" w14:paraId="521E82C8"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3EA40A4D"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LI Jiaxiu</w:t>
            </w:r>
          </w:p>
        </w:tc>
        <w:tc>
          <w:tcPr>
            <w:tcW w:w="0" w:type="auto"/>
            <w:hideMark/>
          </w:tcPr>
          <w:p w14:paraId="362C073D" w14:textId="6990B553" w:rsidR="001224BB" w:rsidRPr="001224BB" w:rsidRDefault="00D13C6D"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Dataset, </w:t>
            </w:r>
          </w:p>
        </w:tc>
      </w:tr>
      <w:tr w:rsidR="001224BB" w:rsidRPr="001224BB" w14:paraId="250FE7C6" w14:textId="77777777" w:rsidTr="00B41FDB">
        <w:trPr>
          <w:trHeight w:val="1034"/>
        </w:trPr>
        <w:tc>
          <w:tcPr>
            <w:cnfStyle w:val="001000000000" w:firstRow="0" w:lastRow="0" w:firstColumn="1" w:lastColumn="0" w:oddVBand="0" w:evenVBand="0" w:oddHBand="0" w:evenHBand="0" w:firstRowFirstColumn="0" w:firstRowLastColumn="0" w:lastRowFirstColumn="0" w:lastRowLastColumn="0"/>
            <w:tcW w:w="1858" w:type="dxa"/>
            <w:hideMark/>
          </w:tcPr>
          <w:p w14:paraId="778C0167"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YOU Hanzhi</w:t>
            </w:r>
          </w:p>
        </w:tc>
        <w:tc>
          <w:tcPr>
            <w:tcW w:w="0" w:type="auto"/>
            <w:hideMark/>
          </w:tcPr>
          <w:p w14:paraId="511EC8F3" w14:textId="397CBAB4" w:rsidR="001224BB" w:rsidRPr="001224BB" w:rsidRDefault="00D13C6D"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report, losses</w:t>
            </w:r>
          </w:p>
        </w:tc>
      </w:tr>
    </w:tbl>
    <w:p w14:paraId="6E3B5412" w14:textId="3F89DC04" w:rsidR="001224BB" w:rsidRPr="001224BB" w:rsidRDefault="001224BB" w:rsidP="001224BB">
      <w:pPr>
        <w:spacing w:after="0" w:line="240" w:lineRule="auto"/>
        <w:rPr>
          <w:rFonts w:ascii="Times New Roman" w:eastAsia="Times New Roman" w:hAnsi="Times New Roman" w:cs="Times New Roman"/>
          <w:kern w:val="0"/>
          <w14:ligatures w14:val="none"/>
        </w:rPr>
      </w:pPr>
    </w:p>
    <w:p w14:paraId="751518C4"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24BB">
        <w:rPr>
          <w:rFonts w:ascii="Times New Roman" w:eastAsia="Times New Roman" w:hAnsi="Times New Roman" w:cs="Times New Roman"/>
          <w:b/>
          <w:bCs/>
          <w:kern w:val="0"/>
          <w:sz w:val="36"/>
          <w:szCs w:val="36"/>
          <w14:ligatures w14:val="none"/>
        </w:rPr>
        <w:t>11  References</w:t>
      </w:r>
    </w:p>
    <w:p w14:paraId="45641C80"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Yang W. et al.</w:t>
      </w:r>
      <w:r w:rsidRPr="001224BB">
        <w:rPr>
          <w:rFonts w:ascii="Times New Roman" w:eastAsia="Times New Roman" w:hAnsi="Times New Roman" w:cs="Times New Roman"/>
          <w:kern w:val="0"/>
          <w14:ligatures w14:val="none"/>
        </w:rPr>
        <w:t xml:space="preserve"> (2025). </w:t>
      </w:r>
      <w:r w:rsidRPr="001224BB">
        <w:rPr>
          <w:rFonts w:ascii="Times New Roman" w:eastAsia="Times New Roman" w:hAnsi="Times New Roman" w:cs="Times New Roman"/>
          <w:i/>
          <w:iCs/>
          <w:kern w:val="0"/>
          <w14:ligatures w14:val="none"/>
        </w:rPr>
        <w:t>Breaking the Top-K Barrier: Advancing Top-K Ranking Metrics Optimization in Recommender Systems.</w:t>
      </w:r>
      <w:r w:rsidRPr="001224BB">
        <w:rPr>
          <w:rFonts w:ascii="Times New Roman" w:eastAsia="Times New Roman" w:hAnsi="Times New Roman" w:cs="Times New Roman"/>
          <w:kern w:val="0"/>
          <w14:ligatures w14:val="none"/>
        </w:rPr>
        <w:t xml:space="preserve"> KDD ’25.</w:t>
      </w:r>
    </w:p>
    <w:p w14:paraId="2CA639BC"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Wu J. et al.</w:t>
      </w:r>
      <w:r w:rsidRPr="001224BB">
        <w:rPr>
          <w:rFonts w:ascii="Times New Roman" w:eastAsia="Times New Roman" w:hAnsi="Times New Roman" w:cs="Times New Roman"/>
          <w:kern w:val="0"/>
          <w14:ligatures w14:val="none"/>
        </w:rPr>
        <w:t xml:space="preserve"> (2024). </w:t>
      </w:r>
      <w:r w:rsidRPr="001224BB">
        <w:rPr>
          <w:rFonts w:ascii="Times New Roman" w:eastAsia="Times New Roman" w:hAnsi="Times New Roman" w:cs="Times New Roman"/>
          <w:i/>
          <w:iCs/>
          <w:kern w:val="0"/>
          <w14:ligatures w14:val="none"/>
        </w:rPr>
        <w:t>BSL: Understanding and Improving Softmax Loss for Recommendation.</w:t>
      </w:r>
      <w:r w:rsidRPr="001224BB">
        <w:rPr>
          <w:rFonts w:ascii="Times New Roman" w:eastAsia="Times New Roman" w:hAnsi="Times New Roman" w:cs="Times New Roman"/>
          <w:kern w:val="0"/>
          <w14:ligatures w14:val="none"/>
        </w:rPr>
        <w:t xml:space="preserve"> IEEE ICDE.</w:t>
      </w:r>
    </w:p>
    <w:p w14:paraId="0001B5F8"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Rendle S. et al.</w:t>
      </w:r>
      <w:r w:rsidRPr="001224BB">
        <w:rPr>
          <w:rFonts w:ascii="Times New Roman" w:eastAsia="Times New Roman" w:hAnsi="Times New Roman" w:cs="Times New Roman"/>
          <w:kern w:val="0"/>
          <w14:ligatures w14:val="none"/>
        </w:rPr>
        <w:t xml:space="preserve"> (2009). </w:t>
      </w:r>
      <w:r w:rsidRPr="001224BB">
        <w:rPr>
          <w:rFonts w:ascii="Times New Roman" w:eastAsia="Times New Roman" w:hAnsi="Times New Roman" w:cs="Times New Roman"/>
          <w:i/>
          <w:iCs/>
          <w:kern w:val="0"/>
          <w14:ligatures w14:val="none"/>
        </w:rPr>
        <w:t>BPR: Bayesian Personalized Ranking from Implicit Feedback.</w:t>
      </w:r>
      <w:r w:rsidRPr="001224BB">
        <w:rPr>
          <w:rFonts w:ascii="Times New Roman" w:eastAsia="Times New Roman" w:hAnsi="Times New Roman" w:cs="Times New Roman"/>
          <w:kern w:val="0"/>
          <w14:ligatures w14:val="none"/>
        </w:rPr>
        <w:t xml:space="preserve"> UAI.</w:t>
      </w:r>
    </w:p>
    <w:p w14:paraId="5CAEA84F"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Bruch S. et al.</w:t>
      </w:r>
      <w:r w:rsidRPr="001224BB">
        <w:rPr>
          <w:rFonts w:ascii="Times New Roman" w:eastAsia="Times New Roman" w:hAnsi="Times New Roman" w:cs="Times New Roman"/>
          <w:kern w:val="0"/>
          <w14:ligatures w14:val="none"/>
        </w:rPr>
        <w:t xml:space="preserve"> (2019). </w:t>
      </w:r>
      <w:r w:rsidRPr="001224BB">
        <w:rPr>
          <w:rFonts w:ascii="Times New Roman" w:eastAsia="Times New Roman" w:hAnsi="Times New Roman" w:cs="Times New Roman"/>
          <w:i/>
          <w:iCs/>
          <w:kern w:val="0"/>
          <w14:ligatures w14:val="none"/>
        </w:rPr>
        <w:t>An Analysis of the Softmax Cross-Entropy Loss for Learning-to-Rank with Binary Relevance.</w:t>
      </w:r>
      <w:r w:rsidRPr="001224BB">
        <w:rPr>
          <w:rFonts w:ascii="Times New Roman" w:eastAsia="Times New Roman" w:hAnsi="Times New Roman" w:cs="Times New Roman"/>
          <w:kern w:val="0"/>
          <w14:ligatures w14:val="none"/>
        </w:rPr>
        <w:t xml:space="preserve"> SIGIR ICTIR.</w:t>
      </w:r>
    </w:p>
    <w:p w14:paraId="783C9184" w14:textId="34E0E9A5"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Jagerman R. et al.</w:t>
      </w:r>
      <w:r w:rsidRPr="001224BB">
        <w:rPr>
          <w:rFonts w:ascii="Times New Roman" w:eastAsia="Times New Roman" w:hAnsi="Times New Roman" w:cs="Times New Roman"/>
          <w:kern w:val="0"/>
          <w14:ligatures w14:val="none"/>
        </w:rPr>
        <w:t xml:space="preserve"> (2022). </w:t>
      </w:r>
      <w:r w:rsidRPr="001224BB">
        <w:rPr>
          <w:rFonts w:ascii="Times New Roman" w:eastAsia="Times New Roman" w:hAnsi="Times New Roman" w:cs="Times New Roman"/>
          <w:i/>
          <w:iCs/>
          <w:kern w:val="0"/>
          <w14:ligatures w14:val="none"/>
        </w:rPr>
        <w:t>On Optimizing Top-K Metrics for Neural Ranking Models.</w:t>
      </w:r>
      <w:r w:rsidRPr="001224BB">
        <w:rPr>
          <w:rFonts w:ascii="Times New Roman" w:eastAsia="Times New Roman" w:hAnsi="Times New Roman" w:cs="Times New Roman"/>
          <w:kern w:val="0"/>
          <w14:ligatures w14:val="none"/>
        </w:rPr>
        <w:t xml:space="preserve"> SIGIR.</w:t>
      </w:r>
    </w:p>
    <w:sectPr w:rsidR="001224BB" w:rsidRPr="00122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A89"/>
    <w:multiLevelType w:val="multilevel"/>
    <w:tmpl w:val="9904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6FD2"/>
    <w:multiLevelType w:val="multilevel"/>
    <w:tmpl w:val="184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37AF6"/>
    <w:multiLevelType w:val="multilevel"/>
    <w:tmpl w:val="1504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A65EA"/>
    <w:multiLevelType w:val="multilevel"/>
    <w:tmpl w:val="F3A0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537E7E"/>
    <w:multiLevelType w:val="multilevel"/>
    <w:tmpl w:val="D62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C631E"/>
    <w:multiLevelType w:val="multilevel"/>
    <w:tmpl w:val="879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F7FBD"/>
    <w:multiLevelType w:val="multilevel"/>
    <w:tmpl w:val="8B7A2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62215"/>
    <w:multiLevelType w:val="multilevel"/>
    <w:tmpl w:val="7FB6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506686">
    <w:abstractNumId w:val="3"/>
  </w:num>
  <w:num w:numId="2" w16cid:durableId="1185291373">
    <w:abstractNumId w:val="1"/>
  </w:num>
  <w:num w:numId="3" w16cid:durableId="1923024292">
    <w:abstractNumId w:val="5"/>
  </w:num>
  <w:num w:numId="4" w16cid:durableId="1181772615">
    <w:abstractNumId w:val="0"/>
  </w:num>
  <w:num w:numId="5" w16cid:durableId="66001477">
    <w:abstractNumId w:val="4"/>
  </w:num>
  <w:num w:numId="6" w16cid:durableId="1520241151">
    <w:abstractNumId w:val="6"/>
  </w:num>
  <w:num w:numId="7" w16cid:durableId="395051099">
    <w:abstractNumId w:val="2"/>
  </w:num>
  <w:num w:numId="8" w16cid:durableId="604849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BB"/>
    <w:rsid w:val="000143D3"/>
    <w:rsid w:val="000463F6"/>
    <w:rsid w:val="000D51E8"/>
    <w:rsid w:val="000E0314"/>
    <w:rsid w:val="001224BB"/>
    <w:rsid w:val="001258F6"/>
    <w:rsid w:val="0013244E"/>
    <w:rsid w:val="001561E8"/>
    <w:rsid w:val="00430FB5"/>
    <w:rsid w:val="00530B7E"/>
    <w:rsid w:val="005424A2"/>
    <w:rsid w:val="005607FF"/>
    <w:rsid w:val="005E1922"/>
    <w:rsid w:val="0064489A"/>
    <w:rsid w:val="00665AFB"/>
    <w:rsid w:val="006F00CB"/>
    <w:rsid w:val="00762615"/>
    <w:rsid w:val="00780784"/>
    <w:rsid w:val="00791CB8"/>
    <w:rsid w:val="007D5306"/>
    <w:rsid w:val="0081674B"/>
    <w:rsid w:val="009028EE"/>
    <w:rsid w:val="00964EF5"/>
    <w:rsid w:val="00A24F3E"/>
    <w:rsid w:val="00A6580C"/>
    <w:rsid w:val="00B41FDB"/>
    <w:rsid w:val="00B92DF8"/>
    <w:rsid w:val="00BA0549"/>
    <w:rsid w:val="00BC081B"/>
    <w:rsid w:val="00CD15AC"/>
    <w:rsid w:val="00CD79E3"/>
    <w:rsid w:val="00D13C6D"/>
    <w:rsid w:val="00D90E50"/>
    <w:rsid w:val="00DD68DC"/>
    <w:rsid w:val="00DE5F95"/>
    <w:rsid w:val="00EC0166"/>
    <w:rsid w:val="00F66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68D48"/>
  <w15:chartTrackingRefBased/>
  <w15:docId w15:val="{409781B5-3BEE-FB45-9B7E-3C401245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2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2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2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4BB"/>
    <w:rPr>
      <w:rFonts w:eastAsiaTheme="majorEastAsia" w:cstheme="majorBidi"/>
      <w:color w:val="272727" w:themeColor="text1" w:themeTint="D8"/>
    </w:rPr>
  </w:style>
  <w:style w:type="paragraph" w:styleId="Title">
    <w:name w:val="Title"/>
    <w:basedOn w:val="Normal"/>
    <w:next w:val="Normal"/>
    <w:link w:val="TitleChar"/>
    <w:uiPriority w:val="10"/>
    <w:qFormat/>
    <w:rsid w:val="00122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4BB"/>
    <w:pPr>
      <w:spacing w:before="160"/>
      <w:jc w:val="center"/>
    </w:pPr>
    <w:rPr>
      <w:i/>
      <w:iCs/>
      <w:color w:val="404040" w:themeColor="text1" w:themeTint="BF"/>
    </w:rPr>
  </w:style>
  <w:style w:type="character" w:customStyle="1" w:styleId="QuoteChar">
    <w:name w:val="Quote Char"/>
    <w:basedOn w:val="DefaultParagraphFont"/>
    <w:link w:val="Quote"/>
    <w:uiPriority w:val="29"/>
    <w:rsid w:val="001224BB"/>
    <w:rPr>
      <w:i/>
      <w:iCs/>
      <w:color w:val="404040" w:themeColor="text1" w:themeTint="BF"/>
    </w:rPr>
  </w:style>
  <w:style w:type="paragraph" w:styleId="ListParagraph">
    <w:name w:val="List Paragraph"/>
    <w:basedOn w:val="Normal"/>
    <w:uiPriority w:val="34"/>
    <w:qFormat/>
    <w:rsid w:val="001224BB"/>
    <w:pPr>
      <w:ind w:left="720"/>
      <w:contextualSpacing/>
    </w:pPr>
  </w:style>
  <w:style w:type="character" w:styleId="IntenseEmphasis">
    <w:name w:val="Intense Emphasis"/>
    <w:basedOn w:val="DefaultParagraphFont"/>
    <w:uiPriority w:val="21"/>
    <w:qFormat/>
    <w:rsid w:val="001224BB"/>
    <w:rPr>
      <w:i/>
      <w:iCs/>
      <w:color w:val="0F4761" w:themeColor="accent1" w:themeShade="BF"/>
    </w:rPr>
  </w:style>
  <w:style w:type="paragraph" w:styleId="IntenseQuote">
    <w:name w:val="Intense Quote"/>
    <w:basedOn w:val="Normal"/>
    <w:next w:val="Normal"/>
    <w:link w:val="IntenseQuoteChar"/>
    <w:uiPriority w:val="30"/>
    <w:qFormat/>
    <w:rsid w:val="00122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4BB"/>
    <w:rPr>
      <w:i/>
      <w:iCs/>
      <w:color w:val="0F4761" w:themeColor="accent1" w:themeShade="BF"/>
    </w:rPr>
  </w:style>
  <w:style w:type="character" w:styleId="IntenseReference">
    <w:name w:val="Intense Reference"/>
    <w:basedOn w:val="DefaultParagraphFont"/>
    <w:uiPriority w:val="32"/>
    <w:qFormat/>
    <w:rsid w:val="001224BB"/>
    <w:rPr>
      <w:b/>
      <w:bCs/>
      <w:smallCaps/>
      <w:color w:val="0F4761" w:themeColor="accent1" w:themeShade="BF"/>
      <w:spacing w:val="5"/>
    </w:rPr>
  </w:style>
  <w:style w:type="paragraph" w:customStyle="1" w:styleId="p1">
    <w:name w:val="p1"/>
    <w:basedOn w:val="Normal"/>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224BB"/>
  </w:style>
  <w:style w:type="paragraph" w:customStyle="1" w:styleId="p2">
    <w:name w:val="p2"/>
    <w:basedOn w:val="Normal"/>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224BB"/>
  </w:style>
  <w:style w:type="paragraph" w:customStyle="1" w:styleId="p3">
    <w:name w:val="p3"/>
    <w:basedOn w:val="Normal"/>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224BB"/>
  </w:style>
  <w:style w:type="character" w:customStyle="1" w:styleId="s3">
    <w:name w:val="s3"/>
    <w:basedOn w:val="DefaultParagraphFont"/>
    <w:rsid w:val="001224BB"/>
  </w:style>
  <w:style w:type="paragraph" w:styleId="HTMLPreformatted">
    <w:name w:val="HTML Preformatted"/>
    <w:basedOn w:val="Normal"/>
    <w:link w:val="HTMLPreformattedChar"/>
    <w:uiPriority w:val="99"/>
    <w:semiHidden/>
    <w:unhideWhenUsed/>
    <w:rsid w:val="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24B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224BB"/>
    <w:rPr>
      <w:rFonts w:ascii="Courier New" w:eastAsia="Times New Roman" w:hAnsi="Courier New" w:cs="Courier New"/>
      <w:sz w:val="20"/>
      <w:szCs w:val="20"/>
    </w:rPr>
  </w:style>
  <w:style w:type="table" w:styleId="TableGrid">
    <w:name w:val="Table Grid"/>
    <w:basedOn w:val="TableNormal"/>
    <w:uiPriority w:val="39"/>
    <w:rsid w:val="00DD6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D68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81674B"/>
    <w:pPr>
      <w:spacing w:after="0"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EC0166"/>
    <w:rPr>
      <w:color w:val="666666"/>
    </w:rPr>
  </w:style>
  <w:style w:type="paragraph" w:styleId="NormalWeb">
    <w:name w:val="Normal (Web)"/>
    <w:basedOn w:val="Normal"/>
    <w:uiPriority w:val="99"/>
    <w:semiHidden/>
    <w:unhideWhenUsed/>
    <w:rsid w:val="00BC08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479CA9-4366-5C47-A1D7-C2C97F016076}">
  <we:reference id="wa104381909" version="3.19.0.0" store="en-US" storeType="OMEX"/>
  <we:alternateReferences>
    <we:reference id="wa104381909" version="3.19.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214</TotalTime>
  <Pages>11</Pages>
  <Words>2072</Words>
  <Characters>12934</Characters>
  <Application>Microsoft Office Word</Application>
  <DocSecurity>0</DocSecurity>
  <Lines>417</Lines>
  <Paragraphs>250</Paragraphs>
  <ScaleCrop>false</ScaleCrop>
  <HeadingPairs>
    <vt:vector size="2" baseType="variant">
      <vt:variant>
        <vt:lpstr>Title</vt:lpstr>
      </vt:variant>
      <vt:variant>
        <vt:i4>1</vt:i4>
      </vt:variant>
    </vt:vector>
  </HeadingPairs>
  <TitlesOfParts>
    <vt:vector size="1" baseType="lpstr">
      <vt:lpstr/>
    </vt:vector>
  </TitlesOfParts>
  <Company>HKUST</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Hanz U</dc:creator>
  <cp:keywords/>
  <dc:description/>
  <cp:lastModifiedBy>CHAU Yu Foon Darin</cp:lastModifiedBy>
  <cp:revision>24</cp:revision>
  <dcterms:created xsi:type="dcterms:W3CDTF">2025-11-11T09:02:00Z</dcterms:created>
  <dcterms:modified xsi:type="dcterms:W3CDTF">2025-11-11T18:20:00Z</dcterms:modified>
</cp:coreProperties>
</file>