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exact"/>
        <w:jc w:val="left"/>
      </w:pPr>
    </w:p>
    <w:p>
      <w:pPr>
        <w:spacing w:before="0" w:after="0" w:line="240" w:lineRule="exact"/>
        <w:jc w:val="left"/>
      </w:pPr>
    </w:p>
    <w:p>
      <w:pPr>
        <w:spacing w:before="0" w:after="0" w:line="240" w:lineRule="exact"/>
        <w:jc w:val="left"/>
      </w:pPr>
    </w:p>
    <w:p>
      <w:pPr>
        <w:spacing w:before="0" w:after="0" w:line="240" w:lineRule="exact"/>
        <w:jc w:val="left"/>
      </w:pPr>
    </w:p>
    <w:p>
      <w:pPr>
        <w:spacing w:before="0" w:after="0" w:line="480" w:lineRule="auto"/>
        <w:jc w:val="center"/>
      </w:pPr>
      <w:r>
        <w:rPr>
          <w:rFonts w:ascii="Times New Roman" w:hAnsi="Times New Roman"/>
          <w:b w:val="0"/>
          <w:i w:val="0"/>
          <w:sz w:val="24"/>
        </w:rPr>
        <w:t>Ucompensar</w:t>
      </w:r>
    </w:p>
    <w:p>
      <w:pPr>
        <w:spacing w:before="0" w:after="0" w:line="480" w:lineRule="auto"/>
        <w:jc w:val="center"/>
      </w:pPr>
      <w:r>
        <w:rPr>
          <w:rFonts w:ascii="Times New Roman" w:hAnsi="Times New Roman"/>
          <w:b w:val="0"/>
          <w:i w:val="0"/>
          <w:sz w:val="24"/>
        </w:rPr>
        <w:t>Facultad de Ingeniería</w:t>
      </w:r>
    </w:p>
    <w:p>
      <w:pPr>
        <w:spacing w:before="0" w:after="0" w:line="480" w:lineRule="auto"/>
        <w:jc w:val="center"/>
      </w:pPr>
      <w:r>
        <w:rPr>
          <w:rFonts w:ascii="Times New Roman" w:hAnsi="Times New Roman"/>
          <w:b w:val="0"/>
          <w:i w:val="0"/>
          <w:sz w:val="24"/>
        </w:rPr>
        <w:t>Asignatura: Patrones de Diseño</w:t>
      </w:r>
    </w:p>
    <w:p>
      <w:pPr>
        <w:spacing w:before="0" w:after="0" w:line="240" w:lineRule="exact"/>
        <w:jc w:val="left"/>
      </w:pPr>
    </w:p>
    <w:p>
      <w:pPr>
        <w:spacing w:before="0" w:after="0" w:line="240" w:lineRule="exact"/>
        <w:jc w:val="left"/>
      </w:pPr>
    </w:p>
    <w:p>
      <w:pPr>
        <w:spacing w:before="0" w:after="0" w:line="240" w:lineRule="exact"/>
        <w:jc w:val="left"/>
      </w:pPr>
    </w:p>
    <w:p>
      <w:pPr>
        <w:spacing w:before="0" w:after="0" w:line="240" w:lineRule="exact"/>
        <w:jc w:val="left"/>
      </w:pPr>
    </w:p>
    <w:p>
      <w:pPr>
        <w:spacing w:before="0" w:after="0" w:line="480" w:lineRule="auto"/>
        <w:jc w:val="center"/>
      </w:pPr>
      <w:r>
        <w:rPr>
          <w:rFonts w:ascii="Times New Roman" w:hAnsi="Times New Roman"/>
          <w:b/>
          <w:i w:val="0"/>
          <w:sz w:val="28"/>
        </w:rPr>
        <w:t>Aplicación de Patrones de Diseño en el Sistema de</w:t>
        <w:br/>
        <w:t>Alquiler de Prendas de Disfraz (Costume Retail)</w:t>
      </w:r>
    </w:p>
    <w:p>
      <w:pPr>
        <w:spacing w:before="0" w:after="0" w:line="240" w:lineRule="exact"/>
        <w:jc w:val="left"/>
      </w:pPr>
    </w:p>
    <w:p>
      <w:pPr>
        <w:spacing w:before="0" w:after="0" w:line="240" w:lineRule="exact"/>
        <w:jc w:val="left"/>
      </w:pPr>
    </w:p>
    <w:p>
      <w:pPr>
        <w:spacing w:before="0" w:after="0" w:line="240" w:lineRule="exact"/>
        <w:jc w:val="left"/>
      </w:pPr>
    </w:p>
    <w:p>
      <w:pPr>
        <w:spacing w:before="0" w:after="0" w:line="240" w:lineRule="exact"/>
        <w:jc w:val="left"/>
      </w:pPr>
    </w:p>
    <w:p>
      <w:pPr>
        <w:spacing w:before="0" w:after="0" w:line="480" w:lineRule="auto"/>
        <w:jc w:val="center"/>
      </w:pPr>
      <w:r>
        <w:rPr>
          <w:rFonts w:ascii="Times New Roman" w:hAnsi="Times New Roman"/>
          <w:b/>
          <w:i w:val="0"/>
          <w:sz w:val="24"/>
        </w:rPr>
        <w:t>Integrantes:</w:t>
      </w:r>
    </w:p>
    <w:p>
      <w:pPr>
        <w:spacing w:before="0" w:after="0" w:line="480" w:lineRule="auto"/>
        <w:jc w:val="center"/>
      </w:pPr>
      <w:r>
        <w:rPr>
          <w:rFonts w:ascii="Times New Roman" w:hAnsi="Times New Roman"/>
          <w:b w:val="0"/>
          <w:i w:val="0"/>
          <w:sz w:val="24"/>
        </w:rPr>
        <w:t>Juan Nicolay Buitrago Vargas</w:t>
      </w:r>
    </w:p>
    <w:p>
      <w:pPr>
        <w:spacing w:before="0" w:after="0" w:line="480" w:lineRule="auto"/>
        <w:jc w:val="center"/>
      </w:pPr>
      <w:r>
        <w:rPr>
          <w:rFonts w:ascii="Times New Roman" w:hAnsi="Times New Roman"/>
          <w:b w:val="0"/>
          <w:i w:val="0"/>
          <w:sz w:val="24"/>
        </w:rPr>
        <w:t>Santiago Bayona Bohórquez</w:t>
      </w:r>
    </w:p>
    <w:p>
      <w:pPr>
        <w:spacing w:before="0" w:after="0" w:line="240" w:lineRule="exact"/>
        <w:jc w:val="left"/>
      </w:pPr>
    </w:p>
    <w:p>
      <w:pPr>
        <w:spacing w:before="0" w:after="0" w:line="240" w:lineRule="exact"/>
        <w:jc w:val="left"/>
      </w:pPr>
    </w:p>
    <w:p>
      <w:pPr>
        <w:spacing w:before="0" w:after="0" w:line="240" w:lineRule="exact"/>
        <w:jc w:val="left"/>
      </w:pPr>
    </w:p>
    <w:p>
      <w:pPr>
        <w:spacing w:before="0" w:after="0" w:line="480" w:lineRule="auto"/>
        <w:jc w:val="center"/>
      </w:pPr>
      <w:r>
        <w:rPr>
          <w:rFonts w:ascii="Times New Roman" w:hAnsi="Times New Roman"/>
          <w:b/>
          <w:i w:val="0"/>
          <w:sz w:val="24"/>
        </w:rPr>
        <w:t>Docente:</w:t>
      </w:r>
    </w:p>
    <w:p>
      <w:pPr>
        <w:spacing w:before="0" w:after="0" w:line="480" w:lineRule="auto"/>
        <w:jc w:val="center"/>
      </w:pPr>
      <w:r>
        <w:rPr>
          <w:rFonts w:ascii="Times New Roman" w:hAnsi="Times New Roman"/>
          <w:b w:val="0"/>
          <w:i w:val="0"/>
          <w:sz w:val="24"/>
        </w:rPr>
        <w:t>Oswaldo Pérez Murillo</w:t>
      </w:r>
    </w:p>
    <w:p>
      <w:pPr>
        <w:spacing w:before="0" w:after="0" w:line="240" w:lineRule="exact"/>
        <w:jc w:val="left"/>
      </w:pPr>
    </w:p>
    <w:p>
      <w:pPr>
        <w:spacing w:before="0" w:after="0" w:line="240" w:lineRule="exact"/>
        <w:jc w:val="left"/>
      </w:pPr>
    </w:p>
    <w:p>
      <w:pPr>
        <w:spacing w:before="0" w:after="0" w:line="240" w:lineRule="exact"/>
        <w:jc w:val="left"/>
      </w:pPr>
    </w:p>
    <w:p>
      <w:pPr>
        <w:spacing w:before="0" w:after="0" w:line="480" w:lineRule="auto"/>
        <w:jc w:val="center"/>
      </w:pPr>
      <w:r>
        <w:rPr>
          <w:rFonts w:ascii="Times New Roman" w:hAnsi="Times New Roman"/>
          <w:b w:val="0"/>
          <w:i w:val="0"/>
          <w:sz w:val="24"/>
        </w:rPr>
        <w:t>Bogotá D.C., Colombia</w:t>
      </w:r>
    </w:p>
    <w:p>
      <w:pPr>
        <w:spacing w:before="0" w:after="0" w:line="480" w:lineRule="auto"/>
        <w:jc w:val="center"/>
      </w:pPr>
      <w:r>
        <w:rPr>
          <w:rFonts w:ascii="Times New Roman" w:hAnsi="Times New Roman"/>
          <w:b w:val="0"/>
          <w:i w:val="0"/>
          <w:sz w:val="24"/>
        </w:rPr>
        <w:t>Marzo de 2026</w:t>
      </w:r>
    </w:p>
    <w:p>
      <w:r>
        <w:br w:type="page"/>
      </w:r>
    </w:p>
    <w:p>
      <w:pPr>
        <w:spacing w:line="480" w:lineRule="auto" w:before="0" w:after="0"/>
        <w:jc w:val="center"/>
      </w:pPr>
      <w:r>
        <w:rPr>
          <w:rFonts w:ascii="Times New Roman" w:hAnsi="Times New Roman"/>
          <w:b/>
          <w:i w:val="0"/>
          <w:sz w:val="24"/>
        </w:rPr>
        <w:t>Resumen</w:t>
      </w:r>
    </w:p>
    <w:p>
      <w:pPr>
        <w:spacing w:before="0" w:after="0" w:line="480" w:lineRule="auto"/>
        <w:ind w:firstLine="720"/>
        <w:jc w:val="left"/>
      </w:pPr>
      <w:r>
        <w:rPr>
          <w:rFonts w:ascii="Times New Roman" w:hAnsi="Times New Roman"/>
          <w:b w:val="0"/>
          <w:i w:val="0"/>
          <w:sz w:val="24"/>
        </w:rPr>
        <w:t>El presente documento describe la identificación y aplicación de patrones de diseño de software en el desarrollo del sistema Costume Retail, una aplicación web para la gestión del servicio de alquiler de prendas de disfraz. El sistema fue construido utilizando NestJS como framework backend y Astro como frontend, con una base de datos PostgreSQL alojada en Supabase. A lo largo del desarrollo se identificaron y aplicaron seis patrones de diseño fundamentales: Singleton, Repository, Facade, Decorator, Factory Method y Module. Para cada patrón se presenta su nombre, tipo, justificación de uso y descripción detallada de su implementación en el contexto del proyecto. La correcta aplicación de estos patrones contribuyó a una arquitectura modular, mantenible y escalable.</w:t>
      </w:r>
    </w:p>
    <w:p>
      <w:pPr>
        <w:spacing w:line="480" w:lineRule="auto"/>
        <w:jc w:val="left"/>
      </w:pPr>
      <w:r>
        <w:rPr>
          <w:rFonts w:ascii="Times New Roman" w:hAnsi="Times New Roman"/>
          <w:b/>
          <w:i/>
          <w:sz w:val="24"/>
        </w:rPr>
        <w:t xml:space="preserve">Palabras clave: </w:t>
      </w:r>
      <w:r>
        <w:rPr>
          <w:rFonts w:ascii="Times New Roman" w:hAnsi="Times New Roman"/>
          <w:b w:val="0"/>
          <w:i/>
          <w:sz w:val="24"/>
        </w:rPr>
        <w:t>patrones de diseño, NestJS, Singleton, Repository, Facade, Decorator, Factory Method, arquitectura de software.</w:t>
      </w:r>
    </w:p>
    <w:p>
      <w:r>
        <w:br w:type="page"/>
      </w:r>
    </w:p>
    <w:p>
      <w:pPr>
        <w:spacing w:line="480" w:lineRule="auto" w:before="0" w:after="0"/>
        <w:jc w:val="center"/>
      </w:pPr>
      <w:r>
        <w:rPr>
          <w:rFonts w:ascii="Times New Roman" w:hAnsi="Times New Roman"/>
          <w:b/>
          <w:i w:val="0"/>
          <w:sz w:val="24"/>
        </w:rPr>
        <w:t>Introducción</w:t>
      </w:r>
    </w:p>
    <w:p>
      <w:pPr>
        <w:spacing w:before="0" w:after="0" w:line="480" w:lineRule="auto"/>
        <w:jc w:val="left"/>
      </w:pPr>
      <w:r>
        <w:rPr>
          <w:rFonts w:ascii="Times New Roman" w:hAnsi="Times New Roman"/>
          <w:b w:val="0"/>
          <w:i w:val="0"/>
          <w:sz w:val="24"/>
        </w:rPr>
        <w:t xml:space="preserve">    Los patrones de diseño representan soluciones reutilizables a problemas recurrentes en el desarrollo de software. Fueron formalizados por Gamma et al. (1994) en su obra seminal Design Patterns: Elements of Reusable Object-Oriented Software, conocida popularmente como el 'Gang of Four' (GoF). Desde entonces, su adopción se ha extendido a todos los paradigmas y tecnologías del desarrollo moderno.</w:t>
      </w:r>
    </w:p>
    <w:p>
      <w:pPr>
        <w:spacing w:before="0" w:after="0" w:line="480" w:lineRule="auto"/>
        <w:jc w:val="left"/>
      </w:pPr>
      <w:r>
        <w:rPr>
          <w:rFonts w:ascii="Times New Roman" w:hAnsi="Times New Roman"/>
          <w:b w:val="0"/>
          <w:i w:val="0"/>
          <w:sz w:val="24"/>
        </w:rPr>
        <w:t xml:space="preserve">    El proyecto Costume Retail es un sistema web para la gestión de alquiler de prendas de disfraz, desarrollado como trabajo académico en la asignatura Patrones de Diseño de la Universidad Compensar. El sistema contempla el registro de prendas, clientes y empleados; la creación de servicios de alquiler con validaciones de disponibilidad; consultas por número, cliente y fecha; y la gestión de una cola de lavandería con prioridad. El backend fue implementado con NestJS (Node.js), TypeORM y PostgreSQL a través de Supabase, mientras que el frontend se desarrolló con Astro y Bootstrap 5.</w:t>
      </w:r>
    </w:p>
    <w:p>
      <w:pPr>
        <w:spacing w:before="0" w:after="0" w:line="480" w:lineRule="auto"/>
        <w:jc w:val="left"/>
      </w:pPr>
      <w:r>
        <w:rPr>
          <w:rFonts w:ascii="Times New Roman" w:hAnsi="Times New Roman"/>
          <w:b w:val="0"/>
          <w:i w:val="0"/>
          <w:sz w:val="24"/>
        </w:rPr>
        <w:t xml:space="preserve">    En el proceso de diseño y desarrollo del sistema se identificaron y aplicaron seis patrones de diseño, seleccionados según las necesidades arquitecturales del proyecto: Singleton, Repository, Facade, Decorator, Factory Method y Module. El presente documento expone en detalle cada uno de estos patrones, su clasificación, la justificación de su uso y la forma concreta en que se implementaron en el código fuente del sistema.</w:t>
      </w:r>
    </w:p>
    <w:p>
      <w:r>
        <w:br w:type="page"/>
      </w:r>
    </w:p>
    <w:p>
      <w:pPr>
        <w:spacing w:line="480" w:lineRule="auto" w:before="0" w:after="0"/>
        <w:jc w:val="center"/>
      </w:pPr>
      <w:r>
        <w:rPr>
          <w:rFonts w:ascii="Times New Roman" w:hAnsi="Times New Roman"/>
          <w:b/>
          <w:i w:val="0"/>
          <w:sz w:val="24"/>
        </w:rPr>
        <w:t>Tabla de Patrones Identificados</w:t>
      </w:r>
    </w:p>
    <w:p>
      <w:pPr>
        <w:spacing w:before="0" w:after="0" w:line="480" w:lineRule="auto"/>
        <w:jc w:val="left"/>
      </w:pPr>
      <w:r>
        <w:rPr>
          <w:rFonts w:ascii="Times New Roman" w:hAnsi="Times New Roman"/>
          <w:b w:val="0"/>
          <w:i w:val="0"/>
          <w:sz w:val="24"/>
        </w:rPr>
        <w:t xml:space="preserve">    A continuación se presenta la tabla resumen de los patrones de diseño identificados en el sistema Costume Retail, con su clasificación y justificación.</w:t>
      </w:r>
    </w:p>
    <w:p>
      <w:pPr>
        <w:spacing w:before="0" w:after="0" w:line="480" w:lineRule="auto"/>
        <w:jc w:val="left"/>
      </w:pPr>
    </w:p>
    <w:p>
      <w:pPr>
        <w:spacing w:line="480" w:lineRule="auto"/>
        <w:jc w:val="center"/>
      </w:pPr>
      <w:r>
        <w:rPr>
          <w:rFonts w:ascii="Times New Roman" w:hAnsi="Times New Roman"/>
          <w:b/>
          <w:i/>
          <w:sz w:val="24"/>
        </w:rPr>
        <w:t>Tabla 1</w:t>
      </w:r>
    </w:p>
    <w:p>
      <w:pPr>
        <w:spacing w:line="480" w:lineRule="auto"/>
        <w:jc w:val="center"/>
      </w:pPr>
      <w:r>
        <w:rPr>
          <w:rFonts w:ascii="Times New Roman" w:hAnsi="Times New Roman"/>
          <w:b w:val="0"/>
          <w:i/>
          <w:sz w:val="24"/>
        </w:rPr>
        <w:t>Patrones de diseño aplicados en el sistema Costume Retail</w:t>
      </w:r>
    </w:p>
    <w:tbl>
      <w:tblPr>
        <w:tblStyle w:val="TableGrid"/>
        <w:tblW w:type="auto" w:w="0"/>
        <w:tblLook w:firstColumn="1" w:firstRow="1" w:lastColumn="0" w:lastRow="0" w:noHBand="0" w:noVBand="1" w:val="04A0"/>
      </w:tblPr>
      <w:tblGrid>
        <w:gridCol w:w="2340"/>
        <w:gridCol w:w="2340"/>
        <w:gridCol w:w="2340"/>
        <w:gridCol w:w="2340"/>
      </w:tblGrid>
      <w:tr>
        <w:tc>
          <w:tcPr>
            <w:tcW w:type="dxa" w:w="567"/>
            <w:vAlign w:val="center"/>
            <w:shd w:val="clear" w:color="auto" w:fill="D9D9D9"/>
          </w:tcPr>
          <w:p>
            <w:pPr>
              <w:jc w:val="center"/>
            </w:pPr>
            <w:r>
              <w:rPr>
                <w:rFonts w:ascii="Times New Roman" w:hAnsi="Times New Roman"/>
                <w:b/>
                <w:i w:val="0"/>
                <w:sz w:val="22"/>
              </w:rPr>
              <w:t>N°</w:t>
            </w:r>
          </w:p>
        </w:tc>
        <w:tc>
          <w:tcPr>
            <w:tcW w:type="dxa" w:w="2268"/>
            <w:vAlign w:val="center"/>
            <w:shd w:val="clear" w:color="auto" w:fill="D9D9D9"/>
          </w:tcPr>
          <w:p>
            <w:pPr>
              <w:jc w:val="center"/>
            </w:pPr>
            <w:r>
              <w:rPr>
                <w:rFonts w:ascii="Times New Roman" w:hAnsi="Times New Roman"/>
                <w:b/>
                <w:i w:val="0"/>
                <w:sz w:val="22"/>
              </w:rPr>
              <w:t>Nombre del Patrón</w:t>
            </w:r>
          </w:p>
        </w:tc>
        <w:tc>
          <w:tcPr>
            <w:tcW w:type="dxa" w:w="1984"/>
            <w:vAlign w:val="center"/>
            <w:shd w:val="clear" w:color="auto" w:fill="D9D9D9"/>
          </w:tcPr>
          <w:p>
            <w:pPr>
              <w:jc w:val="center"/>
            </w:pPr>
            <w:r>
              <w:rPr>
                <w:rFonts w:ascii="Times New Roman" w:hAnsi="Times New Roman"/>
                <w:b/>
                <w:i w:val="0"/>
                <w:sz w:val="22"/>
              </w:rPr>
              <w:t>Tipo</w:t>
            </w:r>
          </w:p>
        </w:tc>
        <w:tc>
          <w:tcPr>
            <w:tcW w:type="dxa" w:w="4819"/>
            <w:vAlign w:val="center"/>
            <w:shd w:val="clear" w:color="auto" w:fill="D9D9D9"/>
          </w:tcPr>
          <w:p>
            <w:pPr>
              <w:jc w:val="center"/>
            </w:pPr>
            <w:r>
              <w:rPr>
                <w:rFonts w:ascii="Times New Roman" w:hAnsi="Times New Roman"/>
                <w:b/>
                <w:i w:val="0"/>
                <w:sz w:val="22"/>
              </w:rPr>
              <w:t>Justificación de uso</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567"/>
            <w:vAlign w:val="center"/>
          </w:tcPr>
          <w:p>
            <w:pPr>
              <w:jc w:val="center"/>
            </w:pPr>
            <w:r>
              <w:rPr>
                <w:rFonts w:ascii="Times New Roman" w:hAnsi="Times New Roman"/>
                <w:b w:val="0"/>
                <w:i w:val="0"/>
                <w:sz w:val="20"/>
              </w:rPr>
              <w:t>1</w:t>
            </w:r>
          </w:p>
        </w:tc>
        <w:tc>
          <w:tcPr>
            <w:tcW w:type="dxa" w:w="2268"/>
            <w:vAlign w:val="center"/>
          </w:tcPr>
          <w:p>
            <w:pPr>
              <w:jc w:val="center"/>
            </w:pPr>
            <w:r>
              <w:rPr>
                <w:rFonts w:ascii="Times New Roman" w:hAnsi="Times New Roman"/>
                <w:b w:val="0"/>
                <w:i w:val="0"/>
                <w:sz w:val="20"/>
              </w:rPr>
              <w:t>Singleton</w:t>
            </w:r>
          </w:p>
        </w:tc>
        <w:tc>
          <w:tcPr>
            <w:tcW w:type="dxa" w:w="1984"/>
            <w:vAlign w:val="center"/>
          </w:tcPr>
          <w:p>
            <w:pPr>
              <w:jc w:val="center"/>
            </w:pPr>
            <w:r>
              <w:rPr>
                <w:rFonts w:ascii="Times New Roman" w:hAnsi="Times New Roman"/>
                <w:b w:val="0"/>
                <w:i w:val="0"/>
                <w:sz w:val="20"/>
              </w:rPr>
              <w:t>Creacional</w:t>
            </w:r>
          </w:p>
        </w:tc>
        <w:tc>
          <w:tcPr>
            <w:tcW w:type="dxa" w:w="4819"/>
            <w:vAlign w:val="center"/>
          </w:tcPr>
          <w:p>
            <w:pPr>
              <w:jc w:val="left"/>
            </w:pPr>
            <w:r>
              <w:rPr>
                <w:rFonts w:ascii="Times New Roman" w:hAnsi="Times New Roman"/>
                <w:b w:val="0"/>
                <w:i w:val="0"/>
                <w:sz w:val="20"/>
              </w:rPr>
              <w:t>NestJS registra cada proveedor (service) como instancia única por módulo, garantizando un único punto de acceso a los repositorios de base de datos.</w:t>
            </w:r>
          </w:p>
        </w:tc>
      </w:tr>
      <w:tr>
        <w:tc>
          <w:tcPr>
            <w:tcW w:type="dxa" w:w="567"/>
            <w:vAlign w:val="center"/>
          </w:tcPr>
          <w:p>
            <w:pPr>
              <w:jc w:val="center"/>
            </w:pPr>
            <w:r>
              <w:rPr>
                <w:rFonts w:ascii="Times New Roman" w:hAnsi="Times New Roman"/>
                <w:b w:val="0"/>
                <w:i w:val="0"/>
                <w:sz w:val="20"/>
              </w:rPr>
              <w:t>2</w:t>
            </w:r>
          </w:p>
        </w:tc>
        <w:tc>
          <w:tcPr>
            <w:tcW w:type="dxa" w:w="2268"/>
            <w:vAlign w:val="center"/>
          </w:tcPr>
          <w:p>
            <w:pPr>
              <w:jc w:val="center"/>
            </w:pPr>
            <w:r>
              <w:rPr>
                <w:rFonts w:ascii="Times New Roman" w:hAnsi="Times New Roman"/>
                <w:b w:val="0"/>
                <w:i w:val="0"/>
                <w:sz w:val="20"/>
              </w:rPr>
              <w:t>Repository</w:t>
            </w:r>
          </w:p>
        </w:tc>
        <w:tc>
          <w:tcPr>
            <w:tcW w:type="dxa" w:w="1984"/>
            <w:vAlign w:val="center"/>
          </w:tcPr>
          <w:p>
            <w:pPr>
              <w:jc w:val="center"/>
            </w:pPr>
            <w:r>
              <w:rPr>
                <w:rFonts w:ascii="Times New Roman" w:hAnsi="Times New Roman"/>
                <w:b w:val="0"/>
                <w:i w:val="0"/>
                <w:sz w:val="20"/>
              </w:rPr>
              <w:t>Estructural</w:t>
            </w:r>
          </w:p>
        </w:tc>
        <w:tc>
          <w:tcPr>
            <w:tcW w:type="dxa" w:w="4819"/>
            <w:vAlign w:val="center"/>
          </w:tcPr>
          <w:p>
            <w:pPr>
              <w:jc w:val="left"/>
            </w:pPr>
            <w:r>
              <w:rPr>
                <w:rFonts w:ascii="Times New Roman" w:hAnsi="Times New Roman"/>
                <w:b w:val="0"/>
                <w:i w:val="0"/>
                <w:sz w:val="20"/>
              </w:rPr>
              <w:t>TypeORM expone el patrón Repository para aislar el acceso a la base de datos, manteniendo la lógica de negocio independiente de la capa de persistencia.</w:t>
            </w:r>
          </w:p>
        </w:tc>
      </w:tr>
      <w:tr>
        <w:tc>
          <w:tcPr>
            <w:tcW w:type="dxa" w:w="567"/>
            <w:vAlign w:val="center"/>
          </w:tcPr>
          <w:p>
            <w:pPr>
              <w:jc w:val="center"/>
            </w:pPr>
            <w:r>
              <w:rPr>
                <w:rFonts w:ascii="Times New Roman" w:hAnsi="Times New Roman"/>
                <w:b w:val="0"/>
                <w:i w:val="0"/>
                <w:sz w:val="20"/>
              </w:rPr>
              <w:t>3</w:t>
            </w:r>
          </w:p>
        </w:tc>
        <w:tc>
          <w:tcPr>
            <w:tcW w:type="dxa" w:w="2268"/>
            <w:vAlign w:val="center"/>
          </w:tcPr>
          <w:p>
            <w:pPr>
              <w:jc w:val="center"/>
            </w:pPr>
            <w:r>
              <w:rPr>
                <w:rFonts w:ascii="Times New Roman" w:hAnsi="Times New Roman"/>
                <w:b w:val="0"/>
                <w:i w:val="0"/>
                <w:sz w:val="20"/>
              </w:rPr>
              <w:t>Facade</w:t>
            </w:r>
          </w:p>
        </w:tc>
        <w:tc>
          <w:tcPr>
            <w:tcW w:type="dxa" w:w="1984"/>
            <w:vAlign w:val="center"/>
          </w:tcPr>
          <w:p>
            <w:pPr>
              <w:jc w:val="center"/>
            </w:pPr>
            <w:r>
              <w:rPr>
                <w:rFonts w:ascii="Times New Roman" w:hAnsi="Times New Roman"/>
                <w:b w:val="0"/>
                <w:i w:val="0"/>
                <w:sz w:val="20"/>
              </w:rPr>
              <w:t>Estructural</w:t>
            </w:r>
          </w:p>
        </w:tc>
        <w:tc>
          <w:tcPr>
            <w:tcW w:type="dxa" w:w="4819"/>
            <w:vAlign w:val="center"/>
          </w:tcPr>
          <w:p>
            <w:pPr>
              <w:jc w:val="left"/>
            </w:pPr>
            <w:r>
              <w:rPr>
                <w:rFonts w:ascii="Times New Roman" w:hAnsi="Times New Roman"/>
                <w:b w:val="0"/>
                <w:i w:val="0"/>
                <w:sz w:val="20"/>
              </w:rPr>
              <w:t>Cada Service actúa como fachada que simplifica las operaciones complejas (validaciones, consultas relacionadas) ocultando los detalles a los controladores.</w:t>
            </w:r>
          </w:p>
        </w:tc>
      </w:tr>
      <w:tr>
        <w:tc>
          <w:tcPr>
            <w:tcW w:type="dxa" w:w="567"/>
            <w:vAlign w:val="center"/>
          </w:tcPr>
          <w:p>
            <w:pPr>
              <w:jc w:val="center"/>
            </w:pPr>
            <w:r>
              <w:rPr>
                <w:rFonts w:ascii="Times New Roman" w:hAnsi="Times New Roman"/>
                <w:b w:val="0"/>
                <w:i w:val="0"/>
                <w:sz w:val="20"/>
              </w:rPr>
              <w:t>4</w:t>
            </w:r>
          </w:p>
        </w:tc>
        <w:tc>
          <w:tcPr>
            <w:tcW w:type="dxa" w:w="2268"/>
            <w:vAlign w:val="center"/>
          </w:tcPr>
          <w:p>
            <w:pPr>
              <w:jc w:val="center"/>
            </w:pPr>
            <w:r>
              <w:rPr>
                <w:rFonts w:ascii="Times New Roman" w:hAnsi="Times New Roman"/>
                <w:b w:val="0"/>
                <w:i w:val="0"/>
                <w:sz w:val="20"/>
              </w:rPr>
              <w:t>Decorator</w:t>
            </w:r>
          </w:p>
        </w:tc>
        <w:tc>
          <w:tcPr>
            <w:tcW w:type="dxa" w:w="1984"/>
            <w:vAlign w:val="center"/>
          </w:tcPr>
          <w:p>
            <w:pPr>
              <w:jc w:val="center"/>
            </w:pPr>
            <w:r>
              <w:rPr>
                <w:rFonts w:ascii="Times New Roman" w:hAnsi="Times New Roman"/>
                <w:b w:val="0"/>
                <w:i w:val="0"/>
                <w:sz w:val="20"/>
              </w:rPr>
              <w:t>Estructural</w:t>
            </w:r>
          </w:p>
        </w:tc>
        <w:tc>
          <w:tcPr>
            <w:tcW w:type="dxa" w:w="4819"/>
            <w:vAlign w:val="center"/>
          </w:tcPr>
          <w:p>
            <w:pPr>
              <w:jc w:val="left"/>
            </w:pPr>
            <w:r>
              <w:rPr>
                <w:rFonts w:ascii="Times New Roman" w:hAnsi="Times New Roman"/>
                <w:b w:val="0"/>
                <w:i w:val="0"/>
                <w:sz w:val="20"/>
              </w:rPr>
              <w:t>Los decoradores de TypeORM (@Entity, @Column, @PrimaryColumn) y de NestJS (@Controller, @Injectable, @Get, @Post) añaden metadatos sin modificar las clases.</w:t>
            </w:r>
          </w:p>
        </w:tc>
      </w:tr>
      <w:tr>
        <w:tc>
          <w:tcPr>
            <w:tcW w:type="dxa" w:w="567"/>
            <w:vAlign w:val="center"/>
          </w:tcPr>
          <w:p>
            <w:pPr>
              <w:jc w:val="center"/>
            </w:pPr>
            <w:r>
              <w:rPr>
                <w:rFonts w:ascii="Times New Roman" w:hAnsi="Times New Roman"/>
                <w:b w:val="0"/>
                <w:i w:val="0"/>
                <w:sz w:val="20"/>
              </w:rPr>
              <w:t>5</w:t>
            </w:r>
          </w:p>
        </w:tc>
        <w:tc>
          <w:tcPr>
            <w:tcW w:type="dxa" w:w="2268"/>
            <w:vAlign w:val="center"/>
          </w:tcPr>
          <w:p>
            <w:pPr>
              <w:jc w:val="center"/>
            </w:pPr>
            <w:r>
              <w:rPr>
                <w:rFonts w:ascii="Times New Roman" w:hAnsi="Times New Roman"/>
                <w:b w:val="0"/>
                <w:i w:val="0"/>
                <w:sz w:val="20"/>
              </w:rPr>
              <w:t>Factory Method</w:t>
            </w:r>
          </w:p>
        </w:tc>
        <w:tc>
          <w:tcPr>
            <w:tcW w:type="dxa" w:w="1984"/>
            <w:vAlign w:val="center"/>
          </w:tcPr>
          <w:p>
            <w:pPr>
              <w:jc w:val="center"/>
            </w:pPr>
            <w:r>
              <w:rPr>
                <w:rFonts w:ascii="Times New Roman" w:hAnsi="Times New Roman"/>
                <w:b w:val="0"/>
                <w:i w:val="0"/>
                <w:sz w:val="20"/>
              </w:rPr>
              <w:t>Creacional</w:t>
            </w:r>
          </w:p>
        </w:tc>
        <w:tc>
          <w:tcPr>
            <w:tcW w:type="dxa" w:w="4819"/>
            <w:vAlign w:val="center"/>
          </w:tcPr>
          <w:p>
            <w:pPr>
              <w:jc w:val="left"/>
            </w:pPr>
            <w:r>
              <w:rPr>
                <w:rFonts w:ascii="Times New Roman" w:hAnsi="Times New Roman"/>
                <w:b w:val="0"/>
                <w:i w:val="0"/>
                <w:sz w:val="20"/>
              </w:rPr>
              <w:t>El método repository.create(dto) actúa como fábrica que instancia entidades desde DTOs, desacoplando la creación de objetos de su persistencia.</w:t>
            </w:r>
          </w:p>
        </w:tc>
      </w:tr>
      <w:tr>
        <w:tc>
          <w:tcPr>
            <w:tcW w:type="dxa" w:w="567"/>
            <w:vAlign w:val="center"/>
          </w:tcPr>
          <w:p>
            <w:pPr>
              <w:jc w:val="center"/>
            </w:pPr>
            <w:r>
              <w:rPr>
                <w:rFonts w:ascii="Times New Roman" w:hAnsi="Times New Roman"/>
                <w:b w:val="0"/>
                <w:i w:val="0"/>
                <w:sz w:val="20"/>
              </w:rPr>
              <w:t>6</w:t>
            </w:r>
          </w:p>
        </w:tc>
        <w:tc>
          <w:tcPr>
            <w:tcW w:type="dxa" w:w="2268"/>
            <w:vAlign w:val="center"/>
          </w:tcPr>
          <w:p>
            <w:pPr>
              <w:jc w:val="center"/>
            </w:pPr>
            <w:r>
              <w:rPr>
                <w:rFonts w:ascii="Times New Roman" w:hAnsi="Times New Roman"/>
                <w:b w:val="0"/>
                <w:i w:val="0"/>
                <w:sz w:val="20"/>
              </w:rPr>
              <w:t>Module</w:t>
            </w:r>
          </w:p>
        </w:tc>
        <w:tc>
          <w:tcPr>
            <w:tcW w:type="dxa" w:w="1984"/>
            <w:vAlign w:val="center"/>
          </w:tcPr>
          <w:p>
            <w:pPr>
              <w:jc w:val="center"/>
            </w:pPr>
            <w:r>
              <w:rPr>
                <w:rFonts w:ascii="Times New Roman" w:hAnsi="Times New Roman"/>
                <w:b w:val="0"/>
                <w:i w:val="0"/>
                <w:sz w:val="20"/>
              </w:rPr>
              <w:t>Estructural</w:t>
            </w:r>
          </w:p>
        </w:tc>
        <w:tc>
          <w:tcPr>
            <w:tcW w:type="dxa" w:w="4819"/>
            <w:vAlign w:val="center"/>
          </w:tcPr>
          <w:p>
            <w:pPr>
              <w:jc w:val="left"/>
            </w:pPr>
            <w:r>
              <w:rPr>
                <w:rFonts w:ascii="Times New Roman" w:hAnsi="Times New Roman"/>
                <w:b w:val="0"/>
                <w:i w:val="0"/>
                <w:sz w:val="20"/>
              </w:rPr>
              <w:t>NestJS organiza el sistema en módulos cohesivos (PrendasModule, ClientesModule, etc.) que encapsulan sus propios controladores, servicios y repositorios.</w:t>
            </w:r>
          </w:p>
        </w:tc>
      </w:tr>
    </w:tbl>
    <w:p>
      <w:pPr>
        <w:spacing w:before="0" w:after="0" w:line="480" w:lineRule="auto"/>
        <w:jc w:val="left"/>
      </w:pPr>
    </w:p>
    <w:p>
      <w:pPr>
        <w:spacing w:line="480" w:lineRule="auto"/>
      </w:pPr>
      <w:r>
        <w:rPr>
          <w:rFonts w:ascii="Times New Roman" w:hAnsi="Times New Roman"/>
          <w:b w:val="0"/>
          <w:i/>
          <w:sz w:val="20"/>
        </w:rPr>
        <w:t xml:space="preserve">Nota. </w:t>
      </w:r>
      <w:r>
        <w:rPr>
          <w:rFonts w:ascii="Times New Roman" w:hAnsi="Times New Roman"/>
          <w:b w:val="0"/>
          <w:i w:val="0"/>
          <w:sz w:val="20"/>
        </w:rPr>
        <w:t>La clasificación Creacional/Estructural sigue la taxonomía de Gamma et al. (1994). El patrón Module, aunque propio de NestJS, responde al principio de diseño modular del patrón Facade extendido.</w:t>
      </w:r>
    </w:p>
    <w:p>
      <w:r>
        <w:br w:type="page"/>
      </w:r>
    </w:p>
    <w:p>
      <w:pPr>
        <w:spacing w:line="480" w:lineRule="auto" w:before="0" w:after="0"/>
        <w:jc w:val="center"/>
      </w:pPr>
      <w:r>
        <w:rPr>
          <w:rFonts w:ascii="Times New Roman" w:hAnsi="Times New Roman"/>
          <w:b/>
          <w:i w:val="0"/>
          <w:sz w:val="24"/>
        </w:rPr>
        <w:t>Descripción Detallada de los Patrones de Diseño</w:t>
      </w:r>
    </w:p>
    <w:p>
      <w:pPr>
        <w:spacing w:line="480" w:lineRule="auto" w:before="0" w:after="0"/>
        <w:jc w:val="left"/>
      </w:pPr>
      <w:r>
        <w:rPr>
          <w:rFonts w:ascii="Times New Roman" w:hAnsi="Times New Roman"/>
          <w:b/>
          <w:i w:val="0"/>
          <w:sz w:val="24"/>
        </w:rPr>
        <w:t>Patrón Singleton</w:t>
      </w:r>
    </w:p>
    <w:p>
      <w:pPr>
        <w:spacing w:before="0" w:after="0" w:line="480" w:lineRule="auto"/>
        <w:jc w:val="left"/>
      </w:pPr>
      <w:r>
        <w:rPr>
          <w:rFonts w:ascii="Times New Roman" w:hAnsi="Times New Roman"/>
          <w:b/>
          <w:i w:val="0"/>
          <w:sz w:val="24"/>
        </w:rPr>
        <w:t>Tipo: Creacional</w:t>
      </w:r>
    </w:p>
    <w:p>
      <w:pPr>
        <w:spacing w:before="0" w:after="0" w:line="480" w:lineRule="auto"/>
        <w:jc w:val="left"/>
      </w:pPr>
      <w:r>
        <w:rPr>
          <w:rFonts w:ascii="Times New Roman" w:hAnsi="Times New Roman"/>
          <w:b w:val="0"/>
          <w:i w:val="0"/>
          <w:sz w:val="24"/>
        </w:rPr>
        <w:t xml:space="preserve">    El patrón Singleton garantiza que una clase tenga una única instancia durante todo el ciclo de vida de la aplicación y proporciona un punto de acceso global a dicha instancia (Gamma et al., 1994). Este patrón es especialmente útil cuando se necesita controlar el acceso a recursos compartidos, como conexiones a bases de datos.</w:t>
      </w:r>
    </w:p>
    <w:p>
      <w:pPr>
        <w:spacing w:before="0" w:after="0" w:line="480" w:lineRule="auto"/>
        <w:jc w:val="left"/>
      </w:pPr>
      <w:r>
        <w:rPr>
          <w:rFonts w:ascii="Times New Roman" w:hAnsi="Times New Roman"/>
          <w:b w:val="0"/>
          <w:i w:val="0"/>
          <w:sz w:val="24"/>
        </w:rPr>
        <w:t xml:space="preserve">    En NestJS, el sistema de inyección de dependencias registra cada proveedor con un alcance (scope) Singleton por defecto. Esto significa que la primera vez que un módulo solicita un servicio, el framework instancia la clase y la reutiliza en todas las solicitudes posteriores dentro del mismo contexto de módulo. En el proyecto Costume Retail, servicios como PrendasService, ClientesService, EmpleadosService, ServiciosService y LavanderiaService se comportan como Singletons, garantizando que el repositorio TypeORM que cada uno inyecta sea la misma instancia compartida.</w:t>
      </w:r>
    </w:p>
    <w:p>
      <w:pPr>
        <w:spacing w:line="240" w:lineRule="auto"/>
        <w:ind w:left="720"/>
      </w:pPr>
      <w:r>
        <w:rPr>
          <w:rFonts w:ascii="Courier New" w:hAnsi="Courier New"/>
          <w:b w:val="0"/>
          <w:i w:val="0"/>
          <w:sz w:val="20"/>
        </w:rPr>
        <w:t>@Injectable()  // Scope.DEFAULT = Singleton</w:t>
        <w:br/>
        <w:t>export class PrendasService {</w:t>
        <w:br/>
        <w:t xml:space="preserve">  constructor(</w:t>
        <w:br/>
        <w:t xml:space="preserve">    @InjectRepository(Prenda)</w:t>
        <w:br/>
        <w:t xml:space="preserve">    private readonly prendasRepository: Repository&lt;Prenda&gt;,</w:t>
        <w:br/>
        <w:t xml:space="preserve">  ) {}</w:t>
      </w:r>
    </w:p>
    <w:p>
      <w:pPr>
        <w:spacing w:before="0" w:after="0" w:line="480" w:lineRule="auto"/>
        <w:jc w:val="left"/>
      </w:pPr>
      <w:r>
        <w:rPr>
          <w:rFonts w:ascii="Times New Roman" w:hAnsi="Times New Roman"/>
          <w:b w:val="0"/>
          <w:i w:val="0"/>
          <w:sz w:val="24"/>
        </w:rPr>
        <w:t xml:space="preserve">    La anotación @Injectable() registra PrendasService en el contenedor de IoC de NestJS. Dado que no se especifica un scope diferente, el framework crea una única instancia del servicio y la reutiliza, evitando el costo de instanciación en cada petición HTTP y asegurando consistencia en el acceso a los datos.</w:t>
      </w:r>
    </w:p>
    <w:p>
      <w:pPr>
        <w:spacing w:line="480" w:lineRule="auto" w:before="0" w:after="0"/>
        <w:jc w:val="left"/>
      </w:pPr>
      <w:r>
        <w:rPr>
          <w:rFonts w:ascii="Times New Roman" w:hAnsi="Times New Roman"/>
          <w:b/>
          <w:i w:val="0"/>
          <w:sz w:val="24"/>
        </w:rPr>
        <w:t>Patrón Repository</w:t>
      </w:r>
    </w:p>
    <w:p>
      <w:pPr>
        <w:spacing w:before="0" w:after="0" w:line="480" w:lineRule="auto"/>
        <w:jc w:val="left"/>
      </w:pPr>
      <w:r>
        <w:rPr>
          <w:rFonts w:ascii="Times New Roman" w:hAnsi="Times New Roman"/>
          <w:b/>
          <w:i w:val="0"/>
          <w:sz w:val="24"/>
        </w:rPr>
        <w:t>Tipo: Estructural</w:t>
      </w:r>
    </w:p>
    <w:p>
      <w:pPr>
        <w:spacing w:before="0" w:after="0" w:line="480" w:lineRule="auto"/>
        <w:jc w:val="left"/>
      </w:pPr>
      <w:r>
        <w:rPr>
          <w:rFonts w:ascii="Times New Roman" w:hAnsi="Times New Roman"/>
          <w:b w:val="0"/>
          <w:i w:val="0"/>
          <w:sz w:val="24"/>
        </w:rPr>
        <w:t xml:space="preserve">    El patrón Repository actúa como intermediario entre la lógica de negocio y la capa de acceso a datos, encapsulando las operaciones de consulta y persistencia detrás de una interfaz orientada al dominio (Fowler, 2002). Su objetivo principal es desacoplar la lógica de negocio de los detalles de almacenamiento.</w:t>
      </w:r>
    </w:p>
    <w:p>
      <w:pPr>
        <w:spacing w:before="0" w:after="0" w:line="480" w:lineRule="auto"/>
        <w:jc w:val="left"/>
      </w:pPr>
      <w:r>
        <w:rPr>
          <w:rFonts w:ascii="Times New Roman" w:hAnsi="Times New Roman"/>
          <w:b w:val="0"/>
          <w:i w:val="0"/>
          <w:sz w:val="24"/>
        </w:rPr>
        <w:t xml:space="preserve">    En Costume Retail, TypeORM implementa este patrón a través de la clase genérica Repository&lt;T&gt;. Cada servicio del sistema recibe por inyección de dependencias un repositorio específico para su entidad. Por ejemplo, PrendasService recibe un Repository&lt;Prenda&gt;, y a través de él realiza todas las operaciones con la tabla prendas sin escribir SQL directamente.</w:t>
      </w:r>
    </w:p>
    <w:p>
      <w:pPr>
        <w:spacing w:line="240" w:lineRule="auto"/>
        <w:ind w:left="720"/>
      </w:pPr>
      <w:r>
        <w:rPr>
          <w:rFonts w:ascii="Courier New" w:hAnsi="Courier New"/>
          <w:b w:val="0"/>
          <w:i w:val="0"/>
          <w:sz w:val="20"/>
        </w:rPr>
        <w:t>// Uso del repositorio en PrendasService</w:t>
        <w:br/>
        <w:t>async findByReferencia(referencia: string): Promise&lt;Prenda&gt; {</w:t>
        <w:br/>
        <w:t xml:space="preserve">  const prenda = await this.prendasRepository.findOne({</w:t>
        <w:br/>
        <w:t xml:space="preserve">    where: { referencia },</w:t>
        <w:br/>
        <w:t xml:space="preserve">  });</w:t>
        <w:br/>
        <w:t xml:space="preserve">  if (!prenda) throw new NotFoundException(...);</w:t>
        <w:br/>
        <w:t xml:space="preserve">  return prenda;</w:t>
        <w:br/>
        <w:t>}</w:t>
      </w:r>
    </w:p>
    <w:p>
      <w:pPr>
        <w:spacing w:before="0" w:after="0" w:line="480" w:lineRule="auto"/>
        <w:jc w:val="left"/>
      </w:pPr>
      <w:r>
        <w:rPr>
          <w:rFonts w:ascii="Times New Roman" w:hAnsi="Times New Roman"/>
          <w:b w:val="0"/>
          <w:i w:val="0"/>
          <w:sz w:val="24"/>
        </w:rPr>
        <w:t xml:space="preserve">    Esta implementación permite que el servicio opere sobre objetos del dominio (Prenda, Cliente, etc.) sin conocer los detalles de la conexión a PostgreSQL. Si en el futuro se cambia el motor de base de datos, únicamente se modifica la configuración de TypeORM, sin afectar la lógica de negocio.</w:t>
      </w:r>
    </w:p>
    <w:p>
      <w:pPr>
        <w:spacing w:line="480" w:lineRule="auto" w:before="0" w:after="0"/>
        <w:jc w:val="left"/>
      </w:pPr>
      <w:r>
        <w:rPr>
          <w:rFonts w:ascii="Times New Roman" w:hAnsi="Times New Roman"/>
          <w:b/>
          <w:i w:val="0"/>
          <w:sz w:val="24"/>
        </w:rPr>
        <w:t>Patrón Facade</w:t>
      </w:r>
    </w:p>
    <w:p>
      <w:pPr>
        <w:spacing w:before="0" w:after="0" w:line="480" w:lineRule="auto"/>
        <w:jc w:val="left"/>
      </w:pPr>
      <w:r>
        <w:rPr>
          <w:rFonts w:ascii="Times New Roman" w:hAnsi="Times New Roman"/>
          <w:b/>
          <w:i w:val="0"/>
          <w:sz w:val="24"/>
        </w:rPr>
        <w:t>Tipo: Estructural</w:t>
      </w:r>
    </w:p>
    <w:p>
      <w:pPr>
        <w:spacing w:before="0" w:after="0" w:line="480" w:lineRule="auto"/>
        <w:jc w:val="left"/>
      </w:pPr>
      <w:r>
        <w:rPr>
          <w:rFonts w:ascii="Times New Roman" w:hAnsi="Times New Roman"/>
          <w:b w:val="0"/>
          <w:i w:val="0"/>
          <w:sz w:val="24"/>
        </w:rPr>
        <w:t xml:space="preserve">    El patrón Facade proporciona una interfaz simplificada a un conjunto complejo de clases, subsistemas o servicios (Gamma et al., 1994). Su propósito es reducir la complejidad visible para el cliente, delegando el trabajo a los subsistemas internos según sea necesario.</w:t>
      </w:r>
    </w:p>
    <w:p>
      <w:pPr>
        <w:spacing w:before="0" w:after="0" w:line="480" w:lineRule="auto"/>
        <w:jc w:val="left"/>
      </w:pPr>
      <w:r>
        <w:rPr>
          <w:rFonts w:ascii="Times New Roman" w:hAnsi="Times New Roman"/>
          <w:b w:val="0"/>
          <w:i w:val="0"/>
          <w:sz w:val="24"/>
        </w:rPr>
        <w:t xml:space="preserve">    En el proyecto, la capa de servicios funciona como una fachada para los controladores. El caso más representativo es ServiciosService, cuyo método create() orquesta internamente: la validación del cliente (ClientesService), la validación del empleado (EmpleadosService), la verificación de disponibilidad de cada prenda (PrendasService) y la verificación de conflictos de fecha mediante QueryBuilder de TypeORM. El controlador ServiciosController simplemente recibe el DTO y delega toda esa complejidad al servicio con una sola llamada.</w:t>
      </w:r>
    </w:p>
    <w:p>
      <w:pPr>
        <w:spacing w:line="240" w:lineRule="auto"/>
        <w:ind w:left="720"/>
      </w:pPr>
      <w:r>
        <w:rPr>
          <w:rFonts w:ascii="Courier New" w:hAnsi="Courier New"/>
          <w:b w:val="0"/>
          <w:i w:val="0"/>
          <w:sz w:val="20"/>
        </w:rPr>
        <w:t>// ServiciosController actúa solo como punto de entrada</w:t>
        <w:br/>
        <w:t>@Post()</w:t>
        <w:br/>
        <w:t>create(@Body() dto: CreateServicioDto) {</w:t>
        <w:br/>
        <w:t xml:space="preserve">  return this.serviciosService.create(dto); // Fachada</w:t>
        <w:br/>
        <w:t>}</w:t>
      </w:r>
    </w:p>
    <w:p>
      <w:pPr>
        <w:spacing w:before="0" w:after="0" w:line="480" w:lineRule="auto"/>
        <w:jc w:val="left"/>
      </w:pPr>
      <w:r>
        <w:rPr>
          <w:rFonts w:ascii="Times New Roman" w:hAnsi="Times New Roman"/>
          <w:b w:val="0"/>
          <w:i w:val="0"/>
          <w:sz w:val="24"/>
        </w:rPr>
        <w:t xml:space="preserve">    El cliente HTTP (o el frontend) no necesita conocer que para registrar un servicio se consultan tres entidades diferentes y se ejecutan múltiples validaciones. La fachada (el servicio) abstrae toda esa complejidad.</w:t>
      </w:r>
    </w:p>
    <w:p>
      <w:pPr>
        <w:spacing w:line="480" w:lineRule="auto" w:before="0" w:after="0"/>
        <w:jc w:val="left"/>
      </w:pPr>
      <w:r>
        <w:rPr>
          <w:rFonts w:ascii="Times New Roman" w:hAnsi="Times New Roman"/>
          <w:b/>
          <w:i w:val="0"/>
          <w:sz w:val="24"/>
        </w:rPr>
        <w:t>Patrón Decorator</w:t>
      </w:r>
    </w:p>
    <w:p>
      <w:pPr>
        <w:spacing w:before="0" w:after="0" w:line="480" w:lineRule="auto"/>
        <w:jc w:val="left"/>
      </w:pPr>
      <w:r>
        <w:rPr>
          <w:rFonts w:ascii="Times New Roman" w:hAnsi="Times New Roman"/>
          <w:b/>
          <w:i w:val="0"/>
          <w:sz w:val="24"/>
        </w:rPr>
        <w:t>Tipo: Estructural</w:t>
      </w:r>
    </w:p>
    <w:p>
      <w:pPr>
        <w:spacing w:before="0" w:after="0" w:line="480" w:lineRule="auto"/>
        <w:jc w:val="left"/>
      </w:pPr>
      <w:r>
        <w:rPr>
          <w:rFonts w:ascii="Times New Roman" w:hAnsi="Times New Roman"/>
          <w:b w:val="0"/>
          <w:i w:val="0"/>
          <w:sz w:val="24"/>
        </w:rPr>
        <w:t xml:space="preserve">    El patrón Decorator permite añadir comportamientos o responsabilidades a un objeto de forma dinámica sin modificar su clase base (Gamma et al., 1994). En TypeScript y JavaScript moderno, los decoradores de clase son una implementación nativa de este patrón a través de metaprogramación.</w:t>
      </w:r>
    </w:p>
    <w:p>
      <w:pPr>
        <w:spacing w:before="0" w:after="0" w:line="480" w:lineRule="auto"/>
        <w:jc w:val="left"/>
      </w:pPr>
      <w:r>
        <w:rPr>
          <w:rFonts w:ascii="Times New Roman" w:hAnsi="Times New Roman"/>
          <w:b w:val="0"/>
          <w:i w:val="0"/>
          <w:sz w:val="24"/>
        </w:rPr>
        <w:t xml:space="preserve">    En Costume Retail, el patrón Decorator está presente en dos niveles. A nivel de entidades, TypeORM utiliza decoradores para adjuntar metadatos de mapeo objeto-relacional: @Entity() indica que la clase es una tabla, @Column() y @PrimaryColumn() definen las columnas, mientras que @ManyToMany(), @OneToMany() y @ManyToOne() establecen las relaciones. A nivel de la API, NestJS emplea @Controller(), @Get(), @Post(), @Param(), @Body() y @ApiOperation() de Swagger para definir rutas, validaciones y documentación sin modificar la lógica de los métodos.</w:t>
      </w:r>
    </w:p>
    <w:p>
      <w:pPr>
        <w:spacing w:line="240" w:lineRule="auto"/>
        <w:ind w:left="720"/>
      </w:pPr>
      <w:r>
        <w:rPr>
          <w:rFonts w:ascii="Courier New" w:hAnsi="Courier New"/>
          <w:b w:val="0"/>
          <w:i w:val="0"/>
          <w:sz w:val="20"/>
        </w:rPr>
        <w:t>@Entity('prendas')          // Mapea la clase a la tabla 'prendas'</w:t>
        <w:br/>
        <w:t>export class Prenda {</w:t>
        <w:br/>
        <w:t xml:space="preserve">  @PrimaryColumn()          // Columna clave primaria</w:t>
        <w:br/>
        <w:t xml:space="preserve">  referencia: string;</w:t>
        <w:br/>
        <w:br/>
        <w:t xml:space="preserve">  @Column({ type: 'enum', enum: EstadoPrenda })</w:t>
        <w:br/>
        <w:t xml:space="preserve">  estado: EstadoPrenda;     // Columna con tipo enumerado</w:t>
        <w:br/>
        <w:br/>
        <w:t xml:space="preserve">  @ManyToMany(() =&gt; ServicioAlquiler)</w:t>
        <w:br/>
        <w:t xml:space="preserve">  servicios: ServicioAlquiler[];  // Relación N:M</w:t>
        <w:br/>
        <w:t>}</w:t>
      </w:r>
    </w:p>
    <w:p>
      <w:pPr>
        <w:spacing w:before="0" w:after="0" w:line="480" w:lineRule="auto"/>
        <w:jc w:val="left"/>
      </w:pPr>
      <w:r>
        <w:rPr>
          <w:rFonts w:ascii="Times New Roman" w:hAnsi="Times New Roman"/>
          <w:b w:val="0"/>
          <w:i w:val="0"/>
          <w:sz w:val="24"/>
        </w:rPr>
        <w:t xml:space="preserve">    Gracias a este patrón, la clase Prenda no necesita heredar de ninguna clase base ni implementar interfaces específicas de TypeORM; los metadatos se adjuntan de forma no intrusiva, manteniendo las clases limpias y cohesivas.</w:t>
      </w:r>
    </w:p>
    <w:p>
      <w:pPr>
        <w:spacing w:line="480" w:lineRule="auto" w:before="0" w:after="0"/>
        <w:jc w:val="left"/>
      </w:pPr>
      <w:r>
        <w:rPr>
          <w:rFonts w:ascii="Times New Roman" w:hAnsi="Times New Roman"/>
          <w:b/>
          <w:i w:val="0"/>
          <w:sz w:val="24"/>
        </w:rPr>
        <w:t>Patrón Factory Method</w:t>
      </w:r>
    </w:p>
    <w:p>
      <w:pPr>
        <w:spacing w:before="0" w:after="0" w:line="480" w:lineRule="auto"/>
        <w:jc w:val="left"/>
      </w:pPr>
      <w:r>
        <w:rPr>
          <w:rFonts w:ascii="Times New Roman" w:hAnsi="Times New Roman"/>
          <w:b/>
          <w:i w:val="0"/>
          <w:sz w:val="24"/>
        </w:rPr>
        <w:t>Tipo: Creacional</w:t>
      </w:r>
    </w:p>
    <w:p>
      <w:pPr>
        <w:spacing w:before="0" w:after="0" w:line="480" w:lineRule="auto"/>
        <w:jc w:val="left"/>
      </w:pPr>
      <w:r>
        <w:rPr>
          <w:rFonts w:ascii="Times New Roman" w:hAnsi="Times New Roman"/>
          <w:b w:val="0"/>
          <w:i w:val="0"/>
          <w:sz w:val="24"/>
        </w:rPr>
        <w:t xml:space="preserve">    El patrón Factory Method define una interfaz para crear un objeto, pero delega a las subclases la decisión sobre qué clase concreta instanciar (Gamma et al., 1994). Su principal beneficio es desacoplar el proceso de creación de objetos de su uso.</w:t>
      </w:r>
    </w:p>
    <w:p>
      <w:pPr>
        <w:spacing w:before="0" w:after="0" w:line="480" w:lineRule="auto"/>
        <w:jc w:val="left"/>
      </w:pPr>
      <w:r>
        <w:rPr>
          <w:rFonts w:ascii="Times New Roman" w:hAnsi="Times New Roman"/>
          <w:b w:val="0"/>
          <w:i w:val="0"/>
          <w:sz w:val="24"/>
        </w:rPr>
        <w:t xml:space="preserve">    En Costume Retail, TypeORM expone el método repository.create(plainObject) que actúa como fábrica: transforma un objeto plano (generalmente un DTO) en una instancia de la entidad correspondiente con todos sus metadatos de TypeORM correctamente configurados, pero sin persistirlo aún en la base de datos. La persistencia ocurre únicamente al llamar repository.save(entity). Esta separación entre creación y persistencia es la esencia del Factory Method.</w:t>
      </w:r>
    </w:p>
    <w:p>
      <w:pPr>
        <w:spacing w:line="240" w:lineRule="auto"/>
        <w:ind w:left="720"/>
      </w:pPr>
      <w:r>
        <w:rPr>
          <w:rFonts w:ascii="Courier New" w:hAnsi="Courier New"/>
          <w:b w:val="0"/>
          <w:i w:val="0"/>
          <w:sz w:val="20"/>
        </w:rPr>
        <w:t>// Factory Method en PrendasService</w:t>
        <w:br/>
        <w:t>async create(dto: CreatePrendaDto): Promise&lt;Prenda&gt; {</w:t>
        <w:br/>
        <w:t xml:space="preserve">  // create() = Factory: instancia Prenda desde el DTO</w:t>
        <w:br/>
        <w:t xml:space="preserve">  const prenda = this.prendasRepository.create(dto);</w:t>
        <w:br/>
        <w:t xml:space="preserve">  // save() = persiste la instancia ya creada</w:t>
        <w:br/>
        <w:t xml:space="preserve">  return this.prendasRepository.save(prenda);</w:t>
        <w:br/>
        <w:t>}</w:t>
      </w:r>
    </w:p>
    <w:p>
      <w:pPr>
        <w:spacing w:before="0" w:after="0" w:line="480" w:lineRule="auto"/>
        <w:jc w:val="left"/>
      </w:pPr>
      <w:r>
        <w:rPr>
          <w:rFonts w:ascii="Times New Roman" w:hAnsi="Times New Roman"/>
          <w:b w:val="0"/>
          <w:i w:val="0"/>
          <w:sz w:val="24"/>
        </w:rPr>
        <w:t xml:space="preserve">    Este patrón también aparece en ServiciosService, donde se construye el objeto ServicioAlquiler con sus relaciones (cliente, empleado, prendas) antes de persistirlo, permitiendo aplicar toda la lógica de validación sobre el objeto creado en memoria antes de comprometerse con la base de datos.</w:t>
      </w:r>
    </w:p>
    <w:p>
      <w:pPr>
        <w:spacing w:line="480" w:lineRule="auto" w:before="0" w:after="0"/>
        <w:jc w:val="left"/>
      </w:pPr>
      <w:r>
        <w:rPr>
          <w:rFonts w:ascii="Times New Roman" w:hAnsi="Times New Roman"/>
          <w:b/>
          <w:i w:val="0"/>
          <w:sz w:val="24"/>
        </w:rPr>
        <w:t>Patrón Module</w:t>
      </w:r>
    </w:p>
    <w:p>
      <w:pPr>
        <w:spacing w:before="0" w:after="0" w:line="480" w:lineRule="auto"/>
        <w:jc w:val="left"/>
      </w:pPr>
      <w:r>
        <w:rPr>
          <w:rFonts w:ascii="Times New Roman" w:hAnsi="Times New Roman"/>
          <w:b/>
          <w:i w:val="0"/>
          <w:sz w:val="24"/>
        </w:rPr>
        <w:t>Tipo: Estructural</w:t>
      </w:r>
    </w:p>
    <w:p>
      <w:pPr>
        <w:spacing w:before="0" w:after="0" w:line="480" w:lineRule="auto"/>
        <w:jc w:val="left"/>
      </w:pPr>
      <w:r>
        <w:rPr>
          <w:rFonts w:ascii="Times New Roman" w:hAnsi="Times New Roman"/>
          <w:b w:val="0"/>
          <w:i w:val="0"/>
          <w:sz w:val="24"/>
        </w:rPr>
        <w:t xml:space="preserve">    El patrón Module organiza el código en unidades autónomas y cohesivas que encapsulan un conjunto relacionado de funcionalidades, exponiendo solo lo necesario hacia el exterior (Osmani, 2012). Es una especialización del principio de encapsulación y se relaciona con el patrón Facade a nivel arquitectural.</w:t>
      </w:r>
    </w:p>
    <w:p>
      <w:pPr>
        <w:spacing w:before="0" w:after="0" w:line="480" w:lineRule="auto"/>
        <w:jc w:val="left"/>
      </w:pPr>
      <w:r>
        <w:rPr>
          <w:rFonts w:ascii="Times New Roman" w:hAnsi="Times New Roman"/>
          <w:b w:val="0"/>
          <w:i w:val="0"/>
          <w:sz w:val="24"/>
        </w:rPr>
        <w:t xml:space="preserve">    NestJS hace del patrón Module un ciudadano de primera clase. En Costume Retail se crearon cinco módulos de dominio: PrendasModule, ClientesModule, EmpleadosModule, ServiciosModule y LavanderiaModule. Cada módulo declara sus propios controladores, servicios y el repositorio TypeORM que necesita. La dependencia entre módulos se expresa explícitamente mediante imports y exports, de modo que ServiciosModule puede usar PrendasService únicamente porque PrendasModule lo exporta.</w:t>
      </w:r>
    </w:p>
    <w:p>
      <w:pPr>
        <w:spacing w:line="240" w:lineRule="auto"/>
        <w:ind w:left="720"/>
      </w:pPr>
      <w:r>
        <w:rPr>
          <w:rFonts w:ascii="Courier New" w:hAnsi="Courier New"/>
          <w:b w:val="0"/>
          <w:i w:val="0"/>
          <w:sz w:val="20"/>
        </w:rPr>
        <w:t>@Module({</w:t>
        <w:br/>
        <w:t xml:space="preserve">  imports:     [TypeOrmModule.forFeature([Prenda])],</w:t>
        <w:br/>
        <w:t xml:space="preserve">  providers:   [PrendasService],</w:t>
        <w:br/>
        <w:t xml:space="preserve">  controllers: [PrendasController],</w:t>
        <w:br/>
        <w:t xml:space="preserve">  exports:     [PrendasService],  // Expone el servicio</w:t>
        <w:br/>
        <w:t>})</w:t>
        <w:br/>
        <w:t>export class PrendasModule {}</w:t>
      </w:r>
    </w:p>
    <w:p>
      <w:pPr>
        <w:spacing w:before="0" w:after="0" w:line="480" w:lineRule="auto"/>
        <w:jc w:val="left"/>
      </w:pPr>
      <w:r>
        <w:rPr>
          <w:rFonts w:ascii="Times New Roman" w:hAnsi="Times New Roman"/>
          <w:b w:val="0"/>
          <w:i w:val="0"/>
          <w:sz w:val="24"/>
        </w:rPr>
        <w:t xml:space="preserve">    Esta organización modular facilita la escalabilidad del sistema: agregar una nueva funcionalidad implica crear un nuevo módulo sin afectar los existentes. Adicionalmente, simplifica las pruebas unitarias al permitir importar únicamente el módulo bajo prueba en los tests.</w:t>
      </w:r>
    </w:p>
    <w:p>
      <w:r>
        <w:br w:type="page"/>
      </w:r>
    </w:p>
    <w:p>
      <w:pPr>
        <w:spacing w:line="480" w:lineRule="auto" w:before="0" w:after="0"/>
        <w:jc w:val="center"/>
      </w:pPr>
      <w:r>
        <w:rPr>
          <w:rFonts w:ascii="Times New Roman" w:hAnsi="Times New Roman"/>
          <w:b/>
          <w:i w:val="0"/>
          <w:sz w:val="24"/>
        </w:rPr>
        <w:t>Conclusiones</w:t>
      </w:r>
    </w:p>
    <w:p>
      <w:pPr>
        <w:spacing w:before="0" w:after="0" w:line="480" w:lineRule="auto"/>
        <w:jc w:val="left"/>
      </w:pPr>
      <w:r>
        <w:rPr>
          <w:rFonts w:ascii="Times New Roman" w:hAnsi="Times New Roman"/>
          <w:b w:val="0"/>
          <w:i w:val="0"/>
          <w:sz w:val="24"/>
        </w:rPr>
        <w:t xml:space="preserve">    La aplicación del patrón Singleton en el sistema de inyección de dependencias de NestJS garantizó un uso eficiente de recursos, al evitar la creación redundante de instancias de servicios y repositorios en cada solicitud HTTP, mejorando el rendimiento general de la aplicación.</w:t>
      </w:r>
    </w:p>
    <w:p>
      <w:pPr>
        <w:spacing w:before="0" w:after="0" w:line="480" w:lineRule="auto"/>
        <w:jc w:val="left"/>
      </w:pPr>
      <w:r>
        <w:rPr>
          <w:rFonts w:ascii="Times New Roman" w:hAnsi="Times New Roman"/>
          <w:b w:val="0"/>
          <w:i w:val="0"/>
          <w:sz w:val="24"/>
        </w:rPr>
        <w:t xml:space="preserve">    El patrón Repository, implementado a través de TypeORM, logró un desacoplamiento efectivo entre la lógica de negocio y la capa de persistencia. Esta separación permite cambiar el motor de base de datos sin impactar los servicios de dominio, lo cual es fundamental para la mantenibilidad a largo plazo del sistema.</w:t>
      </w:r>
    </w:p>
    <w:p>
      <w:pPr>
        <w:spacing w:before="0" w:after="0" w:line="480" w:lineRule="auto"/>
        <w:jc w:val="left"/>
      </w:pPr>
      <w:r>
        <w:rPr>
          <w:rFonts w:ascii="Times New Roman" w:hAnsi="Times New Roman"/>
          <w:b w:val="0"/>
          <w:i w:val="0"/>
          <w:sz w:val="24"/>
        </w:rPr>
        <w:t xml:space="preserve">    El uso del patrón Facade en la capa de servicios redujo significativamente la complejidad visible para los controladores. El caso más notorio fue ServiciosService, que orquesta validaciones en múltiples entidades bajo una única interfaz de método, respetando el principio de responsabilidad única.</w:t>
      </w:r>
    </w:p>
    <w:p>
      <w:pPr>
        <w:spacing w:before="0" w:after="0" w:line="480" w:lineRule="auto"/>
        <w:jc w:val="left"/>
      </w:pPr>
      <w:r>
        <w:rPr>
          <w:rFonts w:ascii="Times New Roman" w:hAnsi="Times New Roman"/>
          <w:b w:val="0"/>
          <w:i w:val="0"/>
          <w:sz w:val="24"/>
        </w:rPr>
        <w:t xml:space="preserve">    Los decoradores de TypeORM y NestJS, como implementación del patrón Decorator, demostraron ser una herramienta poderosa para añadir comportamientos transversales (mapeo ORM, rutas HTTP, validación, documentación) sin contaminar la lógica de negocio de las entidades y controladores.</w:t>
      </w:r>
    </w:p>
    <w:p>
      <w:pPr>
        <w:spacing w:before="0" w:after="0" w:line="480" w:lineRule="auto"/>
        <w:jc w:val="left"/>
      </w:pPr>
      <w:r>
        <w:rPr>
          <w:rFonts w:ascii="Times New Roman" w:hAnsi="Times New Roman"/>
          <w:b w:val="0"/>
          <w:i w:val="0"/>
          <w:sz w:val="24"/>
        </w:rPr>
        <w:t xml:space="preserve">    La combinación del patrón Factory Method con el Repository permitió separar limpiamente la creación de entidades de su persistencia, facilitando la validación de objetos en memoria antes de comprometer cambios en la base de datos.</w:t>
      </w:r>
    </w:p>
    <w:p>
      <w:pPr>
        <w:spacing w:before="0" w:after="0" w:line="480" w:lineRule="auto"/>
        <w:jc w:val="left"/>
      </w:pPr>
      <w:r>
        <w:rPr>
          <w:rFonts w:ascii="Times New Roman" w:hAnsi="Times New Roman"/>
          <w:b w:val="0"/>
          <w:i w:val="0"/>
          <w:sz w:val="24"/>
        </w:rPr>
        <w:t xml:space="preserve">    Finalmente, la arquitectura modular de NestJS, alineada con el patrón Module, demostró ser el marco ideal para aplicar el conjunto de patrones de forma coherente. La modularidad permitió que cada componente del sistema fuera desarrollado, probado y razonado de forma independiente, reduciendo el acoplamiento y favoreciendo la escalabilidad del proyecto Costume Retail.</w:t>
      </w:r>
    </w:p>
    <w:p>
      <w:r>
        <w:br w:type="page"/>
      </w:r>
    </w:p>
    <w:p>
      <w:pPr>
        <w:spacing w:line="480" w:lineRule="auto" w:before="0" w:after="0"/>
        <w:jc w:val="center"/>
      </w:pPr>
      <w:r>
        <w:rPr>
          <w:rFonts w:ascii="Times New Roman" w:hAnsi="Times New Roman"/>
          <w:b/>
          <w:i w:val="0"/>
          <w:sz w:val="24"/>
        </w:rPr>
        <w:t>Referencias</w:t>
      </w:r>
    </w:p>
    <w:p>
      <w:pPr>
        <w:spacing w:line="480" w:lineRule="auto"/>
        <w:ind w:left="720" w:hanging="720"/>
      </w:pPr>
      <w:r>
        <w:rPr>
          <w:rFonts w:ascii="Times New Roman" w:hAnsi="Times New Roman"/>
          <w:b w:val="0"/>
          <w:i w:val="0"/>
          <w:sz w:val="24"/>
        </w:rPr>
        <w:t xml:space="preserve">Fowler, M. (2002). </w:t>
      </w:r>
      <w:r>
        <w:rPr>
          <w:rFonts w:ascii="Times New Roman" w:hAnsi="Times New Roman"/>
          <w:b w:val="0"/>
          <w:i/>
          <w:sz w:val="24"/>
        </w:rPr>
        <w:t>Patterns of enterprise application architecture. Addison-Wesley Professional.</w:t>
      </w:r>
    </w:p>
    <w:p>
      <w:pPr>
        <w:spacing w:line="480" w:lineRule="auto"/>
        <w:ind w:left="720" w:hanging="720"/>
      </w:pPr>
      <w:r>
        <w:rPr>
          <w:rFonts w:ascii="Times New Roman" w:hAnsi="Times New Roman"/>
          <w:b w:val="0"/>
          <w:i w:val="0"/>
          <w:sz w:val="24"/>
        </w:rPr>
        <w:t xml:space="preserve">Gamma, E., Helm, R., Johnson, R., y Vlissides, J. (1994). </w:t>
      </w:r>
      <w:r>
        <w:rPr>
          <w:rFonts w:ascii="Times New Roman" w:hAnsi="Times New Roman"/>
          <w:b w:val="0"/>
          <w:i/>
          <w:sz w:val="24"/>
        </w:rPr>
        <w:t>Design patterns: Elements of reusable object-oriented software. Addison-Wesley Professional.</w:t>
      </w:r>
    </w:p>
    <w:p>
      <w:pPr>
        <w:spacing w:line="480" w:lineRule="auto"/>
        <w:ind w:left="720" w:hanging="720"/>
      </w:pPr>
      <w:r>
        <w:rPr>
          <w:rFonts w:ascii="Times New Roman" w:hAnsi="Times New Roman"/>
          <w:b w:val="0"/>
          <w:i w:val="0"/>
          <w:sz w:val="24"/>
        </w:rPr>
        <w:t xml:space="preserve">NestJS. (2024). </w:t>
      </w:r>
      <w:r>
        <w:rPr>
          <w:rFonts w:ascii="Times New Roman" w:hAnsi="Times New Roman"/>
          <w:b w:val="0"/>
          <w:i/>
          <w:sz w:val="24"/>
        </w:rPr>
        <w:t xml:space="preserve">NestJS documentation — providers. </w:t>
      </w:r>
      <w:r>
        <w:rPr>
          <w:rFonts w:ascii="Times New Roman" w:hAnsi="Times New Roman"/>
          <w:b w:val="0"/>
          <w:i w:val="0"/>
          <w:color w:val="0563C1"/>
          <w:sz w:val="24"/>
        </w:rPr>
        <w:t>https://docs.nestjs.com/providers</w:t>
      </w:r>
    </w:p>
    <w:p>
      <w:pPr>
        <w:spacing w:line="480" w:lineRule="auto"/>
        <w:ind w:left="720" w:hanging="720"/>
      </w:pPr>
      <w:r>
        <w:rPr>
          <w:rFonts w:ascii="Times New Roman" w:hAnsi="Times New Roman"/>
          <w:b w:val="0"/>
          <w:i w:val="0"/>
          <w:sz w:val="24"/>
        </w:rPr>
        <w:t xml:space="preserve">NestJS. (2024). </w:t>
      </w:r>
      <w:r>
        <w:rPr>
          <w:rFonts w:ascii="Times New Roman" w:hAnsi="Times New Roman"/>
          <w:b w:val="0"/>
          <w:i/>
          <w:sz w:val="24"/>
        </w:rPr>
        <w:t xml:space="preserve">NestJS documentation — modules. </w:t>
      </w:r>
      <w:r>
        <w:rPr>
          <w:rFonts w:ascii="Times New Roman" w:hAnsi="Times New Roman"/>
          <w:b w:val="0"/>
          <w:i w:val="0"/>
          <w:color w:val="0563C1"/>
          <w:sz w:val="24"/>
        </w:rPr>
        <w:t>https://docs.nestjs.com/modules</w:t>
      </w:r>
    </w:p>
    <w:p>
      <w:pPr>
        <w:spacing w:line="480" w:lineRule="auto"/>
        <w:ind w:left="720" w:hanging="720"/>
      </w:pPr>
      <w:r>
        <w:rPr>
          <w:rFonts w:ascii="Times New Roman" w:hAnsi="Times New Roman"/>
          <w:b w:val="0"/>
          <w:i w:val="0"/>
          <w:sz w:val="24"/>
        </w:rPr>
        <w:t xml:space="preserve">Osmani, A. (2012). </w:t>
      </w:r>
      <w:r>
        <w:rPr>
          <w:rFonts w:ascii="Times New Roman" w:hAnsi="Times New Roman"/>
          <w:b w:val="0"/>
          <w:i/>
          <w:sz w:val="24"/>
        </w:rPr>
        <w:t xml:space="preserve">Learning JavaScript design patterns. O'Reilly Media. </w:t>
      </w:r>
      <w:r>
        <w:rPr>
          <w:rFonts w:ascii="Times New Roman" w:hAnsi="Times New Roman"/>
          <w:b w:val="0"/>
          <w:i w:val="0"/>
          <w:color w:val="0563C1"/>
          <w:sz w:val="24"/>
        </w:rPr>
        <w:t>https://www.patterns.dev/posts/classic-design-patterns/</w:t>
      </w:r>
    </w:p>
    <w:p>
      <w:pPr>
        <w:spacing w:line="480" w:lineRule="auto"/>
        <w:ind w:left="720" w:hanging="720"/>
      </w:pPr>
      <w:r>
        <w:rPr>
          <w:rFonts w:ascii="Times New Roman" w:hAnsi="Times New Roman"/>
          <w:b w:val="0"/>
          <w:i w:val="0"/>
          <w:sz w:val="24"/>
        </w:rPr>
        <w:t xml:space="preserve">TypeORM. (2024). </w:t>
      </w:r>
      <w:r>
        <w:rPr>
          <w:rFonts w:ascii="Times New Roman" w:hAnsi="Times New Roman"/>
          <w:b w:val="0"/>
          <w:i/>
          <w:sz w:val="24"/>
        </w:rPr>
        <w:t xml:space="preserve">TypeORM documentation — repository API. </w:t>
      </w:r>
      <w:r>
        <w:rPr>
          <w:rFonts w:ascii="Times New Roman" w:hAnsi="Times New Roman"/>
          <w:b w:val="0"/>
          <w:i w:val="0"/>
          <w:color w:val="0563C1"/>
          <w:sz w:val="24"/>
        </w:rPr>
        <w:t>https://typeorm.io/repository-api</w:t>
      </w:r>
    </w:p>
    <w:p>
      <w:pPr>
        <w:spacing w:line="480" w:lineRule="auto"/>
        <w:ind w:left="720" w:hanging="720"/>
      </w:pPr>
      <w:r>
        <w:rPr>
          <w:rFonts w:ascii="Times New Roman" w:hAnsi="Times New Roman"/>
          <w:b w:val="0"/>
          <w:i w:val="0"/>
          <w:sz w:val="24"/>
        </w:rPr>
        <w:t xml:space="preserve">Freeman, E., Robson, E., Bates, B., y Sierra, K. (2004). </w:t>
      </w:r>
      <w:r>
        <w:rPr>
          <w:rFonts w:ascii="Times New Roman" w:hAnsi="Times New Roman"/>
          <w:b w:val="0"/>
          <w:i/>
          <w:sz w:val="24"/>
        </w:rPr>
        <w:t>Head first design patterns.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