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9049" w14:textId="07E30800" w:rsidR="00C83B07" w:rsidRDefault="004A7FA6" w:rsidP="004A7FA6">
      <w:pPr>
        <w:pStyle w:val="1"/>
        <w:jc w:val="center"/>
      </w:pPr>
      <w:r w:rsidRPr="004A7FA6">
        <w:t>Инвариантная самостоятельная работа № 1.3. Стандарты и спецификации в сфере ИТ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3663"/>
        <w:gridCol w:w="5235"/>
      </w:tblGrid>
      <w:tr w:rsidR="004A7FA6" w14:paraId="26050CAE" w14:textId="77777777" w:rsidTr="00950EE6">
        <w:tc>
          <w:tcPr>
            <w:tcW w:w="447" w:type="dxa"/>
          </w:tcPr>
          <w:p w14:paraId="19A15562" w14:textId="3D159457" w:rsidR="004A7FA6" w:rsidRPr="004A7FA6" w:rsidRDefault="004A7FA6" w:rsidP="004A7FA6">
            <w:pPr>
              <w:jc w:val="center"/>
              <w:rPr>
                <w:b/>
                <w:bCs/>
              </w:rPr>
            </w:pPr>
            <w:r w:rsidRPr="004A7FA6">
              <w:rPr>
                <w:b/>
                <w:bCs/>
              </w:rPr>
              <w:t>№</w:t>
            </w:r>
          </w:p>
        </w:tc>
        <w:tc>
          <w:tcPr>
            <w:tcW w:w="3663" w:type="dxa"/>
          </w:tcPr>
          <w:p w14:paraId="5D5551B6" w14:textId="7AF8202C" w:rsidR="004A7FA6" w:rsidRPr="004A7FA6" w:rsidRDefault="004A7FA6" w:rsidP="004A7FA6">
            <w:pPr>
              <w:jc w:val="center"/>
              <w:rPr>
                <w:b/>
                <w:bCs/>
              </w:rPr>
            </w:pPr>
            <w:r w:rsidRPr="004A7FA6">
              <w:rPr>
                <w:b/>
                <w:bCs/>
              </w:rPr>
              <w:t>Стандарт/спецификация</w:t>
            </w:r>
          </w:p>
        </w:tc>
        <w:tc>
          <w:tcPr>
            <w:tcW w:w="5235" w:type="dxa"/>
          </w:tcPr>
          <w:p w14:paraId="2D2CAD67" w14:textId="61E978B0" w:rsidR="004A7FA6" w:rsidRPr="004A7FA6" w:rsidRDefault="004A7FA6" w:rsidP="004A7FA6">
            <w:pPr>
              <w:jc w:val="center"/>
              <w:rPr>
                <w:b/>
                <w:bCs/>
              </w:rPr>
            </w:pPr>
            <w:r w:rsidRPr="004A7FA6">
              <w:rPr>
                <w:b/>
                <w:bCs/>
              </w:rPr>
              <w:t>Аннотация</w:t>
            </w:r>
          </w:p>
        </w:tc>
      </w:tr>
      <w:tr w:rsidR="004A7FA6" w14:paraId="5F9B8A4F" w14:textId="77777777" w:rsidTr="00950EE6">
        <w:tc>
          <w:tcPr>
            <w:tcW w:w="447" w:type="dxa"/>
          </w:tcPr>
          <w:p w14:paraId="2AC434E5" w14:textId="25CE8307" w:rsidR="004A7FA6" w:rsidRDefault="004A7FA6" w:rsidP="004A7FA6">
            <w:r>
              <w:t>1</w:t>
            </w:r>
          </w:p>
        </w:tc>
        <w:tc>
          <w:tcPr>
            <w:tcW w:w="3663" w:type="dxa"/>
          </w:tcPr>
          <w:p w14:paraId="442E0C2F" w14:textId="3CCDFF15" w:rsidR="004A7FA6" w:rsidRDefault="004A7FA6" w:rsidP="004A7FA6">
            <w:r w:rsidRPr="004A7FA6">
              <w:t>ГОСТ Р ИСО/МЭК 12207-99 «Информационная технология. Процессы жизненного цикла программных средств»</w:t>
            </w:r>
          </w:p>
        </w:tc>
        <w:tc>
          <w:tcPr>
            <w:tcW w:w="5235" w:type="dxa"/>
          </w:tcPr>
          <w:p w14:paraId="35963C7E" w14:textId="244FA257" w:rsidR="004A7FA6" w:rsidRDefault="004A7FA6" w:rsidP="004A7FA6">
            <w:r>
              <w:t>Описана н</w:t>
            </w:r>
            <w:r w:rsidRPr="004A7FA6">
              <w:t>еобходимость стандартизации разработки программного обеспечения наиболее удачно</w:t>
            </w:r>
            <w:r w:rsidR="00950EE6">
              <w:t>.</w:t>
            </w:r>
          </w:p>
        </w:tc>
      </w:tr>
      <w:tr w:rsidR="004A7FA6" w14:paraId="2A9F5A1B" w14:textId="77777777" w:rsidTr="00950EE6">
        <w:tc>
          <w:tcPr>
            <w:tcW w:w="447" w:type="dxa"/>
          </w:tcPr>
          <w:p w14:paraId="6D15DF0D" w14:textId="7E85767C" w:rsidR="004A7FA6" w:rsidRDefault="004A7FA6" w:rsidP="004A7FA6">
            <w:r>
              <w:t>2</w:t>
            </w:r>
          </w:p>
        </w:tc>
        <w:tc>
          <w:tcPr>
            <w:tcW w:w="3663" w:type="dxa"/>
          </w:tcPr>
          <w:p w14:paraId="7B1AD434" w14:textId="401D5BE4" w:rsidR="004A7FA6" w:rsidRDefault="00950EE6" w:rsidP="004A7FA6">
            <w:r w:rsidRPr="00950EE6">
              <w:t>ГОСТ Р ИСО/МЭК 12207-99</w:t>
            </w:r>
          </w:p>
        </w:tc>
        <w:tc>
          <w:tcPr>
            <w:tcW w:w="5235" w:type="dxa"/>
          </w:tcPr>
          <w:p w14:paraId="4F4BD10A" w14:textId="7E173B02" w:rsidR="004A7FA6" w:rsidRDefault="00950EE6" w:rsidP="004A7FA6">
            <w:r>
              <w:t>Оп</w:t>
            </w:r>
            <w:r w:rsidRPr="00950EE6">
              <w:t xml:space="preserve">ределяет базовое понятие программной системы </w:t>
            </w:r>
            <w:r>
              <w:t>—</w:t>
            </w:r>
            <w:r w:rsidRPr="00950EE6">
              <w:t xml:space="preserve"> «жизненный цикл»</w:t>
            </w:r>
            <w:r>
              <w:t>.</w:t>
            </w:r>
          </w:p>
        </w:tc>
      </w:tr>
      <w:tr w:rsidR="004A7FA6" w14:paraId="2DF3F129" w14:textId="77777777" w:rsidTr="00950EE6">
        <w:tc>
          <w:tcPr>
            <w:tcW w:w="447" w:type="dxa"/>
          </w:tcPr>
          <w:p w14:paraId="3E507FBF" w14:textId="611F762B" w:rsidR="004A7FA6" w:rsidRDefault="004A7FA6" w:rsidP="004A7FA6">
            <w:r>
              <w:t>3</w:t>
            </w:r>
          </w:p>
        </w:tc>
        <w:tc>
          <w:tcPr>
            <w:tcW w:w="3663" w:type="dxa"/>
          </w:tcPr>
          <w:p w14:paraId="3141963C" w14:textId="217AE3DA" w:rsidR="004A7FA6" w:rsidRDefault="00950EE6" w:rsidP="004A7FA6">
            <w:r w:rsidRPr="00950EE6">
              <w:t>ГОСТ Р ИСО/МЭК 12207-99</w:t>
            </w:r>
          </w:p>
        </w:tc>
        <w:tc>
          <w:tcPr>
            <w:tcW w:w="5235" w:type="dxa"/>
          </w:tcPr>
          <w:p w14:paraId="3C2D3917" w14:textId="6DCEF633" w:rsidR="004A7FA6" w:rsidRDefault="00950EE6" w:rsidP="004A7FA6">
            <w:r>
              <w:t>В</w:t>
            </w:r>
            <w:r w:rsidRPr="00950EE6">
              <w:t>водит понятие модели жизненного цикла как структуры, состоящей из процессов, и охватывающей жизнь системы от установления требований к ней до прекращения ее использования.</w:t>
            </w:r>
          </w:p>
        </w:tc>
      </w:tr>
      <w:tr w:rsidR="004A7FA6" w14:paraId="35D0748F" w14:textId="77777777" w:rsidTr="00950EE6">
        <w:tc>
          <w:tcPr>
            <w:tcW w:w="447" w:type="dxa"/>
          </w:tcPr>
          <w:p w14:paraId="02778884" w14:textId="0F054B08" w:rsidR="004A7FA6" w:rsidRDefault="004A7FA6" w:rsidP="004A7FA6">
            <w:r>
              <w:t>4</w:t>
            </w:r>
          </w:p>
        </w:tc>
        <w:tc>
          <w:tcPr>
            <w:tcW w:w="3663" w:type="dxa"/>
          </w:tcPr>
          <w:p w14:paraId="3EBCE288" w14:textId="6BA4B832" w:rsidR="004A7FA6" w:rsidRDefault="00950EE6" w:rsidP="004A7FA6">
            <w:r w:rsidRPr="00950EE6">
              <w:t>ГОСТ 12207-99</w:t>
            </w:r>
          </w:p>
        </w:tc>
        <w:tc>
          <w:tcPr>
            <w:tcW w:w="5235" w:type="dxa"/>
          </w:tcPr>
          <w:p w14:paraId="6F4B462F" w14:textId="0FF323E4" w:rsidR="004A7FA6" w:rsidRDefault="00950EE6" w:rsidP="004A7FA6">
            <w:r>
              <w:t>Р</w:t>
            </w:r>
            <w:r w:rsidRPr="00950EE6">
              <w:t>аботы, входящие в состав основных, вспомогательных и организационных процессов охарактеризованы очень общо, фактически намечены только их направления</w:t>
            </w:r>
            <w:r>
              <w:t>.</w:t>
            </w:r>
          </w:p>
        </w:tc>
      </w:tr>
      <w:tr w:rsidR="004A7FA6" w14:paraId="431DE26B" w14:textId="77777777" w:rsidTr="00950EE6">
        <w:tc>
          <w:tcPr>
            <w:tcW w:w="447" w:type="dxa"/>
          </w:tcPr>
          <w:p w14:paraId="1914529D" w14:textId="591C2B9A" w:rsidR="004A7FA6" w:rsidRDefault="004A7FA6" w:rsidP="004A7FA6">
            <w:r>
              <w:t>5</w:t>
            </w:r>
          </w:p>
        </w:tc>
        <w:tc>
          <w:tcPr>
            <w:tcW w:w="3663" w:type="dxa"/>
          </w:tcPr>
          <w:p w14:paraId="3BB22182" w14:textId="3E43077C" w:rsidR="004A7FA6" w:rsidRDefault="00950EE6" w:rsidP="004A7FA6">
            <w:r w:rsidRPr="00950EE6">
              <w:t>ГОСТ Р ИСО/МЭК 12119-2000 «Информационная технология. Пакеты программ. Требования к качеству и тестирование»</w:t>
            </w:r>
          </w:p>
        </w:tc>
        <w:tc>
          <w:tcPr>
            <w:tcW w:w="5235" w:type="dxa"/>
          </w:tcPr>
          <w:p w14:paraId="3BBC5537" w14:textId="3728ED6F" w:rsidR="004A7FA6" w:rsidRDefault="00950EE6" w:rsidP="004A7FA6">
            <w:r>
              <w:t>С</w:t>
            </w:r>
            <w:r w:rsidRPr="00950EE6">
              <w:t>одержит указания, которые определяют порядок тестирования продукта на соответствие его требованиям к качеству.</w:t>
            </w:r>
          </w:p>
        </w:tc>
      </w:tr>
      <w:tr w:rsidR="004A7FA6" w14:paraId="7053248D" w14:textId="77777777" w:rsidTr="00950EE6">
        <w:tc>
          <w:tcPr>
            <w:tcW w:w="447" w:type="dxa"/>
          </w:tcPr>
          <w:p w14:paraId="6C83E8A0" w14:textId="28C1878B" w:rsidR="004A7FA6" w:rsidRDefault="004A7FA6" w:rsidP="004A7FA6">
            <w:r>
              <w:t>6</w:t>
            </w:r>
          </w:p>
        </w:tc>
        <w:tc>
          <w:tcPr>
            <w:tcW w:w="3663" w:type="dxa"/>
          </w:tcPr>
          <w:p w14:paraId="1B804673" w14:textId="56514E00" w:rsidR="004A7FA6" w:rsidRDefault="00950EE6" w:rsidP="004A7FA6">
            <w:r w:rsidRPr="00950EE6">
              <w:t>ГОСТ Р ИСО/МЭК 9126-93. «Информационная технология. Оценка программной продукции. Характеристики качества и руководства по их применению»</w:t>
            </w:r>
          </w:p>
        </w:tc>
        <w:tc>
          <w:tcPr>
            <w:tcW w:w="5235" w:type="dxa"/>
          </w:tcPr>
          <w:p w14:paraId="231B7B3A" w14:textId="7006E20A" w:rsidR="004A7FA6" w:rsidRDefault="00950EE6" w:rsidP="004A7FA6">
            <w:r w:rsidRPr="00950EE6">
              <w:t>Стандарт определяет шесть комплексных характеристик, которые с минимальным дублированием описывают качество ПС</w:t>
            </w:r>
            <w:r>
              <w:t>.</w:t>
            </w:r>
          </w:p>
        </w:tc>
      </w:tr>
      <w:tr w:rsidR="004A7FA6" w14:paraId="6769FAA5" w14:textId="77777777" w:rsidTr="00950EE6">
        <w:tc>
          <w:tcPr>
            <w:tcW w:w="447" w:type="dxa"/>
          </w:tcPr>
          <w:p w14:paraId="40AE362D" w14:textId="237995BF" w:rsidR="004A7FA6" w:rsidRDefault="004A7FA6" w:rsidP="004A7FA6">
            <w:r>
              <w:t>7</w:t>
            </w:r>
          </w:p>
        </w:tc>
        <w:tc>
          <w:tcPr>
            <w:tcW w:w="3663" w:type="dxa"/>
          </w:tcPr>
          <w:p w14:paraId="7661270C" w14:textId="14594FDF" w:rsidR="004A7FA6" w:rsidRDefault="00950EE6" w:rsidP="004A7FA6">
            <w:r w:rsidRPr="00950EE6">
              <w:t>ГОСТ 28195-89 «Оценка качества программных средств. Общие положения»</w:t>
            </w:r>
          </w:p>
        </w:tc>
        <w:tc>
          <w:tcPr>
            <w:tcW w:w="5235" w:type="dxa"/>
          </w:tcPr>
          <w:p w14:paraId="0823FB3D" w14:textId="144726BC" w:rsidR="004A7FA6" w:rsidRDefault="00950EE6" w:rsidP="004A7FA6">
            <w:r>
              <w:t>Н</w:t>
            </w:r>
            <w:r w:rsidRPr="00950EE6">
              <w:t xml:space="preserve">а верхнем, первом, уровне выделяет 6 показателей – факторов качества: надежность, корректность, удобство применения, эффективность, универсальность и </w:t>
            </w:r>
            <w:proofErr w:type="spellStart"/>
            <w:r w:rsidRPr="00950EE6">
              <w:t>сопровождаемость</w:t>
            </w:r>
            <w:proofErr w:type="spellEnd"/>
            <w:r w:rsidRPr="00950EE6">
              <w:t>. Эти факторы детализируются в совокупности 19 критериями качества на втором уровне. Дальнейшая детализация показателей качества представлена метриками и оценочными элементами, которых насчитывается около 240.</w:t>
            </w:r>
          </w:p>
        </w:tc>
      </w:tr>
      <w:tr w:rsidR="00950EE6" w14:paraId="14F215DE" w14:textId="77777777" w:rsidTr="00950EE6">
        <w:tc>
          <w:tcPr>
            <w:tcW w:w="447" w:type="dxa"/>
          </w:tcPr>
          <w:p w14:paraId="61EA1638" w14:textId="263DA5F0" w:rsidR="00950EE6" w:rsidRDefault="00950EE6" w:rsidP="004A7FA6">
            <w:r>
              <w:t>8</w:t>
            </w:r>
          </w:p>
        </w:tc>
        <w:tc>
          <w:tcPr>
            <w:tcW w:w="3663" w:type="dxa"/>
          </w:tcPr>
          <w:p w14:paraId="6C633E47" w14:textId="562890FA" w:rsidR="00950EE6" w:rsidRPr="00950EE6" w:rsidRDefault="00950EE6" w:rsidP="004A7FA6">
            <w:r w:rsidRPr="00950EE6">
              <w:t>ГОСТ 28806-90 «Качество программных средств. Термины и определения»</w:t>
            </w:r>
          </w:p>
        </w:tc>
        <w:tc>
          <w:tcPr>
            <w:tcW w:w="5235" w:type="dxa"/>
          </w:tcPr>
          <w:p w14:paraId="36592520" w14:textId="1BE13D63" w:rsidR="00950EE6" w:rsidRPr="00950EE6" w:rsidRDefault="00950EE6" w:rsidP="00950EE6">
            <w:r w:rsidRPr="00950EE6">
              <w:t>В стандарте</w:t>
            </w:r>
            <w:r>
              <w:t xml:space="preserve"> </w:t>
            </w:r>
            <w:r w:rsidRPr="00950EE6">
              <w:t>формализуются общие понятия программы, программного средства, программного продукта и их качества.</w:t>
            </w:r>
          </w:p>
        </w:tc>
      </w:tr>
      <w:tr w:rsidR="00950EE6" w14:paraId="70D93D3E" w14:textId="77777777" w:rsidTr="00950EE6">
        <w:tc>
          <w:tcPr>
            <w:tcW w:w="447" w:type="dxa"/>
          </w:tcPr>
          <w:p w14:paraId="7A28DF6F" w14:textId="590F7992" w:rsidR="00950EE6" w:rsidRDefault="00950EE6" w:rsidP="004A7FA6">
            <w:r>
              <w:t>9</w:t>
            </w:r>
          </w:p>
        </w:tc>
        <w:tc>
          <w:tcPr>
            <w:tcW w:w="3663" w:type="dxa"/>
          </w:tcPr>
          <w:p w14:paraId="0D10B185" w14:textId="3FD1C87D" w:rsidR="00950EE6" w:rsidRPr="00950EE6" w:rsidRDefault="00950EE6" w:rsidP="004A7FA6">
            <w:r w:rsidRPr="00950EE6">
              <w:t>IEEE 739-1989</w:t>
            </w:r>
          </w:p>
        </w:tc>
        <w:tc>
          <w:tcPr>
            <w:tcW w:w="5235" w:type="dxa"/>
          </w:tcPr>
          <w:p w14:paraId="5476E919" w14:textId="12A614C3" w:rsidR="00950EE6" w:rsidRPr="00950EE6" w:rsidRDefault="00950EE6" w:rsidP="00950EE6">
            <w:r>
              <w:t xml:space="preserve">Стандарт </w:t>
            </w:r>
            <w:r>
              <w:t>определяет</w:t>
            </w:r>
            <w:r>
              <w:t xml:space="preserve"> </w:t>
            </w:r>
            <w:r>
              <w:t>кто будет нести ответственность за качество</w:t>
            </w:r>
            <w:r>
              <w:t xml:space="preserve">, </w:t>
            </w:r>
            <w:r>
              <w:t>какая документация требуется</w:t>
            </w:r>
            <w:r>
              <w:t xml:space="preserve">, </w:t>
            </w:r>
            <w:r>
              <w:t>какие методы будут использоваться для гарантии качества</w:t>
            </w:r>
            <w:r>
              <w:t xml:space="preserve">, </w:t>
            </w:r>
            <w:r>
              <w:t>какие мероприятия должны быть проведены в ходе управления процессом.</w:t>
            </w:r>
          </w:p>
        </w:tc>
      </w:tr>
      <w:tr w:rsidR="00950EE6" w14:paraId="6DC681D1" w14:textId="77777777" w:rsidTr="00950EE6">
        <w:tc>
          <w:tcPr>
            <w:tcW w:w="447" w:type="dxa"/>
          </w:tcPr>
          <w:p w14:paraId="5A0F8E88" w14:textId="187B2BAC" w:rsidR="00950EE6" w:rsidRDefault="00950EE6" w:rsidP="004A7FA6">
            <w:r>
              <w:t>10</w:t>
            </w:r>
          </w:p>
        </w:tc>
        <w:tc>
          <w:tcPr>
            <w:tcW w:w="3663" w:type="dxa"/>
          </w:tcPr>
          <w:p w14:paraId="21DBEA46" w14:textId="1964FB6A" w:rsidR="00950EE6" w:rsidRPr="00950EE6" w:rsidRDefault="00950EE6" w:rsidP="004A7FA6">
            <w:r w:rsidRPr="00950EE6">
              <w:t>ГОСТ 13377-75 «Надежность в технике. Термины и определения»</w:t>
            </w:r>
          </w:p>
        </w:tc>
        <w:tc>
          <w:tcPr>
            <w:tcW w:w="5235" w:type="dxa"/>
          </w:tcPr>
          <w:p w14:paraId="0CB7445E" w14:textId="0643E266" w:rsidR="00950EE6" w:rsidRPr="00950EE6" w:rsidRDefault="00950EE6" w:rsidP="00950EE6">
            <w:r>
              <w:t>В стандарте важным является определение надёжности.</w:t>
            </w:r>
          </w:p>
        </w:tc>
      </w:tr>
      <w:tr w:rsidR="00950EE6" w:rsidRPr="00950EE6" w14:paraId="0EDAEC48" w14:textId="77777777" w:rsidTr="00950EE6">
        <w:tc>
          <w:tcPr>
            <w:tcW w:w="447" w:type="dxa"/>
          </w:tcPr>
          <w:p w14:paraId="6FAB0EA3" w14:textId="6F07B3D3" w:rsidR="00950EE6" w:rsidRDefault="00950EE6" w:rsidP="004A7FA6">
            <w:r>
              <w:t>11</w:t>
            </w:r>
          </w:p>
        </w:tc>
        <w:tc>
          <w:tcPr>
            <w:tcW w:w="3663" w:type="dxa"/>
          </w:tcPr>
          <w:p w14:paraId="105D6F31" w14:textId="795ADB1A" w:rsidR="00950EE6" w:rsidRPr="00950EE6" w:rsidRDefault="00950EE6" w:rsidP="004A7FA6">
            <w:pPr>
              <w:rPr>
                <w:lang w:val="en-US"/>
              </w:rPr>
            </w:pPr>
            <w:r w:rsidRPr="00950EE6">
              <w:rPr>
                <w:lang w:val="en-US"/>
              </w:rPr>
              <w:t>IEEE 1012-1986 Software Verification and Validation Plan (SVVP)</w:t>
            </w:r>
          </w:p>
        </w:tc>
        <w:tc>
          <w:tcPr>
            <w:tcW w:w="5235" w:type="dxa"/>
          </w:tcPr>
          <w:p w14:paraId="6B7F5489" w14:textId="566B20CF" w:rsidR="00950EE6" w:rsidRPr="00950EE6" w:rsidRDefault="00950EE6" w:rsidP="00950EE6">
            <w:r w:rsidRPr="00950EE6">
              <w:t>Стандарт</w:t>
            </w:r>
            <w:r>
              <w:t xml:space="preserve"> </w:t>
            </w:r>
            <w:r w:rsidRPr="00950EE6">
              <w:t>объединяет процессы аттестации и аудита под названием валидация и определяет порядок их проведения.</w:t>
            </w:r>
          </w:p>
        </w:tc>
      </w:tr>
      <w:tr w:rsidR="00950EE6" w14:paraId="0E74F41A" w14:textId="77777777" w:rsidTr="00950EE6">
        <w:tc>
          <w:tcPr>
            <w:tcW w:w="447" w:type="dxa"/>
          </w:tcPr>
          <w:p w14:paraId="42DC26A4" w14:textId="7FDEF8C6" w:rsidR="00950EE6" w:rsidRDefault="00950EE6" w:rsidP="004A7FA6">
            <w:r>
              <w:t>12</w:t>
            </w:r>
          </w:p>
        </w:tc>
        <w:tc>
          <w:tcPr>
            <w:tcW w:w="3663" w:type="dxa"/>
          </w:tcPr>
          <w:p w14:paraId="12C32CE2" w14:textId="492A5075" w:rsidR="00950EE6" w:rsidRPr="00950EE6" w:rsidRDefault="00950EE6" w:rsidP="004A7FA6">
            <w:r w:rsidRPr="00950EE6">
              <w:t xml:space="preserve">ГОСТ Р ИСО/МЭК 9294-93. «Информационная технология. </w:t>
            </w:r>
            <w:r w:rsidRPr="00950EE6">
              <w:lastRenderedPageBreak/>
              <w:t>Руководство по управлению документированием программного обеспечения»</w:t>
            </w:r>
          </w:p>
        </w:tc>
        <w:tc>
          <w:tcPr>
            <w:tcW w:w="5235" w:type="dxa"/>
          </w:tcPr>
          <w:p w14:paraId="649DA2A1" w14:textId="4BA8A8D7" w:rsidR="00950EE6" w:rsidRPr="00950EE6" w:rsidRDefault="00950EE6" w:rsidP="00950EE6">
            <w:r>
              <w:lastRenderedPageBreak/>
              <w:t>У</w:t>
            </w:r>
            <w:r w:rsidRPr="00950EE6">
              <w:t xml:space="preserve">станавливает рекомендации по эффективному управлению документированием ПС. Целью </w:t>
            </w:r>
            <w:r w:rsidRPr="00950EE6">
              <w:lastRenderedPageBreak/>
              <w:t>стандарта является оказание помощи в определении стратегии документирования ПС; выборе стандартов по документированию; выборе процедур документирования; определении необходимых ресурсов; составлении планов документирования.</w:t>
            </w:r>
          </w:p>
        </w:tc>
      </w:tr>
    </w:tbl>
    <w:p w14:paraId="2BB68B85" w14:textId="77777777" w:rsidR="004A7FA6" w:rsidRPr="004A7FA6" w:rsidRDefault="004A7FA6" w:rsidP="004A7FA6"/>
    <w:sectPr w:rsidR="004A7FA6" w:rsidRPr="004A7F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sDQ1NjA3MTczNjNX0lEKTi0uzszPAykwrAUA5APL+ywAAAA="/>
  </w:docVars>
  <w:rsids>
    <w:rsidRoot w:val="00E074C7"/>
    <w:rsid w:val="004A7FA6"/>
    <w:rsid w:val="00950EE6"/>
    <w:rsid w:val="00C83B07"/>
    <w:rsid w:val="00E0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F6AC"/>
  <w15:chartTrackingRefBased/>
  <w15:docId w15:val="{B66CBDB4-94CA-41F4-A067-22455F6F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FA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4A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A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2021-02-14T20:52:00Z</dcterms:created>
  <dcterms:modified xsi:type="dcterms:W3CDTF">2021-02-14T21:19:00Z</dcterms:modified>
</cp:coreProperties>
</file>