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5FAFC1" w14:textId="77777777" w:rsidR="00D97A89" w:rsidRPr="000813F0" w:rsidRDefault="00D97A89" w:rsidP="00D97A89">
      <w:pPr>
        <w:pStyle w:val="Heading1"/>
        <w:jc w:val="center"/>
        <w:rPr>
          <w:lang w:val="en-US"/>
        </w:rPr>
      </w:pPr>
      <w:r w:rsidRPr="00D31FEB">
        <w:t>Аннотированный</w:t>
      </w:r>
      <w:r w:rsidRPr="000813F0">
        <w:rPr>
          <w:lang w:val="en-US"/>
        </w:rPr>
        <w:t xml:space="preserve"> </w:t>
      </w:r>
      <w:r w:rsidRPr="00D31FEB">
        <w:t>перевод</w:t>
      </w:r>
      <w:r w:rsidRPr="000813F0">
        <w:rPr>
          <w:lang w:val="en-US"/>
        </w:rPr>
        <w:t xml:space="preserve"> </w:t>
      </w:r>
      <w:r w:rsidRPr="00D31FEB">
        <w:t>статьи</w:t>
      </w:r>
    </w:p>
    <w:p w14:paraId="1BFA403C" w14:textId="77777777" w:rsidR="00D97A89" w:rsidRDefault="00D97A89" w:rsidP="00D97A89">
      <w:pPr>
        <w:pStyle w:val="Heading3"/>
        <w:jc w:val="center"/>
        <w:rPr>
          <w:color w:val="2F5496" w:themeColor="accent1" w:themeShade="BF"/>
          <w:sz w:val="26"/>
          <w:szCs w:val="26"/>
          <w:lang w:val="en-US"/>
        </w:rPr>
      </w:pPr>
      <w:r w:rsidRPr="00D97A89">
        <w:rPr>
          <w:color w:val="2F5496" w:themeColor="accent1" w:themeShade="BF"/>
          <w:sz w:val="26"/>
          <w:szCs w:val="26"/>
          <w:lang w:val="en-US"/>
        </w:rPr>
        <w:t>Supercomputer simulations present potential active substances against coronavirus</w:t>
      </w:r>
    </w:p>
    <w:p w14:paraId="11D31E24" w14:textId="19C7AB10" w:rsidR="00D97A89" w:rsidRPr="00523A1B" w:rsidRDefault="00D97A89" w:rsidP="00D97A89">
      <w:pPr>
        <w:pStyle w:val="Heading3"/>
        <w:jc w:val="center"/>
        <w:rPr>
          <w:lang w:val="en-US"/>
        </w:rPr>
      </w:pPr>
      <w:r w:rsidRPr="00523A1B">
        <w:rPr>
          <w:lang w:val="en-US"/>
        </w:rPr>
        <w:t>SUMMARY</w:t>
      </w:r>
    </w:p>
    <w:p w14:paraId="444AFADE" w14:textId="77777777" w:rsidR="00D97A89" w:rsidRDefault="00D97A89" w:rsidP="00D97A89">
      <w:pPr>
        <w:pStyle w:val="Heading3"/>
        <w:rPr>
          <w:rFonts w:asciiTheme="minorHAnsi" w:eastAsiaTheme="minorHAnsi" w:hAnsiTheme="minorHAnsi" w:cstheme="minorBidi"/>
          <w:color w:val="auto"/>
          <w:sz w:val="22"/>
          <w:szCs w:val="22"/>
          <w:lang w:val="en-US"/>
        </w:rPr>
      </w:pPr>
      <w:r w:rsidRPr="00D97A89">
        <w:rPr>
          <w:rFonts w:asciiTheme="minorHAnsi" w:eastAsiaTheme="minorHAnsi" w:hAnsiTheme="minorHAnsi" w:cstheme="minorBidi"/>
          <w:color w:val="auto"/>
          <w:sz w:val="22"/>
          <w:szCs w:val="22"/>
          <w:lang w:val="en-US"/>
        </w:rPr>
        <w:t>Several drugs approved for treating hepatitis C viral infection were identified as potential candidates against COVID-19, the disease caused by the SARS-CoV-2 coronavirus. This is the result of research based on extensive calculations using the MOGON II supercomputer at Johannes Gutenberg University Mainz (JGU).</w:t>
      </w:r>
    </w:p>
    <w:p w14:paraId="5CB7B012" w14:textId="6A045C04" w:rsidR="00D97A89" w:rsidRPr="00523A1B" w:rsidRDefault="00D97A89" w:rsidP="00D97A89">
      <w:pPr>
        <w:pStyle w:val="Heading3"/>
        <w:jc w:val="center"/>
        <w:rPr>
          <w:lang w:val="en-US"/>
        </w:rPr>
      </w:pPr>
      <w:r w:rsidRPr="00523A1B">
        <w:rPr>
          <w:lang w:val="en-US"/>
        </w:rPr>
        <w:t>FULL STORY</w:t>
      </w:r>
    </w:p>
    <w:p w14:paraId="4C77E023" w14:textId="77777777" w:rsidR="00D97A89" w:rsidRPr="00D97A89" w:rsidRDefault="00D97A89" w:rsidP="00D97A89">
      <w:pPr>
        <w:rPr>
          <w:lang w:val="en-US"/>
        </w:rPr>
      </w:pPr>
      <w:r w:rsidRPr="00D97A89">
        <w:rPr>
          <w:lang w:val="en-US"/>
        </w:rPr>
        <w:t xml:space="preserve">One of the most powerful computers in the world, MOGON II is operated by JGU and the Helmholtz Institute Mainz. As the JGU researchers explained in their paper recently published at the World Health Organization (WHO) website, they had simulated the way that about 42,000 different substances listed in open databases bind to certain proteins of SARS-CoV-2 and thereby inhibit the penetration of the virus into the human body or its multiplication. "This computer simulation method is known as molecular docking and it has been recognized and used for years. It is much faster and less expensive than lab experiments," said Professor Thomas </w:t>
      </w:r>
      <w:proofErr w:type="spellStart"/>
      <w:r w:rsidRPr="00D97A89">
        <w:rPr>
          <w:lang w:val="en-US"/>
        </w:rPr>
        <w:t>Efferth</w:t>
      </w:r>
      <w:proofErr w:type="spellEnd"/>
      <w:r w:rsidRPr="00D97A89">
        <w:rPr>
          <w:lang w:val="en-US"/>
        </w:rPr>
        <w:t xml:space="preserve"> of the JGU Institute of Pharmacy and Biomedical Sciences, lead author of the study. "As far as we know, we were the first to have used molecular docking with SARS-CoV-2. And it is fantastic news that we have found a number of approved hepatitis C drugs as promising candidates for treatment."</w:t>
      </w:r>
    </w:p>
    <w:p w14:paraId="2DDE7E66" w14:textId="77777777" w:rsidR="00D97A89" w:rsidRPr="00D97A89" w:rsidRDefault="00D97A89" w:rsidP="00D97A89">
      <w:pPr>
        <w:rPr>
          <w:lang w:val="en-US"/>
        </w:rPr>
      </w:pPr>
      <w:r w:rsidRPr="00D97A89">
        <w:rPr>
          <w:lang w:val="en-US"/>
        </w:rPr>
        <w:t xml:space="preserve">Using the MOGON II supercomputer, the </w:t>
      </w:r>
      <w:proofErr w:type="spellStart"/>
      <w:r w:rsidRPr="00D97A89">
        <w:rPr>
          <w:lang w:val="en-US"/>
        </w:rPr>
        <w:t>reseachers</w:t>
      </w:r>
      <w:proofErr w:type="spellEnd"/>
      <w:r w:rsidRPr="00D97A89">
        <w:rPr>
          <w:lang w:val="en-US"/>
        </w:rPr>
        <w:t xml:space="preserve"> made more than 30 billion single calculations within two months and found that compounds from the four hepatitis C drugs </w:t>
      </w:r>
      <w:proofErr w:type="spellStart"/>
      <w:r w:rsidRPr="00D97A89">
        <w:rPr>
          <w:lang w:val="en-US"/>
        </w:rPr>
        <w:t>simeprevir</w:t>
      </w:r>
      <w:proofErr w:type="spellEnd"/>
      <w:r w:rsidRPr="00D97A89">
        <w:rPr>
          <w:lang w:val="en-US"/>
        </w:rPr>
        <w:t xml:space="preserve">, </w:t>
      </w:r>
      <w:proofErr w:type="spellStart"/>
      <w:r w:rsidRPr="00D97A89">
        <w:rPr>
          <w:lang w:val="en-US"/>
        </w:rPr>
        <w:t>paritaprevir</w:t>
      </w:r>
      <w:proofErr w:type="spellEnd"/>
      <w:r w:rsidRPr="00D97A89">
        <w:rPr>
          <w:lang w:val="en-US"/>
        </w:rPr>
        <w:t xml:space="preserve">, grazoprevir, and </w:t>
      </w:r>
      <w:proofErr w:type="spellStart"/>
      <w:r w:rsidRPr="00D97A89">
        <w:rPr>
          <w:lang w:val="en-US"/>
        </w:rPr>
        <w:t>velpatasvir</w:t>
      </w:r>
      <w:proofErr w:type="spellEnd"/>
      <w:r w:rsidRPr="00D97A89">
        <w:rPr>
          <w:lang w:val="en-US"/>
        </w:rPr>
        <w:t xml:space="preserve"> have a high affinity to bind SARS-CoV-2 very strongly and may therefore be able to prevent infection.</w:t>
      </w:r>
    </w:p>
    <w:p w14:paraId="4BA3E72C" w14:textId="77777777" w:rsidR="00D97A89" w:rsidRPr="00D97A89" w:rsidRDefault="00D97A89" w:rsidP="00D97A89">
      <w:pPr>
        <w:rPr>
          <w:lang w:val="en-US"/>
        </w:rPr>
      </w:pPr>
      <w:r w:rsidRPr="00D97A89">
        <w:rPr>
          <w:lang w:val="en-US"/>
        </w:rPr>
        <w:t xml:space="preserve">"This is also supported by the fact that both SARS-CoV-2 and the hepatitis C virus are a virus of the same type, a so-called single-stranded RNA virus," explained </w:t>
      </w:r>
      <w:proofErr w:type="spellStart"/>
      <w:r w:rsidRPr="00D97A89">
        <w:rPr>
          <w:lang w:val="en-US"/>
        </w:rPr>
        <w:t>Efferth</w:t>
      </w:r>
      <w:proofErr w:type="spellEnd"/>
      <w:r w:rsidRPr="00D97A89">
        <w:rPr>
          <w:lang w:val="en-US"/>
        </w:rPr>
        <w:t>. According to the researchers, a natural substance from the Japanese honeysuckle (</w:t>
      </w:r>
      <w:r w:rsidRPr="00D97A89">
        <w:rPr>
          <w:i/>
          <w:iCs/>
          <w:lang w:val="en-US"/>
        </w:rPr>
        <w:t>Lonicera japonica</w:t>
      </w:r>
      <w:r w:rsidRPr="00D97A89">
        <w:rPr>
          <w:lang w:val="en-US"/>
        </w:rPr>
        <w:t xml:space="preserve">), which has been used in Asia against various other diseases for some time now, might be another strong candidate against SARS-CoV-2. "Our research results now need to be checked in laboratory experiments and clinical studies," said </w:t>
      </w:r>
      <w:proofErr w:type="spellStart"/>
      <w:r w:rsidRPr="00D97A89">
        <w:rPr>
          <w:lang w:val="en-US"/>
        </w:rPr>
        <w:t>Efferth</w:t>
      </w:r>
      <w:proofErr w:type="spellEnd"/>
      <w:r w:rsidRPr="00D97A89">
        <w:rPr>
          <w:lang w:val="en-US"/>
        </w:rPr>
        <w:t xml:space="preserve"> and added that molecular docking had already been used successfully in the search for active substances against the coronaviruses MERS-</w:t>
      </w:r>
      <w:proofErr w:type="spellStart"/>
      <w:r w:rsidRPr="00D97A89">
        <w:rPr>
          <w:lang w:val="en-US"/>
        </w:rPr>
        <w:t>CoV</w:t>
      </w:r>
      <w:proofErr w:type="spellEnd"/>
      <w:r w:rsidRPr="00D97A89">
        <w:rPr>
          <w:lang w:val="en-US"/>
        </w:rPr>
        <w:t xml:space="preserve"> and SARS-</w:t>
      </w:r>
      <w:proofErr w:type="spellStart"/>
      <w:r w:rsidRPr="00D97A89">
        <w:rPr>
          <w:lang w:val="en-US"/>
        </w:rPr>
        <w:t>CoV</w:t>
      </w:r>
      <w:proofErr w:type="spellEnd"/>
      <w:r w:rsidRPr="00D97A89">
        <w:rPr>
          <w:lang w:val="en-US"/>
        </w:rPr>
        <w:t>.</w:t>
      </w:r>
    </w:p>
    <w:p w14:paraId="76434F17" w14:textId="77777777" w:rsidR="00A7140D" w:rsidRPr="00623782" w:rsidRDefault="00A7140D" w:rsidP="00A7140D">
      <w:pPr>
        <w:rPr>
          <w:i/>
          <w:iCs/>
          <w:lang w:val="en-US"/>
        </w:rPr>
      </w:pPr>
      <w:r w:rsidRPr="00630D9D">
        <w:rPr>
          <w:i/>
          <w:iCs/>
          <w:lang w:val="en-US"/>
        </w:rPr>
        <w:t>Source</w:t>
      </w:r>
      <w:r w:rsidRPr="00623782">
        <w:rPr>
          <w:i/>
          <w:iCs/>
          <w:lang w:val="en-US"/>
        </w:rPr>
        <w:t xml:space="preserve">: </w:t>
      </w:r>
      <w:hyperlink r:id="rId4" w:history="1">
        <w:r w:rsidRPr="00623782">
          <w:rPr>
            <w:rStyle w:val="Hyperlink"/>
            <w:i/>
            <w:iCs/>
            <w:lang w:val="en-US"/>
          </w:rPr>
          <w:t>https://www.sciencedaily.com/releases/2020/05/200505072202.htm</w:t>
        </w:r>
      </w:hyperlink>
    </w:p>
    <w:p w14:paraId="0F3E2F87" w14:textId="77777777" w:rsidR="00A7140D" w:rsidRDefault="00A7140D" w:rsidP="00A7140D">
      <w:pPr>
        <w:pStyle w:val="Heading2"/>
        <w:jc w:val="center"/>
        <w:rPr>
          <w:lang w:val="en-US"/>
        </w:rPr>
      </w:pPr>
      <w:r w:rsidRPr="00F714D7">
        <w:rPr>
          <w:lang w:val="en-US"/>
        </w:rPr>
        <w:t>List of unknown words</w:t>
      </w:r>
    </w:p>
    <w:tbl>
      <w:tblPr>
        <w:tblStyle w:val="TableGrid"/>
        <w:tblW w:w="0" w:type="auto"/>
        <w:tblLook w:val="04A0" w:firstRow="1" w:lastRow="0" w:firstColumn="1" w:lastColumn="0" w:noHBand="0" w:noVBand="1"/>
      </w:tblPr>
      <w:tblGrid>
        <w:gridCol w:w="4672"/>
        <w:gridCol w:w="4673"/>
      </w:tblGrid>
      <w:tr w:rsidR="00A7140D" w14:paraId="0F3E5A5D" w14:textId="77777777" w:rsidTr="00657B7F">
        <w:tc>
          <w:tcPr>
            <w:tcW w:w="4672" w:type="dxa"/>
          </w:tcPr>
          <w:p w14:paraId="5FB1FF6B" w14:textId="77777777" w:rsidR="00A7140D" w:rsidRDefault="00A7140D" w:rsidP="00657B7F">
            <w:pPr>
              <w:jc w:val="center"/>
              <w:rPr>
                <w:lang w:val="en-US"/>
              </w:rPr>
            </w:pPr>
            <w:r>
              <w:rPr>
                <w:lang w:val="en-US"/>
              </w:rPr>
              <w:t>Word</w:t>
            </w:r>
          </w:p>
        </w:tc>
        <w:tc>
          <w:tcPr>
            <w:tcW w:w="4673" w:type="dxa"/>
          </w:tcPr>
          <w:p w14:paraId="4AA0A09C" w14:textId="77777777" w:rsidR="00A7140D" w:rsidRDefault="00A7140D" w:rsidP="00657B7F">
            <w:pPr>
              <w:jc w:val="center"/>
              <w:rPr>
                <w:lang w:val="en-US"/>
              </w:rPr>
            </w:pPr>
            <w:r>
              <w:rPr>
                <w:lang w:val="en-US"/>
              </w:rPr>
              <w:t>Translation</w:t>
            </w:r>
          </w:p>
        </w:tc>
      </w:tr>
      <w:tr w:rsidR="00A7140D" w14:paraId="107BB7C2" w14:textId="77777777" w:rsidTr="00657B7F">
        <w:tc>
          <w:tcPr>
            <w:tcW w:w="4672" w:type="dxa"/>
          </w:tcPr>
          <w:p w14:paraId="661D6585" w14:textId="77926B7D" w:rsidR="00A7140D" w:rsidRDefault="00A57A4B" w:rsidP="00A57A4B">
            <w:pPr>
              <w:rPr>
                <w:lang w:val="en-US"/>
              </w:rPr>
            </w:pPr>
            <w:r>
              <w:rPr>
                <w:lang w:val="en-US"/>
              </w:rPr>
              <w:t>E</w:t>
            </w:r>
            <w:r w:rsidRPr="00A57A4B">
              <w:rPr>
                <w:lang w:val="en-US"/>
              </w:rPr>
              <w:t>xtensive</w:t>
            </w:r>
          </w:p>
        </w:tc>
        <w:tc>
          <w:tcPr>
            <w:tcW w:w="4673" w:type="dxa"/>
          </w:tcPr>
          <w:p w14:paraId="10CC80F4" w14:textId="5BBC8099" w:rsidR="00A7140D" w:rsidRPr="00A57A4B" w:rsidRDefault="00A57A4B" w:rsidP="00A57A4B">
            <w:r>
              <w:t>Обширный</w:t>
            </w:r>
          </w:p>
        </w:tc>
      </w:tr>
      <w:tr w:rsidR="00A7140D" w14:paraId="4659CEBB" w14:textId="77777777" w:rsidTr="00657B7F">
        <w:tc>
          <w:tcPr>
            <w:tcW w:w="4672" w:type="dxa"/>
          </w:tcPr>
          <w:p w14:paraId="754539E8" w14:textId="365727F6" w:rsidR="00A7140D" w:rsidRDefault="00C603C2" w:rsidP="00A57A4B">
            <w:pPr>
              <w:rPr>
                <w:lang w:val="en-US"/>
              </w:rPr>
            </w:pPr>
            <w:r w:rsidRPr="00C603C2">
              <w:rPr>
                <w:lang w:val="en-US"/>
              </w:rPr>
              <w:t>P</w:t>
            </w:r>
            <w:r w:rsidRPr="00C603C2">
              <w:rPr>
                <w:lang w:val="en-US"/>
              </w:rPr>
              <w:t>aper</w:t>
            </w:r>
          </w:p>
        </w:tc>
        <w:tc>
          <w:tcPr>
            <w:tcW w:w="4673" w:type="dxa"/>
          </w:tcPr>
          <w:p w14:paraId="7BCB6E77" w14:textId="48445369" w:rsidR="00A7140D" w:rsidRPr="00C603C2" w:rsidRDefault="00C603C2" w:rsidP="00A57A4B">
            <w:r>
              <w:t>Статья</w:t>
            </w:r>
          </w:p>
        </w:tc>
      </w:tr>
      <w:tr w:rsidR="00A7140D" w14:paraId="3CBE1FBB" w14:textId="77777777" w:rsidTr="00657B7F">
        <w:tc>
          <w:tcPr>
            <w:tcW w:w="4672" w:type="dxa"/>
          </w:tcPr>
          <w:p w14:paraId="7E5CAD61" w14:textId="4CA3AE61" w:rsidR="00A7140D" w:rsidRDefault="00C603C2" w:rsidP="00A57A4B">
            <w:pPr>
              <w:rPr>
                <w:lang w:val="en-US"/>
              </w:rPr>
            </w:pPr>
            <w:r w:rsidRPr="00C603C2">
              <w:rPr>
                <w:lang w:val="en-US"/>
              </w:rPr>
              <w:t>B</w:t>
            </w:r>
            <w:r w:rsidRPr="00C603C2">
              <w:rPr>
                <w:lang w:val="en-US"/>
              </w:rPr>
              <w:t>ind</w:t>
            </w:r>
          </w:p>
        </w:tc>
        <w:tc>
          <w:tcPr>
            <w:tcW w:w="4673" w:type="dxa"/>
          </w:tcPr>
          <w:p w14:paraId="44744D16" w14:textId="5E57A871" w:rsidR="00A7140D" w:rsidRPr="00C603C2" w:rsidRDefault="00C603C2" w:rsidP="00A57A4B">
            <w:r>
              <w:t>Связывать</w:t>
            </w:r>
          </w:p>
        </w:tc>
      </w:tr>
      <w:tr w:rsidR="00A7140D" w14:paraId="1B1D0032" w14:textId="77777777" w:rsidTr="00657B7F">
        <w:tc>
          <w:tcPr>
            <w:tcW w:w="4672" w:type="dxa"/>
          </w:tcPr>
          <w:p w14:paraId="64D4217F" w14:textId="58F30666" w:rsidR="00A7140D" w:rsidRDefault="00C603C2" w:rsidP="00A57A4B">
            <w:pPr>
              <w:rPr>
                <w:lang w:val="en-US"/>
              </w:rPr>
            </w:pPr>
            <w:r w:rsidRPr="00C603C2">
              <w:rPr>
                <w:lang w:val="en-US"/>
              </w:rPr>
              <w:t>P</w:t>
            </w:r>
            <w:r w:rsidRPr="00C603C2">
              <w:rPr>
                <w:lang w:val="en-US"/>
              </w:rPr>
              <w:t>rotein</w:t>
            </w:r>
          </w:p>
        </w:tc>
        <w:tc>
          <w:tcPr>
            <w:tcW w:w="4673" w:type="dxa"/>
          </w:tcPr>
          <w:p w14:paraId="3915F9CD" w14:textId="0780CF5B" w:rsidR="00A7140D" w:rsidRPr="00C603C2" w:rsidRDefault="00C603C2" w:rsidP="00A57A4B">
            <w:r>
              <w:t>Белок</w:t>
            </w:r>
          </w:p>
        </w:tc>
      </w:tr>
      <w:tr w:rsidR="00A7140D" w14:paraId="19131CE7" w14:textId="77777777" w:rsidTr="00657B7F">
        <w:tc>
          <w:tcPr>
            <w:tcW w:w="4672" w:type="dxa"/>
          </w:tcPr>
          <w:p w14:paraId="429D4605" w14:textId="4994C817" w:rsidR="00A7140D" w:rsidRDefault="00C603C2" w:rsidP="00A57A4B">
            <w:pPr>
              <w:rPr>
                <w:lang w:val="en-US"/>
              </w:rPr>
            </w:pPr>
            <w:r w:rsidRPr="00C603C2">
              <w:rPr>
                <w:lang w:val="en-US"/>
              </w:rPr>
              <w:t>T</w:t>
            </w:r>
            <w:r w:rsidRPr="00C603C2">
              <w:rPr>
                <w:lang w:val="en-US"/>
              </w:rPr>
              <w:t>hereby</w:t>
            </w:r>
          </w:p>
        </w:tc>
        <w:tc>
          <w:tcPr>
            <w:tcW w:w="4673" w:type="dxa"/>
          </w:tcPr>
          <w:p w14:paraId="26940F13" w14:textId="68E17ED2" w:rsidR="00A7140D" w:rsidRPr="00C603C2" w:rsidRDefault="00C603C2" w:rsidP="00A57A4B">
            <w:r>
              <w:t>Тем самым</w:t>
            </w:r>
          </w:p>
        </w:tc>
      </w:tr>
      <w:tr w:rsidR="00A7140D" w14:paraId="47767062" w14:textId="77777777" w:rsidTr="00657B7F">
        <w:tc>
          <w:tcPr>
            <w:tcW w:w="4672" w:type="dxa"/>
          </w:tcPr>
          <w:p w14:paraId="0D488AF6" w14:textId="16308E6E" w:rsidR="00A7140D" w:rsidRDefault="00C603C2" w:rsidP="00A57A4B">
            <w:pPr>
              <w:rPr>
                <w:lang w:val="en-US"/>
              </w:rPr>
            </w:pPr>
            <w:r w:rsidRPr="00C603C2">
              <w:rPr>
                <w:lang w:val="en-US"/>
              </w:rPr>
              <w:t>I</w:t>
            </w:r>
            <w:r w:rsidRPr="00C603C2">
              <w:rPr>
                <w:lang w:val="en-US"/>
              </w:rPr>
              <w:t>nhibit</w:t>
            </w:r>
          </w:p>
        </w:tc>
        <w:tc>
          <w:tcPr>
            <w:tcW w:w="4673" w:type="dxa"/>
          </w:tcPr>
          <w:p w14:paraId="3307A5F5" w14:textId="4DEB0F83" w:rsidR="00A7140D" w:rsidRPr="00C603C2" w:rsidRDefault="00C603C2" w:rsidP="00A57A4B">
            <w:r>
              <w:t>Препятствовать</w:t>
            </w:r>
          </w:p>
        </w:tc>
      </w:tr>
      <w:tr w:rsidR="00A7140D" w14:paraId="75818592" w14:textId="77777777" w:rsidTr="00657B7F">
        <w:tc>
          <w:tcPr>
            <w:tcW w:w="4672" w:type="dxa"/>
          </w:tcPr>
          <w:p w14:paraId="25C24B47" w14:textId="0221BD7A" w:rsidR="00A7140D" w:rsidRDefault="00C603C2" w:rsidP="00A57A4B">
            <w:pPr>
              <w:rPr>
                <w:lang w:val="en-US"/>
              </w:rPr>
            </w:pPr>
            <w:r>
              <w:rPr>
                <w:lang w:val="en-US"/>
              </w:rPr>
              <w:t>M</w:t>
            </w:r>
            <w:r w:rsidRPr="00C603C2">
              <w:rPr>
                <w:lang w:val="en-US"/>
              </w:rPr>
              <w:t>olecular docking</w:t>
            </w:r>
          </w:p>
        </w:tc>
        <w:tc>
          <w:tcPr>
            <w:tcW w:w="4673" w:type="dxa"/>
          </w:tcPr>
          <w:p w14:paraId="29CE96F2" w14:textId="3B201CF7" w:rsidR="00A7140D" w:rsidRPr="00C603C2" w:rsidRDefault="00C603C2" w:rsidP="00A57A4B">
            <w:r>
              <w:t>Молекулярная стыковка (</w:t>
            </w:r>
            <w:r w:rsidRPr="00C603C2">
              <w:t xml:space="preserve">Молекулярный </w:t>
            </w:r>
            <w:proofErr w:type="spellStart"/>
            <w:r w:rsidRPr="00C603C2">
              <w:t>докинг</w:t>
            </w:r>
            <w:proofErr w:type="spellEnd"/>
            <w:r>
              <w:t>)</w:t>
            </w:r>
          </w:p>
        </w:tc>
      </w:tr>
      <w:tr w:rsidR="00A7140D" w14:paraId="7F401217" w14:textId="77777777" w:rsidTr="00657B7F">
        <w:tc>
          <w:tcPr>
            <w:tcW w:w="4672" w:type="dxa"/>
          </w:tcPr>
          <w:p w14:paraId="04EE3312" w14:textId="1A1EDA6F" w:rsidR="00A7140D" w:rsidRDefault="00C603C2" w:rsidP="00C603C2">
            <w:pPr>
              <w:rPr>
                <w:lang w:val="en-US"/>
              </w:rPr>
            </w:pPr>
            <w:r w:rsidRPr="00C603C2">
              <w:rPr>
                <w:lang w:val="en-US"/>
              </w:rPr>
              <w:t>C</w:t>
            </w:r>
            <w:r w:rsidRPr="00C603C2">
              <w:rPr>
                <w:lang w:val="en-US"/>
              </w:rPr>
              <w:t>ompound</w:t>
            </w:r>
          </w:p>
        </w:tc>
        <w:tc>
          <w:tcPr>
            <w:tcW w:w="4673" w:type="dxa"/>
          </w:tcPr>
          <w:p w14:paraId="4129E4EC" w14:textId="1BFB160C" w:rsidR="00A7140D" w:rsidRPr="00C603C2" w:rsidRDefault="00C603C2" w:rsidP="00A57A4B">
            <w:r>
              <w:t>Соединение</w:t>
            </w:r>
          </w:p>
        </w:tc>
      </w:tr>
      <w:tr w:rsidR="00A7140D" w14:paraId="68936EFB" w14:textId="77777777" w:rsidTr="00657B7F">
        <w:tc>
          <w:tcPr>
            <w:tcW w:w="4672" w:type="dxa"/>
          </w:tcPr>
          <w:p w14:paraId="5802ECD2" w14:textId="08818B1A" w:rsidR="00A7140D" w:rsidRDefault="00C603C2" w:rsidP="00A57A4B">
            <w:pPr>
              <w:rPr>
                <w:lang w:val="en-US"/>
              </w:rPr>
            </w:pPr>
            <w:r w:rsidRPr="00C603C2">
              <w:rPr>
                <w:lang w:val="en-US"/>
              </w:rPr>
              <w:t>T</w:t>
            </w:r>
            <w:r w:rsidRPr="00C603C2">
              <w:rPr>
                <w:lang w:val="en-US"/>
              </w:rPr>
              <w:t>herefore</w:t>
            </w:r>
          </w:p>
        </w:tc>
        <w:tc>
          <w:tcPr>
            <w:tcW w:w="4673" w:type="dxa"/>
          </w:tcPr>
          <w:p w14:paraId="034426DC" w14:textId="7FFAA80D" w:rsidR="00A7140D" w:rsidRPr="00C603C2" w:rsidRDefault="00C603C2" w:rsidP="00A57A4B">
            <w:r>
              <w:t>Поэтому</w:t>
            </w:r>
          </w:p>
        </w:tc>
      </w:tr>
      <w:tr w:rsidR="00C603C2" w14:paraId="4CBAA149" w14:textId="77777777" w:rsidTr="00657B7F">
        <w:tc>
          <w:tcPr>
            <w:tcW w:w="4672" w:type="dxa"/>
          </w:tcPr>
          <w:p w14:paraId="0B8185B6" w14:textId="07609F0F" w:rsidR="00C603C2" w:rsidRPr="00C603C2" w:rsidRDefault="00C603C2" w:rsidP="00A57A4B">
            <w:pPr>
              <w:rPr>
                <w:lang w:val="en-US"/>
              </w:rPr>
            </w:pPr>
            <w:r w:rsidRPr="00C603C2">
              <w:rPr>
                <w:lang w:val="en-US"/>
              </w:rPr>
              <w:t>H</w:t>
            </w:r>
            <w:r w:rsidRPr="00C603C2">
              <w:rPr>
                <w:lang w:val="en-US"/>
              </w:rPr>
              <w:t>oneysuckle</w:t>
            </w:r>
          </w:p>
        </w:tc>
        <w:tc>
          <w:tcPr>
            <w:tcW w:w="4673" w:type="dxa"/>
          </w:tcPr>
          <w:p w14:paraId="02F3596F" w14:textId="2902FDBD" w:rsidR="00C603C2" w:rsidRDefault="00C603C2" w:rsidP="00A57A4B">
            <w:proofErr w:type="spellStart"/>
            <w:r>
              <w:t>Жимлость</w:t>
            </w:r>
            <w:proofErr w:type="spellEnd"/>
          </w:p>
        </w:tc>
      </w:tr>
    </w:tbl>
    <w:p w14:paraId="7B1581B4" w14:textId="77777777" w:rsidR="00A7140D" w:rsidRPr="00017445" w:rsidRDefault="00A7140D" w:rsidP="00A7140D">
      <w:pPr>
        <w:pStyle w:val="Heading2"/>
        <w:jc w:val="center"/>
      </w:pPr>
      <w:r>
        <w:rPr>
          <w:lang w:val="en-US"/>
        </w:rPr>
        <w:lastRenderedPageBreak/>
        <w:t>Annotation</w:t>
      </w:r>
      <w:r w:rsidRPr="00017445">
        <w:t xml:space="preserve"> </w:t>
      </w:r>
      <w:r>
        <w:rPr>
          <w:lang w:val="en-US"/>
        </w:rPr>
        <w:t>in</w:t>
      </w:r>
      <w:r w:rsidRPr="00017445">
        <w:t xml:space="preserve"> </w:t>
      </w:r>
      <w:r>
        <w:rPr>
          <w:lang w:val="en-US"/>
        </w:rPr>
        <w:t>Russian</w:t>
      </w:r>
    </w:p>
    <w:p w14:paraId="7109AB87" w14:textId="72CCFB7F" w:rsidR="00A57A4B" w:rsidRDefault="00A57A4B">
      <w:r>
        <w:t xml:space="preserve">Исследователи </w:t>
      </w:r>
      <w:r w:rsidRPr="00A57A4B">
        <w:t>смоделировали способ, которым около 42 000 различных веществ, перечисленных в открытых базах данных, связываются с определенными белками атипичной пневмонии (</w:t>
      </w:r>
      <w:r w:rsidRPr="00A57A4B">
        <w:rPr>
          <w:lang w:val="en-US"/>
        </w:rPr>
        <w:t>SARS</w:t>
      </w:r>
      <w:r w:rsidRPr="00A57A4B">
        <w:t>-</w:t>
      </w:r>
      <w:proofErr w:type="spellStart"/>
      <w:r w:rsidRPr="00A57A4B">
        <w:rPr>
          <w:lang w:val="en-US"/>
        </w:rPr>
        <w:t>CoV</w:t>
      </w:r>
      <w:proofErr w:type="spellEnd"/>
      <w:r w:rsidRPr="00A57A4B">
        <w:t>-2)</w:t>
      </w:r>
      <w:r>
        <w:t xml:space="preserve">. Они </w:t>
      </w:r>
      <w:r w:rsidRPr="00A57A4B">
        <w:t>препятствуют проникновению вируса в организм человека или его размножению.</w:t>
      </w:r>
      <w:r>
        <w:t xml:space="preserve"> </w:t>
      </w:r>
      <w:r w:rsidRPr="00A57A4B">
        <w:t>Этот метод компьютерного моделирования известен как молекулярная стыковка, и он признан и используется на протяжении многих лет. Он намного быстрее и дешевле лабораторных экспериментов</w:t>
      </w:r>
      <w:r>
        <w:t xml:space="preserve">. Вероятно, эти исследователи первые, кто использовали молекулярную стыковку. </w:t>
      </w:r>
      <w:r w:rsidRPr="00A57A4B">
        <w:t>Используя суперкомпьютер MOGON II, исследователи провели более 30 миллиардов разовых расчетов в течение двух месяцев</w:t>
      </w:r>
      <w:r>
        <w:t xml:space="preserve">. Они </w:t>
      </w:r>
      <w:r w:rsidRPr="00A57A4B">
        <w:t xml:space="preserve">обнаружили, что соединения из четырех препаратов от гепатита С </w:t>
      </w:r>
      <w:r>
        <w:t xml:space="preserve">— </w:t>
      </w:r>
      <w:proofErr w:type="spellStart"/>
      <w:r w:rsidRPr="00A57A4B">
        <w:t>симепревира</w:t>
      </w:r>
      <w:proofErr w:type="spellEnd"/>
      <w:r w:rsidRPr="00A57A4B">
        <w:t xml:space="preserve">, </w:t>
      </w:r>
      <w:proofErr w:type="spellStart"/>
      <w:r w:rsidRPr="00A57A4B">
        <w:t>паритапревира</w:t>
      </w:r>
      <w:proofErr w:type="spellEnd"/>
      <w:r w:rsidRPr="00A57A4B">
        <w:t xml:space="preserve">, </w:t>
      </w:r>
      <w:proofErr w:type="spellStart"/>
      <w:r w:rsidRPr="00A57A4B">
        <w:t>гразопревира</w:t>
      </w:r>
      <w:proofErr w:type="spellEnd"/>
      <w:r w:rsidRPr="00A57A4B">
        <w:t xml:space="preserve"> и </w:t>
      </w:r>
      <w:proofErr w:type="spellStart"/>
      <w:r w:rsidRPr="00A57A4B">
        <w:t>велпатасвира</w:t>
      </w:r>
      <w:proofErr w:type="spellEnd"/>
      <w:r>
        <w:t xml:space="preserve"> —</w:t>
      </w:r>
      <w:r w:rsidRPr="00A57A4B">
        <w:t xml:space="preserve"> имеют высокое </w:t>
      </w:r>
      <w:r>
        <w:t>сходство с</w:t>
      </w:r>
      <w:r w:rsidRPr="00A57A4B">
        <w:t xml:space="preserve"> SARS-CoV-2</w:t>
      </w:r>
      <w:r>
        <w:t>,</w:t>
      </w:r>
      <w:r w:rsidRPr="00A57A4B">
        <w:t xml:space="preserve"> и поэтому могут быть в состоянии предотвратить инфекцию.</w:t>
      </w:r>
      <w:r>
        <w:t xml:space="preserve"> </w:t>
      </w:r>
      <w:r w:rsidRPr="00A57A4B">
        <w:t xml:space="preserve">SARS-CoV-2, </w:t>
      </w:r>
      <w:r>
        <w:t>как</w:t>
      </w:r>
      <w:r w:rsidRPr="00A57A4B">
        <w:t xml:space="preserve"> и вирус гепатита С</w:t>
      </w:r>
      <w:r>
        <w:t>,</w:t>
      </w:r>
      <w:r w:rsidRPr="00A57A4B">
        <w:t xml:space="preserve"> являются вирус</w:t>
      </w:r>
      <w:r>
        <w:t>а</w:t>
      </w:r>
      <w:r w:rsidRPr="00A57A4B">
        <w:t>м</w:t>
      </w:r>
      <w:r>
        <w:t>и</w:t>
      </w:r>
      <w:r w:rsidRPr="00A57A4B">
        <w:t xml:space="preserve"> одного типа, так называемым</w:t>
      </w:r>
      <w:r>
        <w:t>и</w:t>
      </w:r>
      <w:r w:rsidRPr="00A57A4B">
        <w:t xml:space="preserve"> одноклеточным</w:t>
      </w:r>
      <w:r>
        <w:t>и</w:t>
      </w:r>
      <w:r w:rsidRPr="00A57A4B">
        <w:t xml:space="preserve"> РНК-вирус</w:t>
      </w:r>
      <w:r>
        <w:t>ами, что подтверждает расчёты исследователей.</w:t>
      </w:r>
      <w:r w:rsidRPr="00A57A4B">
        <w:t xml:space="preserve"> </w:t>
      </w:r>
      <w:r>
        <w:t>Е</w:t>
      </w:r>
      <w:r w:rsidRPr="00A57A4B">
        <w:t>щ</w:t>
      </w:r>
      <w:r>
        <w:t>ё</w:t>
      </w:r>
      <w:r w:rsidRPr="00A57A4B">
        <w:t xml:space="preserve"> одним сильным кандидатом против атипичной пневмонии </w:t>
      </w:r>
      <w:r>
        <w:t>(</w:t>
      </w:r>
      <w:r w:rsidRPr="00A57A4B">
        <w:t>SARS-CoV-2</w:t>
      </w:r>
      <w:r>
        <w:t>)</w:t>
      </w:r>
      <w:r w:rsidRPr="00A57A4B">
        <w:t xml:space="preserve"> может быть натуральное вещество из японской жимолост</w:t>
      </w:r>
      <w:r>
        <w:t xml:space="preserve">и. </w:t>
      </w:r>
      <w:r w:rsidRPr="00A57A4B">
        <w:t>Результаты исследований теперь необходимо проверять в лабораторных экспериментах и клинических исследованиях</w:t>
      </w:r>
      <w:r>
        <w:t xml:space="preserve">. Также </w:t>
      </w:r>
      <w:r w:rsidRPr="00A57A4B">
        <w:t>молекулярная стыковка уже успешно использовалась при поиске активных веществ против коронавирусов MERS-</w:t>
      </w:r>
      <w:proofErr w:type="spellStart"/>
      <w:r w:rsidRPr="00A57A4B">
        <w:t>CoV</w:t>
      </w:r>
      <w:proofErr w:type="spellEnd"/>
      <w:r w:rsidRPr="00A57A4B">
        <w:t xml:space="preserve"> и SARS-</w:t>
      </w:r>
      <w:proofErr w:type="spellStart"/>
      <w:r w:rsidRPr="00A57A4B">
        <w:t>CoV</w:t>
      </w:r>
      <w:proofErr w:type="spellEnd"/>
      <w:r w:rsidRPr="00A57A4B">
        <w:t>.</w:t>
      </w:r>
    </w:p>
    <w:p w14:paraId="3CD92E0C" w14:textId="77777777" w:rsidR="00C603C2" w:rsidRPr="00A57A4B" w:rsidRDefault="00C603C2"/>
    <w:sectPr w:rsidR="00C603C2" w:rsidRPr="00A57A4B">
      <w:pgSz w:w="11906" w:h="16838"/>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Y1srQwNTQ3sjAxMjBW0lEKTi0uzszPAykwqgUAyIYJsiwAAAA="/>
  </w:docVars>
  <w:rsids>
    <w:rsidRoot w:val="00304642"/>
    <w:rsid w:val="00304642"/>
    <w:rsid w:val="00A57A4B"/>
    <w:rsid w:val="00A7140D"/>
    <w:rsid w:val="00C603C2"/>
    <w:rsid w:val="00D97A89"/>
    <w:rsid w:val="00F37C2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AEFA5D"/>
  <w15:chartTrackingRefBased/>
  <w15:docId w15:val="{FDA936B6-ACDD-4DF4-A0A5-CA2BFDFD84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7A89"/>
  </w:style>
  <w:style w:type="paragraph" w:styleId="Heading1">
    <w:name w:val="heading 1"/>
    <w:basedOn w:val="Normal"/>
    <w:next w:val="Normal"/>
    <w:link w:val="Heading1Char"/>
    <w:uiPriority w:val="9"/>
    <w:qFormat/>
    <w:rsid w:val="00D97A8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97A8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97A8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7A8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97A8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97A89"/>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A7140D"/>
    <w:rPr>
      <w:color w:val="0563C1" w:themeColor="hyperlink"/>
      <w:u w:val="single"/>
    </w:rPr>
  </w:style>
  <w:style w:type="table" w:styleId="TableGrid">
    <w:name w:val="Table Grid"/>
    <w:basedOn w:val="TableNormal"/>
    <w:uiPriority w:val="39"/>
    <w:rsid w:val="00A714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A7140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883679">
      <w:bodyDiv w:val="1"/>
      <w:marLeft w:val="0"/>
      <w:marRight w:val="0"/>
      <w:marTop w:val="0"/>
      <w:marBottom w:val="0"/>
      <w:divBdr>
        <w:top w:val="none" w:sz="0" w:space="0" w:color="auto"/>
        <w:left w:val="none" w:sz="0" w:space="0" w:color="auto"/>
        <w:bottom w:val="none" w:sz="0" w:space="0" w:color="auto"/>
        <w:right w:val="none" w:sz="0" w:space="0" w:color="auto"/>
      </w:divBdr>
    </w:div>
    <w:div w:id="1989746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sciencedaily.com/releases/2020/05/200505072202.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828</TotalTime>
  <Pages>2</Pages>
  <Words>627</Words>
  <Characters>3575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Pavel Moiseenko</dc:creator>
  <cp:keywords/>
  <dc:description/>
  <cp:lastModifiedBy>Pavel Moiseenko</cp:lastModifiedBy>
  <cp:revision>3</cp:revision>
  <dcterms:created xsi:type="dcterms:W3CDTF">2020-05-09T20:30:00Z</dcterms:created>
  <dcterms:modified xsi:type="dcterms:W3CDTF">2020-05-12T19:43:00Z</dcterms:modified>
</cp:coreProperties>
</file>