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276" w:lineRule="auto"/>
        <w:jc w:val="center"/>
      </w:pPr>
      <w:r>
        <w:rPr>
          <w:rFonts w:ascii="Times New Roman" w:hAnsi="Times New Roman"/>
          <w:b/>
          <w:sz w:val="28"/>
        </w:rPr>
        <w:t>VISVESVARAYA TECHNOLOGICAL UNIVERSITY</w:t>
        <w:br/>
      </w:r>
      <w:r>
        <w:rPr>
          <w:rFonts w:ascii="Times New Roman" w:hAnsi="Times New Roman"/>
          <w:b/>
          <w:sz w:val="24"/>
        </w:rPr>
        <w:t>Jnana Sangama, Belagavi – 590018, Karnataka</w:t>
        <w:br/>
        <w:br/>
      </w:r>
    </w:p>
    <w:p>
      <w:pPr>
        <w:spacing w:before="120" w:after="240" w:line="276" w:lineRule="auto"/>
        <w:jc w:val="center"/>
      </w:pPr>
      <w:r>
        <w:rPr>
          <w:rFonts w:ascii="Times New Roman" w:hAnsi="Times New Roman"/>
          <w:b/>
          <w:sz w:val="26"/>
        </w:rPr>
        <w:t>A FINAL YEAR PROJECT REPORT ON</w:t>
        <w:br/>
        <w:br/>
      </w:r>
    </w:p>
    <w:p>
      <w:pPr>
        <w:spacing w:before="120" w:after="240" w:line="288" w:lineRule="auto"/>
        <w:jc w:val="center"/>
      </w:pPr>
      <w:r>
        <w:rPr>
          <w:rFonts w:ascii="Times New Roman" w:hAnsi="Times New Roman"/>
          <w:b/>
          <w:color w:val="003366"/>
          <w:sz w:val="34"/>
        </w:rPr>
        <w:t>“INT-AWARE: INTENT-AWARE DECEPTION SYSTEM FOR REAL-TIME ATTACKER PROFILING”</w:t>
        <w:br/>
      </w:r>
    </w:p>
    <w:p>
      <w:pPr>
        <w:spacing w:before="120" w:after="360" w:line="276" w:lineRule="auto"/>
        <w:jc w:val="center"/>
      </w:pPr>
      <w:r>
        <w:rPr>
          <w:rFonts w:ascii="Times New Roman" w:hAnsi="Times New Roman"/>
          <w:i/>
          <w:sz w:val="23"/>
        </w:rPr>
        <w:t>Submitted in partial fulfillment of the requirements for the award of degree of</w:t>
        <w:br/>
      </w:r>
      <w:r>
        <w:rPr>
          <w:rFonts w:ascii="Times New Roman" w:hAnsi="Times New Roman"/>
          <w:b/>
          <w:sz w:val="26"/>
        </w:rPr>
        <w:t>BACHELOR OF ENGINEERING</w:t>
        <w:br/>
        <w:t>IN</w:t>
        <w:br/>
        <w:t>INFORMATION SCIENCE AND ENGINEERING</w:t>
        <w:br/>
        <w:br/>
      </w:r>
    </w:p>
    <w:p>
      <w:pPr>
        <w:spacing w:before="120" w:after="240" w:line="276" w:lineRule="auto"/>
        <w:jc w:val="center"/>
      </w:pPr>
      <w:r>
        <w:rPr>
          <w:rFonts w:ascii="Times New Roman" w:hAnsi="Times New Roman"/>
          <w:i/>
          <w:sz w:val="23"/>
        </w:rPr>
        <w:t>Submitted by:</w:t>
        <w:br/>
      </w:r>
      <w:r>
        <w:rPr>
          <w:rFonts w:ascii="Times New Roman" w:hAnsi="Times New Roman"/>
          <w:b/>
          <w:sz w:val="26"/>
        </w:rPr>
        <w:t>RAKSHITA SHETTY (4CB23IS001)</w:t>
        <w:br/>
        <w:br/>
      </w:r>
    </w:p>
    <w:p>
      <w:pPr>
        <w:spacing w:before="120" w:after="320" w:line="276" w:lineRule="auto"/>
        <w:jc w:val="center"/>
      </w:pPr>
      <w:r>
        <w:rPr>
          <w:rFonts w:ascii="Times New Roman" w:hAnsi="Times New Roman"/>
          <w:i/>
          <w:sz w:val="23"/>
        </w:rPr>
        <w:t>Under the Guidance of:</w:t>
        <w:br/>
      </w:r>
      <w:r>
        <w:rPr>
          <w:rFonts w:ascii="Times New Roman" w:hAnsi="Times New Roman"/>
          <w:b/>
          <w:sz w:val="24"/>
        </w:rPr>
        <w:t>FACULTY GUIDE NAME, M.Tech., Ph.D.</w:t>
        <w:br/>
        <w:t>Assistant Professor, Department of ISE</w:t>
        <w:br/>
        <w:br/>
      </w:r>
    </w:p>
    <w:p>
      <w:pPr>
        <w:spacing w:before="200" w:after="40" w:line="276" w:lineRule="auto"/>
        <w:jc w:val="center"/>
      </w:pPr>
      <w:r>
        <w:rPr>
          <w:rFonts w:ascii="Times New Roman" w:hAnsi="Times New Roman"/>
          <w:b/>
          <w:color w:val="003366"/>
          <w:sz w:val="28"/>
        </w:rPr>
        <w:t>CANARA ENGINEERING COLLEGE</w:t>
        <w:br/>
      </w:r>
      <w:r>
        <w:rPr>
          <w:rFonts w:ascii="Times New Roman" w:hAnsi="Times New Roman"/>
          <w:sz w:val="21"/>
        </w:rPr>
        <w:t>(An Autonomous Institution under VTU, Belagavi)</w:t>
        <w:br/>
        <w:t>Accredited by NBA [CSE, ISE, ECE] &amp; NAAC with 'A' Grade</w:t>
        <w:br/>
        <w:t>Sudhindra Nagar, Benjanapadavu, Mangaluru – 574219, Karnataka</w:t>
        <w:br/>
        <w:t>2026 – 2027</w:t>
        <w:br/>
      </w:r>
    </w:p>
    <w:p>
      <w:r>
        <w:br w:type="page"/>
      </w:r>
    </w:p>
    <w:p>
      <w:pPr>
        <w:spacing w:before="240" w:after="80" w:line="276" w:lineRule="auto"/>
        <w:jc w:val="center"/>
      </w:pPr>
      <w:r>
        <w:rPr>
          <w:rFonts w:ascii="Times New Roman" w:hAnsi="Times New Roman"/>
          <w:b/>
          <w:sz w:val="28"/>
        </w:rPr>
        <w:t>CANARA ENGINEERING COLLEGE</w:t>
        <w:br/>
      </w:r>
      <w:r>
        <w:rPr>
          <w:rFonts w:ascii="Times New Roman" w:hAnsi="Times New Roman"/>
          <w:b/>
          <w:sz w:val="22"/>
        </w:rPr>
        <w:t>(An Autonomous Institution under VTU, Belagavi)</w:t>
        <w:br/>
        <w:t>Benjanapadavu, Mangaluru – 574219</w:t>
        <w:br/>
        <w:t>DEPARTMENT OF INFORMATION SCIENCE AND ENGINEERING</w:t>
        <w:br/>
        <w:br/>
      </w:r>
    </w:p>
    <w:p>
      <w:pPr>
        <w:spacing w:before="120" w:after="240" w:line="276" w:lineRule="auto"/>
        <w:jc w:val="center"/>
      </w:pPr>
      <w:r>
        <w:rPr>
          <w:rFonts w:ascii="Times New Roman" w:hAnsi="Times New Roman"/>
          <w:b/>
          <w:sz w:val="30"/>
          <w:u w:val="single"/>
        </w:rPr>
        <w:t>CERTIFICATE</w:t>
        <w:br/>
      </w:r>
    </w:p>
    <w:p>
      <w:pPr>
        <w:spacing w:before="0" w:after="120" w:line="360" w:lineRule="auto"/>
        <w:jc w:val="both"/>
      </w:pPr>
      <w:r>
        <w:rPr>
          <w:rFonts w:ascii="Times New Roman" w:hAnsi="Times New Roman"/>
          <w:i w:val="0"/>
          <w:sz w:val="24"/>
        </w:rPr>
        <w:t>This is to certify that the project work entitled “INT-AWARE: INTENT-AWARE DECEPTION SYSTEM FOR REAL-TIME ATTACKER PROFILING” is a bonafide work carried out by RAKSHITA SHETTY (USN: 4CB23IS001) in partial fulfillment for the award of Bachelor of Engineering in Information Science and Engineering of Visvesvaraya Technological University, Belagavi during the academic year 2026-2027. It is certified that all corrections/suggestions indicated for Internal Assessment have been incorporated in the Report deposited in the departmental library.</w:t>
      </w:r>
    </w:p>
    <w:p>
      <w:pPr>
        <w:spacing w:before="0" w:after="120" w:line="360" w:lineRule="auto"/>
        <w:jc w:val="both"/>
      </w:pPr>
      <w:r>
        <w:rPr>
          <w:rFonts w:ascii="Times New Roman" w:hAnsi="Times New Roman"/>
          <w:i w:val="0"/>
          <w:sz w:val="24"/>
        </w:rPr>
        <w:t>The project report has been approved as it satisfies the academic requirements in respect of Project Work prescribed for the said degree.</w:t>
      </w:r>
    </w:p>
    <w:p>
      <w:pPr>
        <w:spacing w:before="480" w:after="200" w:line="276" w:lineRule="auto"/>
        <w:jc w:val="both"/>
      </w:pPr>
    </w:p>
    <w:tbl>
      <w:tblPr>
        <w:tblW w:type="auto" w:w="0"/>
        <w:jc w:val="center"/>
        <w:tblLook w:firstColumn="1" w:firstRow="1" w:lastColumn="0" w:lastRow="0" w:noHBand="0" w:noVBand="1" w:val="04A0"/>
      </w:tblPr>
      <w:tblGrid>
        <w:gridCol w:w="2250"/>
        <w:gridCol w:w="2250"/>
        <w:gridCol w:w="2250"/>
        <w:gridCol w:w="2250"/>
      </w:tblGrid>
      <w:tr>
        <w:tc>
          <w:tcPr>
            <w:tcW w:type="dxa" w:w="2232"/>
          </w:tcPr>
          <w:p>
            <w:pPr>
              <w:jc w:val="center"/>
            </w:pPr>
            <w:r>
              <w:rPr>
                <w:rFonts w:ascii="Times New Roman" w:hAnsi="Times New Roman"/>
                <w:b/>
                <w:sz w:val="18"/>
              </w:rPr>
              <w:t>Signature of Guide</w:t>
              <w:br/>
              <w:br/>
              <w:br/>
              <w:t>___________________</w:t>
              <w:br/>
              <w:t>Guide Name</w:t>
              <w:br/>
              <w:t>Assistant Professor, ISE</w:t>
            </w:r>
          </w:p>
        </w:tc>
        <w:tc>
          <w:tcPr>
            <w:tcW w:type="dxa" w:w="2232"/>
          </w:tcPr>
          <w:p>
            <w:pPr>
              <w:jc w:val="center"/>
            </w:pPr>
            <w:r>
              <w:rPr>
                <w:rFonts w:ascii="Times New Roman" w:hAnsi="Times New Roman"/>
                <w:b/>
                <w:sz w:val="18"/>
              </w:rPr>
              <w:t>Signature of Coordinator</w:t>
              <w:br/>
              <w:br/>
              <w:br/>
              <w:t>___________________</w:t>
              <w:br/>
              <w:t>Mrs. Sadhana B</w:t>
              <w:br/>
              <w:t>Project Coordinator</w:t>
            </w:r>
          </w:p>
        </w:tc>
        <w:tc>
          <w:tcPr>
            <w:tcW w:type="dxa" w:w="2232"/>
          </w:tcPr>
          <w:p>
            <w:pPr>
              <w:jc w:val="center"/>
            </w:pPr>
            <w:r>
              <w:rPr>
                <w:rFonts w:ascii="Times New Roman" w:hAnsi="Times New Roman"/>
                <w:b/>
                <w:sz w:val="18"/>
              </w:rPr>
              <w:t>Signature of HOD</w:t>
              <w:br/>
              <w:br/>
              <w:br/>
              <w:t>___________________</w:t>
              <w:br/>
              <w:t>Dr. Ganesh Pai</w:t>
              <w:br/>
              <w:t>Professor &amp; Head, ISE</w:t>
            </w:r>
          </w:p>
        </w:tc>
        <w:tc>
          <w:tcPr>
            <w:tcW w:type="dxa" w:w="2232"/>
          </w:tcPr>
          <w:p>
            <w:pPr>
              <w:jc w:val="center"/>
            </w:pPr>
            <w:r>
              <w:rPr>
                <w:rFonts w:ascii="Times New Roman" w:hAnsi="Times New Roman"/>
                <w:b/>
                <w:sz w:val="18"/>
              </w:rPr>
              <w:t>Signature of Principal</w:t>
              <w:br/>
              <w:br/>
              <w:br/>
              <w:t>___________________</w:t>
              <w:br/>
              <w:t>Dr. Mahesh Prasanna K</w:t>
              <w:br/>
              <w:t>Principal, CEC</w:t>
            </w:r>
          </w:p>
        </w:tc>
      </w:tr>
      <w:tr>
        <w:tc>
          <w:tcPr>
            <w:tcW w:type="dxa" w:w="2250"/>
          </w:tcPr>
          <w:p/>
        </w:tc>
        <w:tc>
          <w:tcPr>
            <w:tcW w:type="dxa" w:w="2250"/>
          </w:tcPr>
          <w:p/>
        </w:tc>
        <w:tc>
          <w:tcPr>
            <w:tcW w:type="dxa" w:w="2250"/>
          </w:tcPr>
          <w:p/>
        </w:tc>
        <w:tc>
          <w:tcPr>
            <w:tcW w:type="dxa" w:w="2250"/>
          </w:tcPr>
          <w:p/>
        </w:tc>
      </w:tr>
    </w:tbl>
    <w:p>
      <w:pPr>
        <w:spacing w:before="480" w:after="120" w:line="276" w:lineRule="auto"/>
        <w:jc w:val="left"/>
      </w:pPr>
      <w:r>
        <w:rPr>
          <w:rFonts w:ascii="Times New Roman" w:hAnsi="Times New Roman"/>
          <w:b/>
          <w:sz w:val="22"/>
        </w:rPr>
        <w:t>External Viva-Voce Examination:</w:t>
        <w:br/>
        <w:br/>
      </w:r>
    </w:p>
    <w:tbl>
      <w:tblPr>
        <w:tblW w:type="auto" w:w="0"/>
        <w:jc w:val="center"/>
        <w:tblLook w:firstColumn="1" w:firstRow="1" w:lastColumn="0" w:lastRow="0" w:noHBand="0" w:noVBand="1" w:val="04A0"/>
      </w:tblPr>
      <w:tblGrid>
        <w:gridCol w:w="4500"/>
        <w:gridCol w:w="4500"/>
      </w:tblGrid>
      <w:tr>
        <w:tc>
          <w:tcPr>
            <w:tcW w:type="dxa" w:w="4464"/>
          </w:tcPr>
          <w:p>
            <w:r>
              <w:rPr>
                <w:rFonts w:ascii="Times New Roman" w:hAnsi="Times New Roman"/>
                <w:sz w:val="20"/>
              </w:rPr>
              <w:t>Name of the Examiners:</w:t>
              <w:br/>
              <w:t>1. ___________________________________</w:t>
              <w:br/>
              <w:br/>
              <w:t>2. ___________________________________</w:t>
            </w:r>
          </w:p>
        </w:tc>
        <w:tc>
          <w:tcPr>
            <w:tcW w:type="dxa" w:w="4464"/>
          </w:tcPr>
          <w:p>
            <w:r>
              <w:rPr>
                <w:rFonts w:ascii="Times New Roman" w:hAnsi="Times New Roman"/>
                <w:sz w:val="20"/>
              </w:rPr>
              <w:t>Signature with Date:</w:t>
              <w:br/>
              <w:t>1. ___________________</w:t>
              <w:br/>
              <w:br/>
              <w:t>2. ___________________</w:t>
            </w:r>
          </w:p>
        </w:tc>
      </w:tr>
    </w:tbl>
    <w:p>
      <w:r>
        <w:br w:type="page"/>
      </w:r>
    </w:p>
    <w:p>
      <w:pPr>
        <w:spacing w:before="360" w:after="240" w:line="276" w:lineRule="auto"/>
        <w:jc w:val="center"/>
      </w:pPr>
      <w:r>
        <w:rPr>
          <w:rFonts w:ascii="Times New Roman" w:hAnsi="Times New Roman"/>
          <w:b/>
          <w:color w:val="003366"/>
          <w:sz w:val="28"/>
        </w:rPr>
        <w:t>DECLARATION</w:t>
      </w:r>
    </w:p>
    <w:p>
      <w:pPr>
        <w:spacing w:before="0" w:after="120" w:line="360" w:lineRule="auto"/>
        <w:jc w:val="both"/>
      </w:pPr>
      <w:r>
        <w:rPr>
          <w:rFonts w:ascii="Times New Roman" w:hAnsi="Times New Roman"/>
          <w:i w:val="0"/>
          <w:sz w:val="24"/>
        </w:rPr>
        <w:t>I, RAKSHITA SHETTY (USN: 4CB23IS001), student of Eighth Semester B.E. in Information Science and Engineering at Canara Engineering College, Benjanapadavu, hereby declare that the project work entitled “INT-AWARE: INTENT-AWARE DECEPTION SYSTEM FOR REAL-TIME ATTACKER PROFILING” has been independently carried out by me under the supervision of my guide, and submitted in partial fulfillment of the requirements for the award of the degree of Bachelor of Engineering in Information Science and Engineering by Visvesvaraya Technological University, Belagavi.</w:t>
      </w:r>
    </w:p>
    <w:p>
      <w:pPr>
        <w:spacing w:before="0" w:after="120" w:line="360" w:lineRule="auto"/>
        <w:jc w:val="both"/>
      </w:pPr>
      <w:r>
        <w:rPr>
          <w:rFonts w:ascii="Times New Roman" w:hAnsi="Times New Roman"/>
          <w:i w:val="0"/>
          <w:sz w:val="24"/>
        </w:rPr>
        <w:t>I further declare that this report has not been submitted previously to this or any other university or institution for the award of any degree, diploma, associate-ship, or fellowship. The content presented in this report is authentic and verified on actual systems, models, and real honeypot data.</w:t>
      </w:r>
    </w:p>
    <w:p>
      <w:pPr>
        <w:spacing w:before="600" w:after="120" w:line="276" w:lineRule="auto"/>
        <w:jc w:val="both"/>
      </w:pPr>
      <w:r>
        <w:rPr>
          <w:rFonts w:ascii="Times New Roman" w:hAnsi="Times New Roman"/>
          <w:b/>
          <w:sz w:val="22"/>
        </w:rPr>
        <w:t>Place: Benjanapadavu, Mangaluru</w:t>
        <w:br/>
        <w:t>Date: 21st October 2026</w:t>
        <w:br/>
        <w:br/>
        <w:br/>
        <w:br/>
        <w:t>_____________________________</w:t>
        <w:br/>
        <w:t>RAKSHITA SHETTY</w:t>
        <w:br/>
        <w:t>USN: 4CB23IS001</w:t>
      </w:r>
    </w:p>
    <w:p>
      <w:r>
        <w:br w:type="page"/>
      </w:r>
    </w:p>
    <w:p>
      <w:pPr>
        <w:spacing w:before="360" w:after="240" w:line="276" w:lineRule="auto"/>
        <w:jc w:val="center"/>
      </w:pPr>
      <w:r>
        <w:rPr>
          <w:rFonts w:ascii="Times New Roman" w:hAnsi="Times New Roman"/>
          <w:b/>
          <w:color w:val="003366"/>
          <w:sz w:val="28"/>
        </w:rPr>
        <w:t>ACKNOWLEDGEMENT</w:t>
      </w:r>
    </w:p>
    <w:p>
      <w:pPr>
        <w:spacing w:before="0" w:after="120" w:line="360" w:lineRule="auto"/>
        <w:jc w:val="both"/>
      </w:pPr>
      <w:r>
        <w:rPr>
          <w:rFonts w:ascii="Times New Roman" w:hAnsi="Times New Roman"/>
          <w:i w:val="0"/>
          <w:sz w:val="24"/>
        </w:rPr>
        <w:t>The successful completion of this project work marks a milestone in my academic endeavor, and I express my heartfelt gratitude to all individuals whose guidance, encouragement, and support made this achievement possible.</w:t>
      </w:r>
    </w:p>
    <w:p>
      <w:pPr>
        <w:spacing w:before="0" w:after="120" w:line="360" w:lineRule="auto"/>
        <w:jc w:val="both"/>
      </w:pPr>
      <w:r>
        <w:rPr>
          <w:rFonts w:ascii="Times New Roman" w:hAnsi="Times New Roman"/>
          <w:i w:val="0"/>
          <w:sz w:val="24"/>
        </w:rPr>
        <w:t>I express my sincere respect and deep sense of gratitude to our respected Principal, Dr. Mahesh Prasanna K, for providing excellent academic infrastructure, computational facilities, and a supportive learning environment conducive to technical research.</w:t>
      </w:r>
    </w:p>
    <w:p>
      <w:pPr>
        <w:spacing w:before="0" w:after="120" w:line="360" w:lineRule="auto"/>
        <w:jc w:val="both"/>
      </w:pPr>
      <w:r>
        <w:rPr>
          <w:rFonts w:ascii="Times New Roman" w:hAnsi="Times New Roman"/>
          <w:i w:val="0"/>
          <w:sz w:val="24"/>
        </w:rPr>
        <w:t>I am profoundly grateful to Dr. Ganesh Pai, Professor and Head of the Department of Information Science and Engineering, for his constant encouragement, valuable suggestions, administrative support, and academic guidance throughout the duration of the engineering curriculum.</w:t>
      </w:r>
    </w:p>
    <w:p>
      <w:pPr>
        <w:spacing w:before="0" w:after="120" w:line="360" w:lineRule="auto"/>
        <w:jc w:val="both"/>
      </w:pPr>
      <w:r>
        <w:rPr>
          <w:rFonts w:ascii="Times New Roman" w:hAnsi="Times New Roman"/>
          <w:i w:val="0"/>
          <w:sz w:val="24"/>
        </w:rPr>
        <w:t>I express my sincere gratitude to Project Coordinator, Mrs. Sadhana B, Assistant Professor, Department of ISE, for her systematic planning, continuous reviews, constructive suggestions, and timely feedback that ensured our adherence to the highest academic standards.</w:t>
      </w:r>
    </w:p>
    <w:p>
      <w:pPr>
        <w:spacing w:before="0" w:after="120" w:line="360" w:lineRule="auto"/>
        <w:jc w:val="both"/>
      </w:pPr>
      <w:r>
        <w:rPr>
          <w:rFonts w:ascii="Times New Roman" w:hAnsi="Times New Roman"/>
          <w:i w:val="0"/>
          <w:sz w:val="24"/>
        </w:rPr>
        <w:t>I am deeply indebted to my Project Guide for their invaluable technical guidance, insightful critiques, patience, and unwavering encouragement during every phase of this research and system implementation.</w:t>
      </w:r>
    </w:p>
    <w:p>
      <w:pPr>
        <w:spacing w:before="0" w:after="120" w:line="360" w:lineRule="auto"/>
        <w:jc w:val="both"/>
      </w:pPr>
      <w:r>
        <w:rPr>
          <w:rFonts w:ascii="Times New Roman" w:hAnsi="Times New Roman"/>
          <w:i w:val="0"/>
          <w:sz w:val="24"/>
        </w:rPr>
        <w:t>I also thank all the teaching and non-teaching faculty members and technical staff of the Department of Information Science and Engineering for their continuous assistance. Finally, I extend my heartfelt gratitude to my family and friends for their enduring moral support and motivation.</w:t>
      </w:r>
    </w:p>
    <w:p>
      <w:pPr>
        <w:spacing w:before="400" w:after="120" w:line="276" w:lineRule="auto"/>
        <w:jc w:val="both"/>
      </w:pPr>
      <w:r>
        <w:rPr>
          <w:rFonts w:ascii="Times New Roman" w:hAnsi="Times New Roman"/>
          <w:b/>
          <w:sz w:val="22"/>
        </w:rPr>
        <w:t>RAKSHITA SHETTY</w:t>
        <w:br/>
        <w:t>(USN: 4CB23IS001)</w:t>
      </w:r>
    </w:p>
    <w:p>
      <w:r>
        <w:br w:type="page"/>
      </w:r>
    </w:p>
    <w:p>
      <w:pPr>
        <w:spacing w:before="360" w:after="240" w:line="276" w:lineRule="auto"/>
        <w:jc w:val="center"/>
      </w:pPr>
      <w:r>
        <w:rPr>
          <w:rFonts w:ascii="Times New Roman" w:hAnsi="Times New Roman"/>
          <w:b/>
          <w:color w:val="003366"/>
          <w:sz w:val="28"/>
        </w:rPr>
        <w:t>ABSTRACT</w:t>
      </w:r>
    </w:p>
    <w:p>
      <w:pPr>
        <w:spacing w:before="0" w:after="120" w:line="360" w:lineRule="auto"/>
        <w:jc w:val="both"/>
      </w:pPr>
      <w:r>
        <w:rPr>
          <w:rFonts w:ascii="Times New Roman" w:hAnsi="Times New Roman"/>
          <w:i w:val="0"/>
          <w:sz w:val="24"/>
        </w:rPr>
        <w:t>Traditional passive perimeter defenses, such as Network Firewalls and static Intrusion Detection Systems (IDS), rely predominantly on reactive signature matching and static rule heuristics. In modern high-velocity cyber warfare, advanced threat actors leverage multi-stage, evasive command-line techniques that effortlessly circumvent boundary filters and blend into benign administrative traffic. Honeypots provide deceptive emulation to trap adversaries; however, conventional honeypots remain passive decoy silos—logging unstructured command bursts without contextual awareness, real-time intent classification, or progressive attacker profiling.</w:t>
      </w:r>
    </w:p>
    <w:p>
      <w:pPr>
        <w:spacing w:before="0" w:after="120" w:line="360" w:lineRule="auto"/>
        <w:jc w:val="both"/>
      </w:pPr>
      <w:r>
        <w:rPr>
          <w:rFonts w:ascii="Times New Roman" w:hAnsi="Times New Roman"/>
          <w:i w:val="0"/>
          <w:sz w:val="24"/>
        </w:rPr>
        <w:t>To bridge this critical security paradigm gap, this project presents INT-AWARE: an Intent-Aware Deception System for Real-Time Attacker Profiling. INT-AWARE transforms deceptive entrapment into an active, intelligent cyber-reasoning engine. The system integrates a containerized Cowrie SSH/Telnet honeypot with a non-blocking asynchronous streaming log collector, an event normalizer, and a hybrid multi-tiered machine learning classification pipeline. The ML engine couples high-precision deterministic regex rules with a Calibrated Linear Support Vector Machine (LinearSVC with Platt Sigmoid Calibration, word 1-3 n-grams, and char_wb 3-6 n-grams) delivering 100.00% held-out test accuracy across 10 canonical MITRE ATT&amp;CK-aligned intent categories (Reconnaissance, Discovery, Credential Access, Execution, Privilege Escalation, Persistence, Exploitation, Exfiltration, Cleanup, and Other). For zero-day intrusion and out-of-distribution execution anomalies, an Isolation Forest detector operates at a calibrated threshold of -0.4906, achieving 99.70% test accuracy with 0.00% false positive rate on benign administrative operations.</w:t>
      </w:r>
    </w:p>
    <w:p>
      <w:pPr>
        <w:spacing w:before="0" w:after="120" w:line="360" w:lineRule="auto"/>
        <w:jc w:val="both"/>
      </w:pPr>
      <w:r>
        <w:rPr>
          <w:rFonts w:ascii="Times New Roman" w:hAnsi="Times New Roman"/>
          <w:i w:val="0"/>
          <w:sz w:val="24"/>
        </w:rPr>
        <w:t>INT-AWARE incorporates a Random Forest classifier (120 estimators) for MITRE attack-stage attribution (99.27% accuracy, 0.9928 Macro-F1) alongside a HistGradientBoosting Regressor for continuous threat risk scoring (Mean Absolute Error = 3.16, R² = 0.8915, 88.50% severity categorization accuracy). A stateful first-order Markov transition engine calculates behavioral progression probabilities P(Intent_t | Intent_{t-1}) to project imminent adversary objectives. Real-time telemetry is streamed via WebSockets with an end-to-end event latency of approximately 10.77 milliseconds to a responsive React 18 dashboard featuring Overview, Live Sessions, Attacker Profiles, Threat Alerts, Analytics, and Research Labs. The entire architecture was rigorously evaluated across 166 automated verification tests, proving that INT-AWARE delivers sub-15ms tactical cyber threat intelligence while completely eliminating deceptive fatigue in security operations centers.</w:t>
      </w:r>
    </w:p>
    <w:p>
      <w:r>
        <w:br w:type="page"/>
      </w:r>
    </w:p>
    <w:p>
      <w:pPr>
        <w:spacing w:before="360" w:after="240" w:line="276" w:lineRule="auto"/>
        <w:jc w:val="center"/>
      </w:pPr>
      <w:r>
        <w:rPr>
          <w:rFonts w:ascii="Times New Roman" w:hAnsi="Times New Roman"/>
          <w:b/>
          <w:color w:val="003366"/>
          <w:sz w:val="28"/>
        </w:rPr>
        <w:t>TABLE OF CONTENTS</w:t>
      </w:r>
    </w:p>
    <w:tbl>
      <w:tblPr>
        <w:tblW w:type="auto" w:w="0"/>
        <w:jc w:val="center"/>
        <w:tblLook w:firstColumn="1" w:firstRow="1" w:lastColumn="0" w:lastRow="0" w:noHBand="0" w:noVBand="1" w:val="04A0"/>
      </w:tblPr>
      <w:tblGrid>
        <w:gridCol w:w="4500"/>
        <w:gridCol w:w="4500"/>
      </w:tblGrid>
      <w:tr>
        <w:tc>
          <w:tcPr>
            <w:tcW w:type="dxa" w:w="7488"/>
          </w:tcPr>
          <w:p>
            <w:pPr>
              <w:spacing w:before="20" w:after="20" w:line="240" w:lineRule="auto"/>
              <w:jc w:val="left"/>
            </w:pPr>
            <w:r>
              <w:rPr>
                <w:rFonts w:ascii="Times New Roman" w:hAnsi="Times New Roman"/>
                <w:b/>
                <w:sz w:val="21"/>
              </w:rPr>
              <w:t>Certificate</w:t>
            </w:r>
          </w:p>
        </w:tc>
        <w:tc>
          <w:tcPr>
            <w:tcW w:type="dxa" w:w="1440"/>
          </w:tcPr>
          <w:p>
            <w:pPr>
              <w:spacing w:before="20" w:after="20" w:line="240" w:lineRule="auto"/>
              <w:jc w:val="right"/>
            </w:pPr>
            <w:r>
              <w:rPr>
                <w:rFonts w:ascii="Times New Roman" w:hAnsi="Times New Roman"/>
                <w:sz w:val="21"/>
              </w:rPr>
              <w:t>ii</w:t>
            </w:r>
          </w:p>
        </w:tc>
      </w:tr>
      <w:tr>
        <w:tc>
          <w:tcPr>
            <w:tcW w:type="dxa" w:w="7488"/>
          </w:tcPr>
          <w:p>
            <w:pPr>
              <w:spacing w:before="20" w:after="20" w:line="240" w:lineRule="auto"/>
              <w:jc w:val="left"/>
            </w:pPr>
            <w:r>
              <w:rPr>
                <w:rFonts w:ascii="Times New Roman" w:hAnsi="Times New Roman"/>
                <w:b/>
                <w:sz w:val="21"/>
              </w:rPr>
              <w:t>Declaration</w:t>
            </w:r>
          </w:p>
        </w:tc>
        <w:tc>
          <w:tcPr>
            <w:tcW w:type="dxa" w:w="1440"/>
          </w:tcPr>
          <w:p>
            <w:pPr>
              <w:spacing w:before="20" w:after="20" w:line="240" w:lineRule="auto"/>
              <w:jc w:val="right"/>
            </w:pPr>
            <w:r>
              <w:rPr>
                <w:rFonts w:ascii="Times New Roman" w:hAnsi="Times New Roman"/>
                <w:sz w:val="21"/>
              </w:rPr>
              <w:t>iii</w:t>
            </w:r>
          </w:p>
        </w:tc>
      </w:tr>
      <w:tr>
        <w:tc>
          <w:tcPr>
            <w:tcW w:type="dxa" w:w="7488"/>
          </w:tcPr>
          <w:p>
            <w:pPr>
              <w:spacing w:before="20" w:after="20" w:line="240" w:lineRule="auto"/>
              <w:jc w:val="left"/>
            </w:pPr>
            <w:r>
              <w:rPr>
                <w:rFonts w:ascii="Times New Roman" w:hAnsi="Times New Roman"/>
                <w:b/>
                <w:sz w:val="21"/>
              </w:rPr>
              <w:t>Acknowledgement</w:t>
            </w:r>
          </w:p>
        </w:tc>
        <w:tc>
          <w:tcPr>
            <w:tcW w:type="dxa" w:w="1440"/>
          </w:tcPr>
          <w:p>
            <w:pPr>
              <w:spacing w:before="20" w:after="20" w:line="240" w:lineRule="auto"/>
              <w:jc w:val="right"/>
            </w:pPr>
            <w:r>
              <w:rPr>
                <w:rFonts w:ascii="Times New Roman" w:hAnsi="Times New Roman"/>
                <w:sz w:val="21"/>
              </w:rPr>
              <w:t>iv</w:t>
            </w:r>
          </w:p>
        </w:tc>
      </w:tr>
      <w:tr>
        <w:tc>
          <w:tcPr>
            <w:tcW w:type="dxa" w:w="7488"/>
          </w:tcPr>
          <w:p>
            <w:pPr>
              <w:spacing w:before="20" w:after="20" w:line="240" w:lineRule="auto"/>
              <w:jc w:val="left"/>
            </w:pPr>
            <w:r>
              <w:rPr>
                <w:rFonts w:ascii="Times New Roman" w:hAnsi="Times New Roman"/>
                <w:b/>
                <w:sz w:val="21"/>
              </w:rPr>
              <w:t>Abstract</w:t>
            </w:r>
          </w:p>
        </w:tc>
        <w:tc>
          <w:tcPr>
            <w:tcW w:type="dxa" w:w="1440"/>
          </w:tcPr>
          <w:p>
            <w:pPr>
              <w:spacing w:before="20" w:after="20" w:line="240" w:lineRule="auto"/>
              <w:jc w:val="right"/>
            </w:pPr>
            <w:r>
              <w:rPr>
                <w:rFonts w:ascii="Times New Roman" w:hAnsi="Times New Roman"/>
                <w:sz w:val="21"/>
              </w:rPr>
              <w:t>v</w:t>
            </w:r>
          </w:p>
        </w:tc>
      </w:tr>
      <w:tr>
        <w:tc>
          <w:tcPr>
            <w:tcW w:type="dxa" w:w="7488"/>
          </w:tcPr>
          <w:p>
            <w:pPr>
              <w:spacing w:before="20" w:after="20" w:line="240" w:lineRule="auto"/>
              <w:jc w:val="left"/>
            </w:pPr>
            <w:r>
              <w:rPr>
                <w:rFonts w:ascii="Times New Roman" w:hAnsi="Times New Roman"/>
                <w:sz w:val="21"/>
              </w:rPr>
              <w:t>List of Figures</w:t>
            </w:r>
          </w:p>
        </w:tc>
        <w:tc>
          <w:tcPr>
            <w:tcW w:type="dxa" w:w="1440"/>
          </w:tcPr>
          <w:p>
            <w:pPr>
              <w:spacing w:before="20" w:after="20" w:line="240" w:lineRule="auto"/>
              <w:jc w:val="right"/>
            </w:pPr>
            <w:r>
              <w:rPr>
                <w:rFonts w:ascii="Times New Roman" w:hAnsi="Times New Roman"/>
                <w:sz w:val="21"/>
              </w:rPr>
              <w:t>viii</w:t>
            </w:r>
          </w:p>
        </w:tc>
      </w:tr>
      <w:tr>
        <w:tc>
          <w:tcPr>
            <w:tcW w:type="dxa" w:w="7488"/>
          </w:tcPr>
          <w:p>
            <w:pPr>
              <w:spacing w:before="20" w:after="20" w:line="240" w:lineRule="auto"/>
              <w:jc w:val="left"/>
            </w:pPr>
            <w:r>
              <w:rPr>
                <w:rFonts w:ascii="Times New Roman" w:hAnsi="Times New Roman"/>
                <w:sz w:val="21"/>
              </w:rPr>
              <w:t>List of Tables</w:t>
            </w:r>
          </w:p>
        </w:tc>
        <w:tc>
          <w:tcPr>
            <w:tcW w:type="dxa" w:w="1440"/>
          </w:tcPr>
          <w:p>
            <w:pPr>
              <w:spacing w:before="20" w:after="20" w:line="240" w:lineRule="auto"/>
              <w:jc w:val="right"/>
            </w:pPr>
            <w:r>
              <w:rPr>
                <w:rFonts w:ascii="Times New Roman" w:hAnsi="Times New Roman"/>
                <w:sz w:val="21"/>
              </w:rPr>
              <w:t>x</w:t>
            </w:r>
          </w:p>
        </w:tc>
      </w:tr>
      <w:tr>
        <w:tc>
          <w:tcPr>
            <w:tcW w:type="dxa" w:w="7488"/>
          </w:tcPr>
          <w:p>
            <w:pPr>
              <w:spacing w:before="20" w:after="20" w:line="240" w:lineRule="auto"/>
              <w:jc w:val="left"/>
            </w:pPr>
            <w:r>
              <w:rPr>
                <w:rFonts w:ascii="Times New Roman" w:hAnsi="Times New Roman"/>
                <w:sz w:val="21"/>
              </w:rPr>
              <w:t>List of Abbreviations</w:t>
            </w:r>
          </w:p>
        </w:tc>
        <w:tc>
          <w:tcPr>
            <w:tcW w:type="dxa" w:w="1440"/>
          </w:tcPr>
          <w:p>
            <w:pPr>
              <w:spacing w:before="20" w:after="20" w:line="240" w:lineRule="auto"/>
              <w:jc w:val="right"/>
            </w:pPr>
            <w:r>
              <w:rPr>
                <w:rFonts w:ascii="Times New Roman" w:hAnsi="Times New Roman"/>
                <w:sz w:val="21"/>
              </w:rPr>
              <w:t>xi</w:t>
            </w:r>
          </w:p>
        </w:tc>
      </w:tr>
      <w:tr>
        <w:tc>
          <w:tcPr>
            <w:tcW w:type="dxa" w:w="7488"/>
          </w:tcPr>
          <w:p>
            <w:pPr>
              <w:spacing w:before="20" w:after="20" w:line="240" w:lineRule="auto"/>
              <w:jc w:val="left"/>
            </w:pPr>
            <w:r>
              <w:rPr>
                <w:rFonts w:ascii="Times New Roman" w:hAnsi="Times New Roman"/>
                <w:b/>
                <w:sz w:val="21"/>
              </w:rPr>
              <w:t>CHAPTER 1: INTRODUCTION</w:t>
            </w:r>
          </w:p>
        </w:tc>
        <w:tc>
          <w:tcPr>
            <w:tcW w:type="dxa" w:w="1440"/>
          </w:tcPr>
          <w:p>
            <w:pPr>
              <w:spacing w:before="20" w:after="20" w:line="240" w:lineRule="auto"/>
              <w:jc w:val="right"/>
            </w:pPr>
            <w:r>
              <w:rPr>
                <w:rFonts w:ascii="Times New Roman" w:hAnsi="Times New Roman"/>
                <w:sz w:val="21"/>
              </w:rPr>
              <w:t>1</w:t>
            </w:r>
          </w:p>
        </w:tc>
      </w:tr>
      <w:tr>
        <w:tc>
          <w:tcPr>
            <w:tcW w:type="dxa" w:w="7488"/>
          </w:tcPr>
          <w:p>
            <w:pPr>
              <w:spacing w:before="20" w:after="20" w:line="240" w:lineRule="auto"/>
              <w:jc w:val="left"/>
            </w:pPr>
            <w:r>
              <w:rPr>
                <w:rFonts w:ascii="Times New Roman" w:hAnsi="Times New Roman"/>
                <w:sz w:val="21"/>
              </w:rPr>
              <w:t xml:space="preserve">    1.1 Background</w:t>
            </w:r>
          </w:p>
        </w:tc>
        <w:tc>
          <w:tcPr>
            <w:tcW w:type="dxa" w:w="1440"/>
          </w:tcPr>
          <w:p>
            <w:pPr>
              <w:spacing w:before="20" w:after="20" w:line="240" w:lineRule="auto"/>
              <w:jc w:val="right"/>
            </w:pPr>
            <w:r>
              <w:rPr>
                <w:rFonts w:ascii="Times New Roman" w:hAnsi="Times New Roman"/>
                <w:sz w:val="21"/>
              </w:rPr>
              <w:t>1</w:t>
            </w:r>
          </w:p>
        </w:tc>
      </w:tr>
      <w:tr>
        <w:tc>
          <w:tcPr>
            <w:tcW w:type="dxa" w:w="7488"/>
          </w:tcPr>
          <w:p>
            <w:pPr>
              <w:spacing w:before="20" w:after="20" w:line="240" w:lineRule="auto"/>
              <w:jc w:val="left"/>
            </w:pPr>
            <w:r>
              <w:rPr>
                <w:rFonts w:ascii="Times New Roman" w:hAnsi="Times New Roman"/>
                <w:sz w:val="21"/>
              </w:rPr>
              <w:t xml:space="preserve">    1.2 Motivation and Problem Statement</w:t>
            </w:r>
          </w:p>
        </w:tc>
        <w:tc>
          <w:tcPr>
            <w:tcW w:type="dxa" w:w="1440"/>
          </w:tcPr>
          <w:p>
            <w:pPr>
              <w:spacing w:before="20" w:after="20" w:line="240" w:lineRule="auto"/>
              <w:jc w:val="right"/>
            </w:pPr>
            <w:r>
              <w:rPr>
                <w:rFonts w:ascii="Times New Roman" w:hAnsi="Times New Roman"/>
                <w:sz w:val="21"/>
              </w:rPr>
              <w:t>2</w:t>
            </w:r>
          </w:p>
        </w:tc>
      </w:tr>
      <w:tr>
        <w:tc>
          <w:tcPr>
            <w:tcW w:type="dxa" w:w="7488"/>
          </w:tcPr>
          <w:p>
            <w:pPr>
              <w:spacing w:before="20" w:after="20" w:line="240" w:lineRule="auto"/>
              <w:jc w:val="left"/>
            </w:pPr>
            <w:r>
              <w:rPr>
                <w:rFonts w:ascii="Times New Roman" w:hAnsi="Times New Roman"/>
                <w:sz w:val="21"/>
              </w:rPr>
              <w:t xml:space="preserve">    1.3 Objectives of the Project</w:t>
            </w:r>
          </w:p>
        </w:tc>
        <w:tc>
          <w:tcPr>
            <w:tcW w:type="dxa" w:w="1440"/>
          </w:tcPr>
          <w:p>
            <w:pPr>
              <w:spacing w:before="20" w:after="20" w:line="240" w:lineRule="auto"/>
              <w:jc w:val="right"/>
            </w:pPr>
            <w:r>
              <w:rPr>
                <w:rFonts w:ascii="Times New Roman" w:hAnsi="Times New Roman"/>
                <w:sz w:val="21"/>
              </w:rPr>
              <w:t>4</w:t>
            </w:r>
          </w:p>
        </w:tc>
      </w:tr>
      <w:tr>
        <w:tc>
          <w:tcPr>
            <w:tcW w:type="dxa" w:w="7488"/>
          </w:tcPr>
          <w:p>
            <w:pPr>
              <w:spacing w:before="20" w:after="20" w:line="240" w:lineRule="auto"/>
              <w:jc w:val="left"/>
            </w:pPr>
            <w:r>
              <w:rPr>
                <w:rFonts w:ascii="Times New Roman" w:hAnsi="Times New Roman"/>
                <w:sz w:val="21"/>
              </w:rPr>
              <w:t xml:space="preserve">    1.4 Scope and Limitations</w:t>
            </w:r>
          </w:p>
        </w:tc>
        <w:tc>
          <w:tcPr>
            <w:tcW w:type="dxa" w:w="1440"/>
          </w:tcPr>
          <w:p>
            <w:pPr>
              <w:spacing w:before="20" w:after="20" w:line="240" w:lineRule="auto"/>
              <w:jc w:val="right"/>
            </w:pPr>
            <w:r>
              <w:rPr>
                <w:rFonts w:ascii="Times New Roman" w:hAnsi="Times New Roman"/>
                <w:sz w:val="21"/>
              </w:rPr>
              <w:t>5</w:t>
            </w:r>
          </w:p>
        </w:tc>
      </w:tr>
      <w:tr>
        <w:tc>
          <w:tcPr>
            <w:tcW w:type="dxa" w:w="7488"/>
          </w:tcPr>
          <w:p>
            <w:pPr>
              <w:spacing w:before="20" w:after="20" w:line="240" w:lineRule="auto"/>
              <w:jc w:val="left"/>
            </w:pPr>
            <w:r>
              <w:rPr>
                <w:rFonts w:ascii="Times New Roman" w:hAnsi="Times New Roman"/>
                <w:sz w:val="21"/>
              </w:rPr>
              <w:t xml:space="preserve">    1.5 Relevance and Project Type</w:t>
            </w:r>
          </w:p>
        </w:tc>
        <w:tc>
          <w:tcPr>
            <w:tcW w:type="dxa" w:w="1440"/>
          </w:tcPr>
          <w:p>
            <w:pPr>
              <w:spacing w:before="20" w:after="20" w:line="240" w:lineRule="auto"/>
              <w:jc w:val="right"/>
            </w:pPr>
            <w:r>
              <w:rPr>
                <w:rFonts w:ascii="Times New Roman" w:hAnsi="Times New Roman"/>
                <w:sz w:val="21"/>
              </w:rPr>
              <w:t>6</w:t>
            </w:r>
          </w:p>
        </w:tc>
      </w:tr>
      <w:tr>
        <w:tc>
          <w:tcPr>
            <w:tcW w:type="dxa" w:w="7488"/>
          </w:tcPr>
          <w:p>
            <w:pPr>
              <w:spacing w:before="20" w:after="20" w:line="240" w:lineRule="auto"/>
              <w:jc w:val="left"/>
            </w:pPr>
            <w:r>
              <w:rPr>
                <w:rFonts w:ascii="Times New Roman" w:hAnsi="Times New Roman"/>
                <w:sz w:val="21"/>
              </w:rPr>
              <w:t xml:space="preserve">    1.6 Organization of the Report</w:t>
            </w:r>
          </w:p>
        </w:tc>
        <w:tc>
          <w:tcPr>
            <w:tcW w:type="dxa" w:w="1440"/>
          </w:tcPr>
          <w:p>
            <w:pPr>
              <w:spacing w:before="20" w:after="20" w:line="240" w:lineRule="auto"/>
              <w:jc w:val="right"/>
            </w:pPr>
            <w:r>
              <w:rPr>
                <w:rFonts w:ascii="Times New Roman" w:hAnsi="Times New Roman"/>
                <w:sz w:val="21"/>
              </w:rPr>
              <w:t>7</w:t>
            </w:r>
          </w:p>
        </w:tc>
      </w:tr>
      <w:tr>
        <w:tc>
          <w:tcPr>
            <w:tcW w:type="dxa" w:w="7488"/>
          </w:tcPr>
          <w:p>
            <w:pPr>
              <w:spacing w:before="20" w:after="20" w:line="240" w:lineRule="auto"/>
              <w:jc w:val="left"/>
            </w:pPr>
            <w:r>
              <w:rPr>
                <w:rFonts w:ascii="Times New Roman" w:hAnsi="Times New Roman"/>
                <w:b/>
                <w:sz w:val="21"/>
              </w:rPr>
              <w:t>CHAPTER 2: LITERATURE SURVEY</w:t>
            </w:r>
          </w:p>
        </w:tc>
        <w:tc>
          <w:tcPr>
            <w:tcW w:type="dxa" w:w="1440"/>
          </w:tcPr>
          <w:p>
            <w:pPr>
              <w:spacing w:before="20" w:after="20" w:line="240" w:lineRule="auto"/>
              <w:jc w:val="right"/>
            </w:pPr>
            <w:r>
              <w:rPr>
                <w:rFonts w:ascii="Times New Roman" w:hAnsi="Times New Roman"/>
                <w:sz w:val="21"/>
              </w:rPr>
              <w:t>8</w:t>
            </w:r>
          </w:p>
        </w:tc>
      </w:tr>
      <w:tr>
        <w:tc>
          <w:tcPr>
            <w:tcW w:type="dxa" w:w="7488"/>
          </w:tcPr>
          <w:p>
            <w:pPr>
              <w:spacing w:before="20" w:after="20" w:line="240" w:lineRule="auto"/>
              <w:jc w:val="left"/>
            </w:pPr>
            <w:r>
              <w:rPr>
                <w:rFonts w:ascii="Times New Roman" w:hAnsi="Times New Roman"/>
                <w:sz w:val="21"/>
              </w:rPr>
              <w:t xml:space="preserve">    2.1 Survey of Existing Systems</w:t>
            </w:r>
          </w:p>
        </w:tc>
        <w:tc>
          <w:tcPr>
            <w:tcW w:type="dxa" w:w="1440"/>
          </w:tcPr>
          <w:p>
            <w:pPr>
              <w:spacing w:before="20" w:after="20" w:line="240" w:lineRule="auto"/>
              <w:jc w:val="right"/>
            </w:pPr>
            <w:r>
              <w:rPr>
                <w:rFonts w:ascii="Times New Roman" w:hAnsi="Times New Roman"/>
                <w:sz w:val="21"/>
              </w:rPr>
              <w:t>8</w:t>
            </w:r>
          </w:p>
        </w:tc>
      </w:tr>
      <w:tr>
        <w:tc>
          <w:tcPr>
            <w:tcW w:type="dxa" w:w="7488"/>
          </w:tcPr>
          <w:p>
            <w:pPr>
              <w:spacing w:before="20" w:after="20" w:line="240" w:lineRule="auto"/>
              <w:jc w:val="left"/>
            </w:pPr>
            <w:r>
              <w:rPr>
                <w:rFonts w:ascii="Times New Roman" w:hAnsi="Times New Roman"/>
                <w:sz w:val="21"/>
              </w:rPr>
              <w:t xml:space="preserve">    2.2 Comprehensive Literature Comparison Table</w:t>
            </w:r>
          </w:p>
        </w:tc>
        <w:tc>
          <w:tcPr>
            <w:tcW w:type="dxa" w:w="1440"/>
          </w:tcPr>
          <w:p>
            <w:pPr>
              <w:spacing w:before="20" w:after="20" w:line="240" w:lineRule="auto"/>
              <w:jc w:val="right"/>
            </w:pPr>
            <w:r>
              <w:rPr>
                <w:rFonts w:ascii="Times New Roman" w:hAnsi="Times New Roman"/>
                <w:sz w:val="21"/>
              </w:rPr>
              <w:t>19</w:t>
            </w:r>
          </w:p>
        </w:tc>
      </w:tr>
      <w:tr>
        <w:tc>
          <w:tcPr>
            <w:tcW w:type="dxa" w:w="7488"/>
          </w:tcPr>
          <w:p>
            <w:pPr>
              <w:spacing w:before="20" w:after="20" w:line="240" w:lineRule="auto"/>
              <w:jc w:val="left"/>
            </w:pPr>
            <w:r>
              <w:rPr>
                <w:rFonts w:ascii="Times New Roman" w:hAnsi="Times New Roman"/>
                <w:sz w:val="21"/>
              </w:rPr>
              <w:t xml:space="preserve">    2.3 Gaps Identified in Existing Work</w:t>
            </w:r>
          </w:p>
        </w:tc>
        <w:tc>
          <w:tcPr>
            <w:tcW w:type="dxa" w:w="1440"/>
          </w:tcPr>
          <w:p>
            <w:pPr>
              <w:spacing w:before="20" w:after="20" w:line="240" w:lineRule="auto"/>
              <w:jc w:val="right"/>
            </w:pPr>
            <w:r>
              <w:rPr>
                <w:rFonts w:ascii="Times New Roman" w:hAnsi="Times New Roman"/>
                <w:sz w:val="21"/>
              </w:rPr>
              <w:t>21</w:t>
            </w:r>
          </w:p>
        </w:tc>
      </w:tr>
      <w:tr>
        <w:tc>
          <w:tcPr>
            <w:tcW w:type="dxa" w:w="7488"/>
          </w:tcPr>
          <w:p>
            <w:pPr>
              <w:spacing w:before="20" w:after="20" w:line="240" w:lineRule="auto"/>
              <w:jc w:val="left"/>
            </w:pPr>
            <w:r>
              <w:rPr>
                <w:rFonts w:ascii="Times New Roman" w:hAnsi="Times New Roman"/>
                <w:sz w:val="21"/>
              </w:rPr>
              <w:t xml:space="preserve">    2.4 How INT-AWARE Addresses the Research Gaps</w:t>
            </w:r>
          </w:p>
        </w:tc>
        <w:tc>
          <w:tcPr>
            <w:tcW w:type="dxa" w:w="1440"/>
          </w:tcPr>
          <w:p>
            <w:pPr>
              <w:spacing w:before="20" w:after="20" w:line="240" w:lineRule="auto"/>
              <w:jc w:val="right"/>
            </w:pPr>
            <w:r>
              <w:rPr>
                <w:rFonts w:ascii="Times New Roman" w:hAnsi="Times New Roman"/>
                <w:sz w:val="21"/>
              </w:rPr>
              <w:t>23</w:t>
            </w:r>
          </w:p>
        </w:tc>
      </w:tr>
      <w:tr>
        <w:tc>
          <w:tcPr>
            <w:tcW w:type="dxa" w:w="7488"/>
          </w:tcPr>
          <w:p>
            <w:pPr>
              <w:spacing w:before="20" w:after="20" w:line="240" w:lineRule="auto"/>
              <w:jc w:val="left"/>
            </w:pPr>
            <w:r>
              <w:rPr>
                <w:rFonts w:ascii="Times New Roman" w:hAnsi="Times New Roman"/>
                <w:sz w:val="21"/>
              </w:rPr>
              <w:t xml:space="preserve">    2.5 Summary</w:t>
            </w:r>
          </w:p>
        </w:tc>
        <w:tc>
          <w:tcPr>
            <w:tcW w:type="dxa" w:w="1440"/>
          </w:tcPr>
          <w:p>
            <w:pPr>
              <w:spacing w:before="20" w:after="20" w:line="240" w:lineRule="auto"/>
              <w:jc w:val="right"/>
            </w:pPr>
            <w:r>
              <w:rPr>
                <w:rFonts w:ascii="Times New Roman" w:hAnsi="Times New Roman"/>
                <w:sz w:val="21"/>
              </w:rPr>
              <w:t>24</w:t>
            </w:r>
          </w:p>
        </w:tc>
      </w:tr>
      <w:tr>
        <w:tc>
          <w:tcPr>
            <w:tcW w:type="dxa" w:w="7488"/>
          </w:tcPr>
          <w:p>
            <w:pPr>
              <w:spacing w:before="20" w:after="20" w:line="240" w:lineRule="auto"/>
              <w:jc w:val="left"/>
            </w:pPr>
            <w:r>
              <w:rPr>
                <w:rFonts w:ascii="Times New Roman" w:hAnsi="Times New Roman"/>
                <w:b/>
                <w:sz w:val="21"/>
              </w:rPr>
              <w:t>CHAPTER 3: SOFTWARE REQUIREMENTS SPECIFICATION (SRS)</w:t>
            </w:r>
          </w:p>
        </w:tc>
        <w:tc>
          <w:tcPr>
            <w:tcW w:type="dxa" w:w="1440"/>
          </w:tcPr>
          <w:p>
            <w:pPr>
              <w:spacing w:before="20" w:after="20" w:line="240" w:lineRule="auto"/>
              <w:jc w:val="right"/>
            </w:pPr>
            <w:r>
              <w:rPr>
                <w:rFonts w:ascii="Times New Roman" w:hAnsi="Times New Roman"/>
                <w:sz w:val="21"/>
              </w:rPr>
              <w:t>25</w:t>
            </w:r>
          </w:p>
        </w:tc>
      </w:tr>
      <w:tr>
        <w:tc>
          <w:tcPr>
            <w:tcW w:type="dxa" w:w="7488"/>
          </w:tcPr>
          <w:p>
            <w:pPr>
              <w:spacing w:before="20" w:after="20" w:line="240" w:lineRule="auto"/>
              <w:jc w:val="left"/>
            </w:pPr>
            <w:r>
              <w:rPr>
                <w:rFonts w:ascii="Times New Roman" w:hAnsi="Times New Roman"/>
                <w:sz w:val="21"/>
              </w:rPr>
              <w:t xml:space="preserve">    3.1 Functional Requirements</w:t>
            </w:r>
          </w:p>
        </w:tc>
        <w:tc>
          <w:tcPr>
            <w:tcW w:type="dxa" w:w="1440"/>
          </w:tcPr>
          <w:p>
            <w:pPr>
              <w:spacing w:before="20" w:after="20" w:line="240" w:lineRule="auto"/>
              <w:jc w:val="right"/>
            </w:pPr>
            <w:r>
              <w:rPr>
                <w:rFonts w:ascii="Times New Roman" w:hAnsi="Times New Roman"/>
                <w:sz w:val="21"/>
              </w:rPr>
              <w:t>25</w:t>
            </w:r>
          </w:p>
        </w:tc>
      </w:tr>
      <w:tr>
        <w:tc>
          <w:tcPr>
            <w:tcW w:type="dxa" w:w="7488"/>
          </w:tcPr>
          <w:p>
            <w:pPr>
              <w:spacing w:before="20" w:after="20" w:line="240" w:lineRule="auto"/>
              <w:jc w:val="left"/>
            </w:pPr>
            <w:r>
              <w:rPr>
                <w:rFonts w:ascii="Times New Roman" w:hAnsi="Times New Roman"/>
                <w:sz w:val="21"/>
              </w:rPr>
              <w:t xml:space="preserve">    3.2 Non-Functional Requirements</w:t>
            </w:r>
          </w:p>
        </w:tc>
        <w:tc>
          <w:tcPr>
            <w:tcW w:type="dxa" w:w="1440"/>
          </w:tcPr>
          <w:p>
            <w:pPr>
              <w:spacing w:before="20" w:after="20" w:line="240" w:lineRule="auto"/>
              <w:jc w:val="right"/>
            </w:pPr>
            <w:r>
              <w:rPr>
                <w:rFonts w:ascii="Times New Roman" w:hAnsi="Times New Roman"/>
                <w:sz w:val="21"/>
              </w:rPr>
              <w:t>28</w:t>
            </w:r>
          </w:p>
        </w:tc>
      </w:tr>
      <w:tr>
        <w:tc>
          <w:tcPr>
            <w:tcW w:type="dxa" w:w="7488"/>
          </w:tcPr>
          <w:p>
            <w:pPr>
              <w:spacing w:before="20" w:after="20" w:line="240" w:lineRule="auto"/>
              <w:jc w:val="left"/>
            </w:pPr>
            <w:r>
              <w:rPr>
                <w:rFonts w:ascii="Times New Roman" w:hAnsi="Times New Roman"/>
                <w:sz w:val="21"/>
              </w:rPr>
              <w:t xml:space="preserve">    3.3 Hardware Requirements Specification</w:t>
            </w:r>
          </w:p>
        </w:tc>
        <w:tc>
          <w:tcPr>
            <w:tcW w:type="dxa" w:w="1440"/>
          </w:tcPr>
          <w:p>
            <w:pPr>
              <w:spacing w:before="20" w:after="20" w:line="240" w:lineRule="auto"/>
              <w:jc w:val="right"/>
            </w:pPr>
            <w:r>
              <w:rPr>
                <w:rFonts w:ascii="Times New Roman" w:hAnsi="Times New Roman"/>
                <w:sz w:val="21"/>
              </w:rPr>
              <w:t>30</w:t>
            </w:r>
          </w:p>
        </w:tc>
      </w:tr>
      <w:tr>
        <w:tc>
          <w:tcPr>
            <w:tcW w:type="dxa" w:w="7488"/>
          </w:tcPr>
          <w:p>
            <w:pPr>
              <w:spacing w:before="20" w:after="20" w:line="240" w:lineRule="auto"/>
              <w:jc w:val="left"/>
            </w:pPr>
            <w:r>
              <w:rPr>
                <w:rFonts w:ascii="Times New Roman" w:hAnsi="Times New Roman"/>
                <w:sz w:val="21"/>
              </w:rPr>
              <w:t xml:space="preserve">    3.4 Software Requirements Specification</w:t>
            </w:r>
          </w:p>
        </w:tc>
        <w:tc>
          <w:tcPr>
            <w:tcW w:type="dxa" w:w="1440"/>
          </w:tcPr>
          <w:p>
            <w:pPr>
              <w:spacing w:before="20" w:after="20" w:line="240" w:lineRule="auto"/>
              <w:jc w:val="right"/>
            </w:pPr>
            <w:r>
              <w:rPr>
                <w:rFonts w:ascii="Times New Roman" w:hAnsi="Times New Roman"/>
                <w:sz w:val="21"/>
              </w:rPr>
              <w:t>31</w:t>
            </w:r>
          </w:p>
        </w:tc>
      </w:tr>
      <w:tr>
        <w:tc>
          <w:tcPr>
            <w:tcW w:type="dxa" w:w="7488"/>
          </w:tcPr>
          <w:p>
            <w:pPr>
              <w:spacing w:before="20" w:after="20" w:line="240" w:lineRule="auto"/>
              <w:jc w:val="left"/>
            </w:pPr>
            <w:r>
              <w:rPr>
                <w:rFonts w:ascii="Times New Roman" w:hAnsi="Times New Roman"/>
                <w:sz w:val="21"/>
              </w:rPr>
              <w:t xml:space="preserve">    3.5 Performance Metrics and Success Criteria</w:t>
            </w:r>
          </w:p>
        </w:tc>
        <w:tc>
          <w:tcPr>
            <w:tcW w:type="dxa" w:w="1440"/>
          </w:tcPr>
          <w:p>
            <w:pPr>
              <w:spacing w:before="20" w:after="20" w:line="240" w:lineRule="auto"/>
              <w:jc w:val="right"/>
            </w:pPr>
            <w:r>
              <w:rPr>
                <w:rFonts w:ascii="Times New Roman" w:hAnsi="Times New Roman"/>
                <w:sz w:val="21"/>
              </w:rPr>
              <w:t>33</w:t>
            </w:r>
          </w:p>
        </w:tc>
      </w:tr>
      <w:tr>
        <w:tc>
          <w:tcPr>
            <w:tcW w:type="dxa" w:w="7488"/>
          </w:tcPr>
          <w:p>
            <w:pPr>
              <w:spacing w:before="20" w:after="20" w:line="240" w:lineRule="auto"/>
              <w:jc w:val="left"/>
            </w:pPr>
            <w:r>
              <w:rPr>
                <w:rFonts w:ascii="Times New Roman" w:hAnsi="Times New Roman"/>
                <w:sz w:val="21"/>
              </w:rPr>
              <w:t xml:space="preserve">    3.6 User Interface Requirements</w:t>
            </w:r>
          </w:p>
        </w:tc>
        <w:tc>
          <w:tcPr>
            <w:tcW w:type="dxa" w:w="1440"/>
          </w:tcPr>
          <w:p>
            <w:pPr>
              <w:spacing w:before="20" w:after="20" w:line="240" w:lineRule="auto"/>
              <w:jc w:val="right"/>
            </w:pPr>
            <w:r>
              <w:rPr>
                <w:rFonts w:ascii="Times New Roman" w:hAnsi="Times New Roman"/>
                <w:sz w:val="21"/>
              </w:rPr>
              <w:t>34</w:t>
            </w:r>
          </w:p>
        </w:tc>
      </w:tr>
      <w:tr>
        <w:tc>
          <w:tcPr>
            <w:tcW w:type="dxa" w:w="7488"/>
          </w:tcPr>
          <w:p>
            <w:pPr>
              <w:spacing w:before="20" w:after="20" w:line="240" w:lineRule="auto"/>
              <w:jc w:val="left"/>
            </w:pPr>
            <w:r>
              <w:rPr>
                <w:rFonts w:ascii="Times New Roman" w:hAnsi="Times New Roman"/>
                <w:sz w:val="21"/>
              </w:rPr>
              <w:t xml:space="preserve">    3.7 Summary</w:t>
            </w:r>
          </w:p>
        </w:tc>
        <w:tc>
          <w:tcPr>
            <w:tcW w:type="dxa" w:w="1440"/>
          </w:tcPr>
          <w:p>
            <w:pPr>
              <w:spacing w:before="20" w:after="20" w:line="240" w:lineRule="auto"/>
              <w:jc w:val="right"/>
            </w:pPr>
            <w:r>
              <w:rPr>
                <w:rFonts w:ascii="Times New Roman" w:hAnsi="Times New Roman"/>
                <w:sz w:val="21"/>
              </w:rPr>
              <w:t>35</w:t>
            </w:r>
          </w:p>
        </w:tc>
      </w:tr>
      <w:tr>
        <w:tc>
          <w:tcPr>
            <w:tcW w:type="dxa" w:w="7488"/>
          </w:tcPr>
          <w:p>
            <w:pPr>
              <w:spacing w:before="20" w:after="20" w:line="240" w:lineRule="auto"/>
              <w:jc w:val="left"/>
            </w:pPr>
            <w:r>
              <w:rPr>
                <w:rFonts w:ascii="Times New Roman" w:hAnsi="Times New Roman"/>
                <w:b/>
                <w:sz w:val="21"/>
              </w:rPr>
              <w:t>CHAPTER 4: SYSTEM DESIGN</w:t>
            </w:r>
          </w:p>
        </w:tc>
        <w:tc>
          <w:tcPr>
            <w:tcW w:type="dxa" w:w="1440"/>
          </w:tcPr>
          <w:p>
            <w:pPr>
              <w:spacing w:before="20" w:after="20" w:line="240" w:lineRule="auto"/>
              <w:jc w:val="right"/>
            </w:pPr>
            <w:r>
              <w:rPr>
                <w:rFonts w:ascii="Times New Roman" w:hAnsi="Times New Roman"/>
                <w:sz w:val="21"/>
              </w:rPr>
              <w:t>36</w:t>
            </w:r>
          </w:p>
        </w:tc>
      </w:tr>
      <w:tr>
        <w:tc>
          <w:tcPr>
            <w:tcW w:type="dxa" w:w="7488"/>
          </w:tcPr>
          <w:p>
            <w:pPr>
              <w:spacing w:before="20" w:after="20" w:line="240" w:lineRule="auto"/>
              <w:jc w:val="left"/>
            </w:pPr>
            <w:r>
              <w:rPr>
                <w:rFonts w:ascii="Times New Roman" w:hAnsi="Times New Roman"/>
                <w:sz w:val="21"/>
              </w:rPr>
              <w:t xml:space="preserve">    4.1 Abstract Architecture</w:t>
            </w:r>
          </w:p>
        </w:tc>
        <w:tc>
          <w:tcPr>
            <w:tcW w:type="dxa" w:w="1440"/>
          </w:tcPr>
          <w:p>
            <w:pPr>
              <w:spacing w:before="20" w:after="20" w:line="240" w:lineRule="auto"/>
              <w:jc w:val="right"/>
            </w:pPr>
            <w:r>
              <w:rPr>
                <w:rFonts w:ascii="Times New Roman" w:hAnsi="Times New Roman"/>
                <w:sz w:val="21"/>
              </w:rPr>
              <w:t>36</w:t>
            </w:r>
          </w:p>
        </w:tc>
      </w:tr>
      <w:tr>
        <w:tc>
          <w:tcPr>
            <w:tcW w:type="dxa" w:w="7488"/>
          </w:tcPr>
          <w:p>
            <w:pPr>
              <w:spacing w:before="20" w:after="20" w:line="240" w:lineRule="auto"/>
              <w:jc w:val="left"/>
            </w:pPr>
            <w:r>
              <w:rPr>
                <w:rFonts w:ascii="Times New Roman" w:hAnsi="Times New Roman"/>
                <w:sz w:val="21"/>
              </w:rPr>
              <w:t xml:space="preserve">    4.2 Proposed System Architecture &amp; High-Level Design</w:t>
            </w:r>
          </w:p>
        </w:tc>
        <w:tc>
          <w:tcPr>
            <w:tcW w:type="dxa" w:w="1440"/>
          </w:tcPr>
          <w:p>
            <w:pPr>
              <w:spacing w:before="20" w:after="20" w:line="240" w:lineRule="auto"/>
              <w:jc w:val="right"/>
            </w:pPr>
            <w:r>
              <w:rPr>
                <w:rFonts w:ascii="Times New Roman" w:hAnsi="Times New Roman"/>
                <w:sz w:val="21"/>
              </w:rPr>
              <w:t>37</w:t>
            </w:r>
          </w:p>
        </w:tc>
      </w:tr>
      <w:tr>
        <w:tc>
          <w:tcPr>
            <w:tcW w:type="dxa" w:w="7488"/>
          </w:tcPr>
          <w:p>
            <w:pPr>
              <w:spacing w:before="20" w:after="20" w:line="240" w:lineRule="auto"/>
              <w:jc w:val="left"/>
            </w:pPr>
            <w:r>
              <w:rPr>
                <w:rFonts w:ascii="Times New Roman" w:hAnsi="Times New Roman"/>
                <w:sz w:val="21"/>
              </w:rPr>
              <w:t xml:space="preserve">    4.3 Modular Design</w:t>
            </w:r>
          </w:p>
        </w:tc>
        <w:tc>
          <w:tcPr>
            <w:tcW w:type="dxa" w:w="1440"/>
          </w:tcPr>
          <w:p>
            <w:pPr>
              <w:spacing w:before="20" w:after="20" w:line="240" w:lineRule="auto"/>
              <w:jc w:val="right"/>
            </w:pPr>
            <w:r>
              <w:rPr>
                <w:rFonts w:ascii="Times New Roman" w:hAnsi="Times New Roman"/>
                <w:sz w:val="21"/>
              </w:rPr>
              <w:t>39</w:t>
            </w:r>
          </w:p>
        </w:tc>
      </w:tr>
      <w:tr>
        <w:tc>
          <w:tcPr>
            <w:tcW w:type="dxa" w:w="7488"/>
          </w:tcPr>
          <w:p>
            <w:pPr>
              <w:spacing w:before="20" w:after="20" w:line="240" w:lineRule="auto"/>
              <w:jc w:val="left"/>
            </w:pPr>
            <w:r>
              <w:rPr>
                <w:rFonts w:ascii="Times New Roman" w:hAnsi="Times New Roman"/>
                <w:sz w:val="21"/>
              </w:rPr>
              <w:t xml:space="preserve">    4.4 Data Flow Diagrams (DFD Level 0, Level 1, Level 2)</w:t>
            </w:r>
          </w:p>
        </w:tc>
        <w:tc>
          <w:tcPr>
            <w:tcW w:type="dxa" w:w="1440"/>
          </w:tcPr>
          <w:p>
            <w:pPr>
              <w:spacing w:before="20" w:after="20" w:line="240" w:lineRule="auto"/>
              <w:jc w:val="right"/>
            </w:pPr>
            <w:r>
              <w:rPr>
                <w:rFonts w:ascii="Times New Roman" w:hAnsi="Times New Roman"/>
                <w:sz w:val="21"/>
              </w:rPr>
              <w:t>43</w:t>
            </w:r>
          </w:p>
        </w:tc>
      </w:tr>
      <w:tr>
        <w:tc>
          <w:tcPr>
            <w:tcW w:type="dxa" w:w="7488"/>
          </w:tcPr>
          <w:p>
            <w:pPr>
              <w:spacing w:before="20" w:after="20" w:line="240" w:lineRule="auto"/>
              <w:jc w:val="left"/>
            </w:pPr>
            <w:r>
              <w:rPr>
                <w:rFonts w:ascii="Times New Roman" w:hAnsi="Times New Roman"/>
                <w:sz w:val="21"/>
              </w:rPr>
              <w:t xml:space="preserve">    4.5 Use Case Diagram &amp; Actor Descriptions</w:t>
            </w:r>
          </w:p>
        </w:tc>
        <w:tc>
          <w:tcPr>
            <w:tcW w:type="dxa" w:w="1440"/>
          </w:tcPr>
          <w:p>
            <w:pPr>
              <w:spacing w:before="20" w:after="20" w:line="240" w:lineRule="auto"/>
              <w:jc w:val="right"/>
            </w:pPr>
            <w:r>
              <w:rPr>
                <w:rFonts w:ascii="Times New Roman" w:hAnsi="Times New Roman"/>
                <w:sz w:val="21"/>
              </w:rPr>
              <w:t>47</w:t>
            </w:r>
          </w:p>
        </w:tc>
      </w:tr>
      <w:tr>
        <w:tc>
          <w:tcPr>
            <w:tcW w:type="dxa" w:w="7488"/>
          </w:tcPr>
          <w:p>
            <w:pPr>
              <w:spacing w:before="20" w:after="20" w:line="240" w:lineRule="auto"/>
              <w:jc w:val="left"/>
            </w:pPr>
            <w:r>
              <w:rPr>
                <w:rFonts w:ascii="Times New Roman" w:hAnsi="Times New Roman"/>
                <w:sz w:val="21"/>
              </w:rPr>
              <w:t xml:space="preserve">    4.6 Sequence Diagram</w:t>
            </w:r>
          </w:p>
        </w:tc>
        <w:tc>
          <w:tcPr>
            <w:tcW w:type="dxa" w:w="1440"/>
          </w:tcPr>
          <w:p>
            <w:pPr>
              <w:spacing w:before="20" w:after="20" w:line="240" w:lineRule="auto"/>
              <w:jc w:val="right"/>
            </w:pPr>
            <w:r>
              <w:rPr>
                <w:rFonts w:ascii="Times New Roman" w:hAnsi="Times New Roman"/>
                <w:sz w:val="21"/>
              </w:rPr>
              <w:t>49</w:t>
            </w:r>
          </w:p>
        </w:tc>
      </w:tr>
      <w:tr>
        <w:tc>
          <w:tcPr>
            <w:tcW w:type="dxa" w:w="7488"/>
          </w:tcPr>
          <w:p>
            <w:pPr>
              <w:spacing w:before="20" w:after="20" w:line="240" w:lineRule="auto"/>
              <w:jc w:val="left"/>
            </w:pPr>
            <w:r>
              <w:rPr>
                <w:rFonts w:ascii="Times New Roman" w:hAnsi="Times New Roman"/>
                <w:sz w:val="21"/>
              </w:rPr>
              <w:t xml:space="preserve">    4.7 Activity / Control Flow Diagram</w:t>
            </w:r>
          </w:p>
        </w:tc>
        <w:tc>
          <w:tcPr>
            <w:tcW w:type="dxa" w:w="1440"/>
          </w:tcPr>
          <w:p>
            <w:pPr>
              <w:spacing w:before="20" w:after="20" w:line="240" w:lineRule="auto"/>
              <w:jc w:val="right"/>
            </w:pPr>
            <w:r>
              <w:rPr>
                <w:rFonts w:ascii="Times New Roman" w:hAnsi="Times New Roman"/>
                <w:sz w:val="21"/>
              </w:rPr>
              <w:t>51</w:t>
            </w:r>
          </w:p>
        </w:tc>
      </w:tr>
      <w:tr>
        <w:tc>
          <w:tcPr>
            <w:tcW w:type="dxa" w:w="7488"/>
          </w:tcPr>
          <w:p>
            <w:pPr>
              <w:spacing w:before="20" w:after="20" w:line="240" w:lineRule="auto"/>
              <w:jc w:val="left"/>
            </w:pPr>
            <w:r>
              <w:rPr>
                <w:rFonts w:ascii="Times New Roman" w:hAnsi="Times New Roman"/>
                <w:sz w:val="21"/>
              </w:rPr>
              <w:t xml:space="preserve">    4.8 Database Schema &amp; Entity Relationships</w:t>
            </w:r>
          </w:p>
        </w:tc>
        <w:tc>
          <w:tcPr>
            <w:tcW w:type="dxa" w:w="1440"/>
          </w:tcPr>
          <w:p>
            <w:pPr>
              <w:spacing w:before="20" w:after="20" w:line="240" w:lineRule="auto"/>
              <w:jc w:val="right"/>
            </w:pPr>
            <w:r>
              <w:rPr>
                <w:rFonts w:ascii="Times New Roman" w:hAnsi="Times New Roman"/>
                <w:sz w:val="21"/>
              </w:rPr>
              <w:t>53</w:t>
            </w:r>
          </w:p>
        </w:tc>
      </w:tr>
      <w:tr>
        <w:tc>
          <w:tcPr>
            <w:tcW w:type="dxa" w:w="7488"/>
          </w:tcPr>
          <w:p>
            <w:pPr>
              <w:spacing w:before="20" w:after="20" w:line="240" w:lineRule="auto"/>
              <w:jc w:val="left"/>
            </w:pPr>
            <w:r>
              <w:rPr>
                <w:rFonts w:ascii="Times New Roman" w:hAnsi="Times New Roman"/>
                <w:sz w:val="21"/>
              </w:rPr>
              <w:t xml:space="preserve">    4.9 Summary</w:t>
            </w:r>
          </w:p>
        </w:tc>
        <w:tc>
          <w:tcPr>
            <w:tcW w:type="dxa" w:w="1440"/>
          </w:tcPr>
          <w:p>
            <w:pPr>
              <w:spacing w:before="20" w:after="20" w:line="240" w:lineRule="auto"/>
              <w:jc w:val="right"/>
            </w:pPr>
            <w:r>
              <w:rPr>
                <w:rFonts w:ascii="Times New Roman" w:hAnsi="Times New Roman"/>
                <w:sz w:val="21"/>
              </w:rPr>
              <w:t>55</w:t>
            </w:r>
          </w:p>
        </w:tc>
      </w:tr>
      <w:tr>
        <w:tc>
          <w:tcPr>
            <w:tcW w:type="dxa" w:w="7488"/>
          </w:tcPr>
          <w:p>
            <w:pPr>
              <w:spacing w:before="20" w:after="20" w:line="240" w:lineRule="auto"/>
              <w:jc w:val="left"/>
            </w:pPr>
            <w:r>
              <w:rPr>
                <w:rFonts w:ascii="Times New Roman" w:hAnsi="Times New Roman"/>
                <w:b/>
                <w:sz w:val="21"/>
              </w:rPr>
              <w:t>CHAPTER 5: IMPLEMENTATION</w:t>
            </w:r>
          </w:p>
        </w:tc>
        <w:tc>
          <w:tcPr>
            <w:tcW w:type="dxa" w:w="1440"/>
          </w:tcPr>
          <w:p>
            <w:pPr>
              <w:spacing w:before="20" w:after="20" w:line="240" w:lineRule="auto"/>
              <w:jc w:val="right"/>
            </w:pPr>
            <w:r>
              <w:rPr>
                <w:rFonts w:ascii="Times New Roman" w:hAnsi="Times New Roman"/>
                <w:sz w:val="21"/>
              </w:rPr>
              <w:t>56</w:t>
            </w:r>
          </w:p>
        </w:tc>
      </w:tr>
      <w:tr>
        <w:tc>
          <w:tcPr>
            <w:tcW w:type="dxa" w:w="7488"/>
          </w:tcPr>
          <w:p>
            <w:pPr>
              <w:spacing w:before="20" w:after="20" w:line="240" w:lineRule="auto"/>
              <w:jc w:val="left"/>
            </w:pPr>
            <w:r>
              <w:rPr>
                <w:rFonts w:ascii="Times New Roman" w:hAnsi="Times New Roman"/>
                <w:sz w:val="21"/>
              </w:rPr>
              <w:t xml:space="preserve">    5.1 Development Environment &amp; Tooling with Justification</w:t>
            </w:r>
          </w:p>
        </w:tc>
        <w:tc>
          <w:tcPr>
            <w:tcW w:type="dxa" w:w="1440"/>
          </w:tcPr>
          <w:p>
            <w:pPr>
              <w:spacing w:before="20" w:after="20" w:line="240" w:lineRule="auto"/>
              <w:jc w:val="right"/>
            </w:pPr>
            <w:r>
              <w:rPr>
                <w:rFonts w:ascii="Times New Roman" w:hAnsi="Times New Roman"/>
                <w:sz w:val="21"/>
              </w:rPr>
              <w:t>56</w:t>
            </w:r>
          </w:p>
        </w:tc>
      </w:tr>
      <w:tr>
        <w:tc>
          <w:tcPr>
            <w:tcW w:type="dxa" w:w="7488"/>
          </w:tcPr>
          <w:p>
            <w:pPr>
              <w:spacing w:before="20" w:after="20" w:line="240" w:lineRule="auto"/>
              <w:jc w:val="left"/>
            </w:pPr>
            <w:r>
              <w:rPr>
                <w:rFonts w:ascii="Times New Roman" w:hAnsi="Times New Roman"/>
                <w:sz w:val="21"/>
              </w:rPr>
              <w:t xml:space="preserve">    5.2 Algorithm &amp; Modular Implementation</w:t>
            </w:r>
          </w:p>
        </w:tc>
        <w:tc>
          <w:tcPr>
            <w:tcW w:type="dxa" w:w="1440"/>
          </w:tcPr>
          <w:p>
            <w:pPr>
              <w:spacing w:before="20" w:after="20" w:line="240" w:lineRule="auto"/>
              <w:jc w:val="right"/>
            </w:pPr>
            <w:r>
              <w:rPr>
                <w:rFonts w:ascii="Times New Roman" w:hAnsi="Times New Roman"/>
                <w:sz w:val="21"/>
              </w:rPr>
              <w:t>58</w:t>
            </w:r>
          </w:p>
        </w:tc>
      </w:tr>
      <w:tr>
        <w:tc>
          <w:tcPr>
            <w:tcW w:type="dxa" w:w="7488"/>
          </w:tcPr>
          <w:p>
            <w:pPr>
              <w:spacing w:before="20" w:after="20" w:line="240" w:lineRule="auto"/>
              <w:jc w:val="left"/>
            </w:pPr>
            <w:r>
              <w:rPr>
                <w:rFonts w:ascii="Times New Roman" w:hAnsi="Times New Roman"/>
                <w:sz w:val="21"/>
              </w:rPr>
              <w:t xml:space="preserve">    5.3 Coding Conventions, Architecture Patterns &amp; Code Organization</w:t>
            </w:r>
          </w:p>
        </w:tc>
        <w:tc>
          <w:tcPr>
            <w:tcW w:type="dxa" w:w="1440"/>
          </w:tcPr>
          <w:p>
            <w:pPr>
              <w:spacing w:before="20" w:after="20" w:line="240" w:lineRule="auto"/>
              <w:jc w:val="right"/>
            </w:pPr>
            <w:r>
              <w:rPr>
                <w:rFonts w:ascii="Times New Roman" w:hAnsi="Times New Roman"/>
                <w:sz w:val="21"/>
              </w:rPr>
              <w:t>60</w:t>
            </w:r>
          </w:p>
        </w:tc>
      </w:tr>
      <w:tr>
        <w:tc>
          <w:tcPr>
            <w:tcW w:type="dxa" w:w="7488"/>
          </w:tcPr>
          <w:p>
            <w:pPr>
              <w:spacing w:before="20" w:after="20" w:line="240" w:lineRule="auto"/>
              <w:jc w:val="left"/>
            </w:pPr>
            <w:r>
              <w:rPr>
                <w:rFonts w:ascii="Times New Roman" w:hAnsi="Times New Roman"/>
                <w:sz w:val="21"/>
              </w:rPr>
              <w:t xml:space="preserve">    5.4 Algorithmic Pseudocodes (Algorithms 5.1 to 5.5)</w:t>
            </w:r>
          </w:p>
        </w:tc>
        <w:tc>
          <w:tcPr>
            <w:tcW w:type="dxa" w:w="1440"/>
          </w:tcPr>
          <w:p>
            <w:pPr>
              <w:spacing w:before="20" w:after="20" w:line="240" w:lineRule="auto"/>
              <w:jc w:val="right"/>
            </w:pPr>
            <w:r>
              <w:rPr>
                <w:rFonts w:ascii="Times New Roman" w:hAnsi="Times New Roman"/>
                <w:sz w:val="21"/>
              </w:rPr>
              <w:t>63</w:t>
            </w:r>
          </w:p>
        </w:tc>
      </w:tr>
      <w:tr>
        <w:tc>
          <w:tcPr>
            <w:tcW w:type="dxa" w:w="7488"/>
          </w:tcPr>
          <w:p>
            <w:pPr>
              <w:spacing w:before="20" w:after="20" w:line="240" w:lineRule="auto"/>
              <w:jc w:val="left"/>
            </w:pPr>
            <w:r>
              <w:rPr>
                <w:rFonts w:ascii="Times New Roman" w:hAnsi="Times New Roman"/>
                <w:sz w:val="21"/>
              </w:rPr>
              <w:t xml:space="preserve">    5.5 Front-End Implementation &amp; Visual Components</w:t>
            </w:r>
          </w:p>
        </w:tc>
        <w:tc>
          <w:tcPr>
            <w:tcW w:type="dxa" w:w="1440"/>
          </w:tcPr>
          <w:p>
            <w:pPr>
              <w:spacing w:before="20" w:after="20" w:line="240" w:lineRule="auto"/>
              <w:jc w:val="right"/>
            </w:pPr>
            <w:r>
              <w:rPr>
                <w:rFonts w:ascii="Times New Roman" w:hAnsi="Times New Roman"/>
                <w:sz w:val="21"/>
              </w:rPr>
              <w:t>71</w:t>
            </w:r>
          </w:p>
        </w:tc>
      </w:tr>
      <w:tr>
        <w:tc>
          <w:tcPr>
            <w:tcW w:type="dxa" w:w="7488"/>
          </w:tcPr>
          <w:p>
            <w:pPr>
              <w:spacing w:before="20" w:after="20" w:line="240" w:lineRule="auto"/>
              <w:jc w:val="left"/>
            </w:pPr>
            <w:r>
              <w:rPr>
                <w:rFonts w:ascii="Times New Roman" w:hAnsi="Times New Roman"/>
                <w:sz w:val="21"/>
              </w:rPr>
              <w:t xml:space="preserve">    5.6 Summary</w:t>
            </w:r>
          </w:p>
        </w:tc>
        <w:tc>
          <w:tcPr>
            <w:tcW w:type="dxa" w:w="1440"/>
          </w:tcPr>
          <w:p>
            <w:pPr>
              <w:spacing w:before="20" w:after="20" w:line="240" w:lineRule="auto"/>
              <w:jc w:val="right"/>
            </w:pPr>
            <w:r>
              <w:rPr>
                <w:rFonts w:ascii="Times New Roman" w:hAnsi="Times New Roman"/>
                <w:sz w:val="21"/>
              </w:rPr>
              <w:t>77</w:t>
            </w:r>
          </w:p>
        </w:tc>
      </w:tr>
      <w:tr>
        <w:tc>
          <w:tcPr>
            <w:tcW w:type="dxa" w:w="7488"/>
          </w:tcPr>
          <w:p>
            <w:pPr>
              <w:spacing w:before="20" w:after="20" w:line="240" w:lineRule="auto"/>
              <w:jc w:val="left"/>
            </w:pPr>
            <w:r>
              <w:rPr>
                <w:rFonts w:ascii="Times New Roman" w:hAnsi="Times New Roman"/>
                <w:b/>
                <w:sz w:val="21"/>
              </w:rPr>
              <w:t>CHAPTER 6: RESULTS AND DISCUSSION</w:t>
            </w:r>
          </w:p>
        </w:tc>
        <w:tc>
          <w:tcPr>
            <w:tcW w:type="dxa" w:w="1440"/>
          </w:tcPr>
          <w:p>
            <w:pPr>
              <w:spacing w:before="20" w:after="20" w:line="240" w:lineRule="auto"/>
              <w:jc w:val="right"/>
            </w:pPr>
            <w:r>
              <w:rPr>
                <w:rFonts w:ascii="Times New Roman" w:hAnsi="Times New Roman"/>
                <w:sz w:val="21"/>
              </w:rPr>
              <w:t>78</w:t>
            </w:r>
          </w:p>
        </w:tc>
      </w:tr>
      <w:tr>
        <w:tc>
          <w:tcPr>
            <w:tcW w:type="dxa" w:w="7488"/>
          </w:tcPr>
          <w:p>
            <w:pPr>
              <w:spacing w:before="20" w:after="20" w:line="240" w:lineRule="auto"/>
              <w:jc w:val="left"/>
            </w:pPr>
            <w:r>
              <w:rPr>
                <w:rFonts w:ascii="Times New Roman" w:hAnsi="Times New Roman"/>
                <w:sz w:val="21"/>
              </w:rPr>
              <w:t xml:space="preserve">    6.1 Experimental Setup &amp; Evaluation Datasets</w:t>
            </w:r>
          </w:p>
        </w:tc>
        <w:tc>
          <w:tcPr>
            <w:tcW w:type="dxa" w:w="1440"/>
          </w:tcPr>
          <w:p>
            <w:pPr>
              <w:spacing w:before="20" w:after="20" w:line="240" w:lineRule="auto"/>
              <w:jc w:val="right"/>
            </w:pPr>
            <w:r>
              <w:rPr>
                <w:rFonts w:ascii="Times New Roman" w:hAnsi="Times New Roman"/>
                <w:sz w:val="21"/>
              </w:rPr>
              <w:t>78</w:t>
            </w:r>
          </w:p>
        </w:tc>
      </w:tr>
      <w:tr>
        <w:tc>
          <w:tcPr>
            <w:tcW w:type="dxa" w:w="7488"/>
          </w:tcPr>
          <w:p>
            <w:pPr>
              <w:spacing w:before="20" w:after="20" w:line="240" w:lineRule="auto"/>
              <w:jc w:val="left"/>
            </w:pPr>
            <w:r>
              <w:rPr>
                <w:rFonts w:ascii="Times New Roman" w:hAnsi="Times New Roman"/>
                <w:sz w:val="21"/>
              </w:rPr>
              <w:t xml:space="preserve">    6.2 Automated Test Suite Execution Results (166 Tests)</w:t>
            </w:r>
          </w:p>
        </w:tc>
        <w:tc>
          <w:tcPr>
            <w:tcW w:type="dxa" w:w="1440"/>
          </w:tcPr>
          <w:p>
            <w:pPr>
              <w:spacing w:before="20" w:after="20" w:line="240" w:lineRule="auto"/>
              <w:jc w:val="right"/>
            </w:pPr>
            <w:r>
              <w:rPr>
                <w:rFonts w:ascii="Times New Roman" w:hAnsi="Times New Roman"/>
                <w:sz w:val="21"/>
              </w:rPr>
              <w:t>79</w:t>
            </w:r>
          </w:p>
        </w:tc>
      </w:tr>
      <w:tr>
        <w:tc>
          <w:tcPr>
            <w:tcW w:type="dxa" w:w="7488"/>
          </w:tcPr>
          <w:p>
            <w:pPr>
              <w:spacing w:before="20" w:after="20" w:line="240" w:lineRule="auto"/>
              <w:jc w:val="left"/>
            </w:pPr>
            <w:r>
              <w:rPr>
                <w:rFonts w:ascii="Times New Roman" w:hAnsi="Times New Roman"/>
                <w:sz w:val="21"/>
              </w:rPr>
              <w:t xml:space="preserve">    6.3 System-Wide Multi-Model Verification Summary</w:t>
            </w:r>
          </w:p>
        </w:tc>
        <w:tc>
          <w:tcPr>
            <w:tcW w:type="dxa" w:w="1440"/>
          </w:tcPr>
          <w:p>
            <w:pPr>
              <w:spacing w:before="20" w:after="20" w:line="240" w:lineRule="auto"/>
              <w:jc w:val="right"/>
            </w:pPr>
            <w:r>
              <w:rPr>
                <w:rFonts w:ascii="Times New Roman" w:hAnsi="Times New Roman"/>
                <w:sz w:val="21"/>
              </w:rPr>
              <w:t>81</w:t>
            </w:r>
          </w:p>
        </w:tc>
      </w:tr>
      <w:tr>
        <w:tc>
          <w:tcPr>
            <w:tcW w:type="dxa" w:w="7488"/>
          </w:tcPr>
          <w:p>
            <w:pPr>
              <w:spacing w:before="20" w:after="20" w:line="240" w:lineRule="auto"/>
              <w:jc w:val="left"/>
            </w:pPr>
            <w:r>
              <w:rPr>
                <w:rFonts w:ascii="Times New Roman" w:hAnsi="Times New Roman"/>
                <w:sz w:val="21"/>
              </w:rPr>
              <w:t xml:space="preserve">    6.4 ML Model 1 Performance: Calibrated Linear SVM Intent Classifier</w:t>
            </w:r>
          </w:p>
        </w:tc>
        <w:tc>
          <w:tcPr>
            <w:tcW w:type="dxa" w:w="1440"/>
          </w:tcPr>
          <w:p>
            <w:pPr>
              <w:spacing w:before="20" w:after="20" w:line="240" w:lineRule="auto"/>
              <w:jc w:val="right"/>
            </w:pPr>
            <w:r>
              <w:rPr>
                <w:rFonts w:ascii="Times New Roman" w:hAnsi="Times New Roman"/>
                <w:sz w:val="21"/>
              </w:rPr>
              <w:t>83</w:t>
            </w:r>
          </w:p>
        </w:tc>
      </w:tr>
      <w:tr>
        <w:tc>
          <w:tcPr>
            <w:tcW w:type="dxa" w:w="7488"/>
          </w:tcPr>
          <w:p>
            <w:pPr>
              <w:spacing w:before="20" w:after="20" w:line="240" w:lineRule="auto"/>
              <w:jc w:val="left"/>
            </w:pPr>
            <w:r>
              <w:rPr>
                <w:rFonts w:ascii="Times New Roman" w:hAnsi="Times New Roman"/>
                <w:sz w:val="21"/>
              </w:rPr>
              <w:t xml:space="preserve">    6.5 ML Model 2 Performance: Isolation Forest Anomaly Detector</w:t>
            </w:r>
          </w:p>
        </w:tc>
        <w:tc>
          <w:tcPr>
            <w:tcW w:type="dxa" w:w="1440"/>
          </w:tcPr>
          <w:p>
            <w:pPr>
              <w:spacing w:before="20" w:after="20" w:line="240" w:lineRule="auto"/>
              <w:jc w:val="right"/>
            </w:pPr>
            <w:r>
              <w:rPr>
                <w:rFonts w:ascii="Times New Roman" w:hAnsi="Times New Roman"/>
                <w:sz w:val="21"/>
              </w:rPr>
              <w:t>87</w:t>
            </w:r>
          </w:p>
        </w:tc>
      </w:tr>
      <w:tr>
        <w:tc>
          <w:tcPr>
            <w:tcW w:type="dxa" w:w="7488"/>
          </w:tcPr>
          <w:p>
            <w:pPr>
              <w:spacing w:before="20" w:after="20" w:line="240" w:lineRule="auto"/>
              <w:jc w:val="left"/>
            </w:pPr>
            <w:r>
              <w:rPr>
                <w:rFonts w:ascii="Times New Roman" w:hAnsi="Times New Roman"/>
                <w:sz w:val="21"/>
              </w:rPr>
              <w:t xml:space="preserve">    6.6 ML Model 3 Performance: Random Forest Stage Classifier</w:t>
            </w:r>
          </w:p>
        </w:tc>
        <w:tc>
          <w:tcPr>
            <w:tcW w:type="dxa" w:w="1440"/>
          </w:tcPr>
          <w:p>
            <w:pPr>
              <w:spacing w:before="20" w:after="20" w:line="240" w:lineRule="auto"/>
              <w:jc w:val="right"/>
            </w:pPr>
            <w:r>
              <w:rPr>
                <w:rFonts w:ascii="Times New Roman" w:hAnsi="Times New Roman"/>
                <w:sz w:val="21"/>
              </w:rPr>
              <w:t>90</w:t>
            </w:r>
          </w:p>
        </w:tc>
      </w:tr>
      <w:tr>
        <w:tc>
          <w:tcPr>
            <w:tcW w:type="dxa" w:w="7488"/>
          </w:tcPr>
          <w:p>
            <w:pPr>
              <w:spacing w:before="20" w:after="20" w:line="240" w:lineRule="auto"/>
              <w:jc w:val="left"/>
            </w:pPr>
            <w:r>
              <w:rPr>
                <w:rFonts w:ascii="Times New Roman" w:hAnsi="Times New Roman"/>
                <w:sz w:val="21"/>
              </w:rPr>
              <w:t xml:space="preserve">    6.7 ML Model 4 Performance: HistGradientBoosting Risk Regressor</w:t>
            </w:r>
          </w:p>
        </w:tc>
        <w:tc>
          <w:tcPr>
            <w:tcW w:type="dxa" w:w="1440"/>
          </w:tcPr>
          <w:p>
            <w:pPr>
              <w:spacing w:before="20" w:after="20" w:line="240" w:lineRule="auto"/>
              <w:jc w:val="right"/>
            </w:pPr>
            <w:r>
              <w:rPr>
                <w:rFonts w:ascii="Times New Roman" w:hAnsi="Times New Roman"/>
                <w:sz w:val="21"/>
              </w:rPr>
              <w:t>92</w:t>
            </w:r>
          </w:p>
        </w:tc>
      </w:tr>
      <w:tr>
        <w:tc>
          <w:tcPr>
            <w:tcW w:type="dxa" w:w="7488"/>
          </w:tcPr>
          <w:p>
            <w:pPr>
              <w:spacing w:before="20" w:after="20" w:line="240" w:lineRule="auto"/>
              <w:jc w:val="left"/>
            </w:pPr>
            <w:r>
              <w:rPr>
                <w:rFonts w:ascii="Times New Roman" w:hAnsi="Times New Roman"/>
                <w:sz w:val="21"/>
              </w:rPr>
              <w:t xml:space="preserve">    6.8 Model 5 &amp; Pipeline Reliability: Concept Drift (PSI) Tracking</w:t>
            </w:r>
          </w:p>
        </w:tc>
        <w:tc>
          <w:tcPr>
            <w:tcW w:type="dxa" w:w="1440"/>
          </w:tcPr>
          <w:p>
            <w:pPr>
              <w:spacing w:before="20" w:after="20" w:line="240" w:lineRule="auto"/>
              <w:jc w:val="right"/>
            </w:pPr>
            <w:r>
              <w:rPr>
                <w:rFonts w:ascii="Times New Roman" w:hAnsi="Times New Roman"/>
                <w:sz w:val="21"/>
              </w:rPr>
              <w:t>95</w:t>
            </w:r>
          </w:p>
        </w:tc>
      </w:tr>
      <w:tr>
        <w:tc>
          <w:tcPr>
            <w:tcW w:type="dxa" w:w="7488"/>
          </w:tcPr>
          <w:p>
            <w:pPr>
              <w:spacing w:before="20" w:after="20" w:line="240" w:lineRule="auto"/>
              <w:jc w:val="left"/>
            </w:pPr>
            <w:r>
              <w:rPr>
                <w:rFonts w:ascii="Times New Roman" w:hAnsi="Times New Roman"/>
                <w:sz w:val="21"/>
              </w:rPr>
              <w:t xml:space="preserve">    6.9 System Latency &amp; End-to-End Throughput Evaluation</w:t>
            </w:r>
          </w:p>
        </w:tc>
        <w:tc>
          <w:tcPr>
            <w:tcW w:type="dxa" w:w="1440"/>
          </w:tcPr>
          <w:p>
            <w:pPr>
              <w:spacing w:before="20" w:after="20" w:line="240" w:lineRule="auto"/>
              <w:jc w:val="right"/>
            </w:pPr>
            <w:r>
              <w:rPr>
                <w:rFonts w:ascii="Times New Roman" w:hAnsi="Times New Roman"/>
                <w:sz w:val="21"/>
              </w:rPr>
              <w:t>97</w:t>
            </w:r>
          </w:p>
        </w:tc>
      </w:tr>
      <w:tr>
        <w:tc>
          <w:tcPr>
            <w:tcW w:type="dxa" w:w="7488"/>
          </w:tcPr>
          <w:p>
            <w:pPr>
              <w:spacing w:before="20" w:after="20" w:line="240" w:lineRule="auto"/>
              <w:jc w:val="left"/>
            </w:pPr>
            <w:r>
              <w:rPr>
                <w:rFonts w:ascii="Times New Roman" w:hAnsi="Times New Roman"/>
                <w:sz w:val="21"/>
              </w:rPr>
              <w:t xml:space="preserve">    6.10 Comprehensive Test Cases Execution Table</w:t>
            </w:r>
          </w:p>
        </w:tc>
        <w:tc>
          <w:tcPr>
            <w:tcW w:type="dxa" w:w="1440"/>
          </w:tcPr>
          <w:p>
            <w:pPr>
              <w:spacing w:before="20" w:after="20" w:line="240" w:lineRule="auto"/>
              <w:jc w:val="right"/>
            </w:pPr>
            <w:r>
              <w:rPr>
                <w:rFonts w:ascii="Times New Roman" w:hAnsi="Times New Roman"/>
                <w:sz w:val="21"/>
              </w:rPr>
              <w:t>99</w:t>
            </w:r>
          </w:p>
        </w:tc>
      </w:tr>
      <w:tr>
        <w:tc>
          <w:tcPr>
            <w:tcW w:type="dxa" w:w="7488"/>
          </w:tcPr>
          <w:p>
            <w:pPr>
              <w:spacing w:before="20" w:after="20" w:line="240" w:lineRule="auto"/>
              <w:jc w:val="left"/>
            </w:pPr>
            <w:r>
              <w:rPr>
                <w:rFonts w:ascii="Times New Roman" w:hAnsi="Times New Roman"/>
                <w:sz w:val="21"/>
              </w:rPr>
              <w:t xml:space="preserve">    6.11 Comparative Analysis with Baseline Honeypot Systems</w:t>
            </w:r>
          </w:p>
        </w:tc>
        <w:tc>
          <w:tcPr>
            <w:tcW w:type="dxa" w:w="1440"/>
          </w:tcPr>
          <w:p>
            <w:pPr>
              <w:spacing w:before="20" w:after="20" w:line="240" w:lineRule="auto"/>
              <w:jc w:val="right"/>
            </w:pPr>
            <w:r>
              <w:rPr>
                <w:rFonts w:ascii="Times New Roman" w:hAnsi="Times New Roman"/>
                <w:sz w:val="21"/>
              </w:rPr>
              <w:t>106</w:t>
            </w:r>
          </w:p>
        </w:tc>
      </w:tr>
      <w:tr>
        <w:tc>
          <w:tcPr>
            <w:tcW w:type="dxa" w:w="7488"/>
          </w:tcPr>
          <w:p>
            <w:pPr>
              <w:spacing w:before="20" w:after="20" w:line="240" w:lineRule="auto"/>
              <w:jc w:val="left"/>
            </w:pPr>
            <w:r>
              <w:rPr>
                <w:rFonts w:ascii="Times New Roman" w:hAnsi="Times New Roman"/>
                <w:sz w:val="21"/>
              </w:rPr>
              <w:t xml:space="preserve">    6.12 Summary</w:t>
            </w:r>
          </w:p>
        </w:tc>
        <w:tc>
          <w:tcPr>
            <w:tcW w:type="dxa" w:w="1440"/>
          </w:tcPr>
          <w:p>
            <w:pPr>
              <w:spacing w:before="20" w:after="20" w:line="240" w:lineRule="auto"/>
              <w:jc w:val="right"/>
            </w:pPr>
            <w:r>
              <w:rPr>
                <w:rFonts w:ascii="Times New Roman" w:hAnsi="Times New Roman"/>
                <w:sz w:val="21"/>
              </w:rPr>
              <w:t>108</w:t>
            </w:r>
          </w:p>
        </w:tc>
      </w:tr>
      <w:tr>
        <w:tc>
          <w:tcPr>
            <w:tcW w:type="dxa" w:w="7488"/>
          </w:tcPr>
          <w:p>
            <w:pPr>
              <w:spacing w:before="20" w:after="20" w:line="240" w:lineRule="auto"/>
              <w:jc w:val="left"/>
            </w:pPr>
            <w:r>
              <w:rPr>
                <w:rFonts w:ascii="Times New Roman" w:hAnsi="Times New Roman"/>
                <w:b/>
                <w:sz w:val="21"/>
              </w:rPr>
              <w:t>CHAPTER 7: CONCLUSION AND FUTURE WORK</w:t>
            </w:r>
          </w:p>
        </w:tc>
        <w:tc>
          <w:tcPr>
            <w:tcW w:type="dxa" w:w="1440"/>
          </w:tcPr>
          <w:p>
            <w:pPr>
              <w:spacing w:before="20" w:after="20" w:line="240" w:lineRule="auto"/>
              <w:jc w:val="right"/>
            </w:pPr>
            <w:r>
              <w:rPr>
                <w:rFonts w:ascii="Times New Roman" w:hAnsi="Times New Roman"/>
                <w:sz w:val="21"/>
              </w:rPr>
              <w:t>109</w:t>
            </w:r>
          </w:p>
        </w:tc>
      </w:tr>
      <w:tr>
        <w:tc>
          <w:tcPr>
            <w:tcW w:type="dxa" w:w="7488"/>
          </w:tcPr>
          <w:p>
            <w:pPr>
              <w:spacing w:before="20" w:after="20" w:line="240" w:lineRule="auto"/>
              <w:jc w:val="left"/>
            </w:pPr>
            <w:r>
              <w:rPr>
                <w:rFonts w:ascii="Times New Roman" w:hAnsi="Times New Roman"/>
                <w:sz w:val="21"/>
              </w:rPr>
              <w:t xml:space="preserve">    7.1 Conclusion</w:t>
            </w:r>
          </w:p>
        </w:tc>
        <w:tc>
          <w:tcPr>
            <w:tcW w:type="dxa" w:w="1440"/>
          </w:tcPr>
          <w:p>
            <w:pPr>
              <w:spacing w:before="20" w:after="20" w:line="240" w:lineRule="auto"/>
              <w:jc w:val="right"/>
            </w:pPr>
            <w:r>
              <w:rPr>
                <w:rFonts w:ascii="Times New Roman" w:hAnsi="Times New Roman"/>
                <w:sz w:val="21"/>
              </w:rPr>
              <w:t>109</w:t>
            </w:r>
          </w:p>
        </w:tc>
      </w:tr>
      <w:tr>
        <w:tc>
          <w:tcPr>
            <w:tcW w:type="dxa" w:w="7488"/>
          </w:tcPr>
          <w:p>
            <w:pPr>
              <w:spacing w:before="20" w:after="20" w:line="240" w:lineRule="auto"/>
              <w:jc w:val="left"/>
            </w:pPr>
            <w:r>
              <w:rPr>
                <w:rFonts w:ascii="Times New Roman" w:hAnsi="Times New Roman"/>
                <w:sz w:val="21"/>
              </w:rPr>
              <w:t xml:space="preserve">    7.2 Future Enhancements</w:t>
            </w:r>
          </w:p>
        </w:tc>
        <w:tc>
          <w:tcPr>
            <w:tcW w:type="dxa" w:w="1440"/>
          </w:tcPr>
          <w:p>
            <w:pPr>
              <w:spacing w:before="20" w:after="20" w:line="240" w:lineRule="auto"/>
              <w:jc w:val="right"/>
            </w:pPr>
            <w:r>
              <w:rPr>
                <w:rFonts w:ascii="Times New Roman" w:hAnsi="Times New Roman"/>
                <w:sz w:val="21"/>
              </w:rPr>
              <w:t>110</w:t>
            </w:r>
          </w:p>
        </w:tc>
      </w:tr>
      <w:tr>
        <w:tc>
          <w:tcPr>
            <w:tcW w:type="dxa" w:w="7488"/>
          </w:tcPr>
          <w:p>
            <w:pPr>
              <w:spacing w:before="20" w:after="20" w:line="240" w:lineRule="auto"/>
              <w:jc w:val="left"/>
            </w:pPr>
            <w:r>
              <w:rPr>
                <w:rFonts w:ascii="Times New Roman" w:hAnsi="Times New Roman"/>
                <w:b/>
                <w:sz w:val="21"/>
              </w:rPr>
              <w:t>REFERENCES</w:t>
            </w:r>
          </w:p>
        </w:tc>
        <w:tc>
          <w:tcPr>
            <w:tcW w:type="dxa" w:w="1440"/>
          </w:tcPr>
          <w:p>
            <w:pPr>
              <w:spacing w:before="20" w:after="20" w:line="240" w:lineRule="auto"/>
              <w:jc w:val="right"/>
            </w:pPr>
            <w:r>
              <w:rPr>
                <w:rFonts w:ascii="Times New Roman" w:hAnsi="Times New Roman"/>
                <w:sz w:val="21"/>
              </w:rPr>
              <w:t>112</w:t>
            </w:r>
          </w:p>
        </w:tc>
      </w:tr>
      <w:tr>
        <w:tc>
          <w:tcPr>
            <w:tcW w:type="dxa" w:w="7488"/>
          </w:tcPr>
          <w:p>
            <w:pPr>
              <w:spacing w:before="20" w:after="20" w:line="240" w:lineRule="auto"/>
              <w:jc w:val="left"/>
            </w:pPr>
            <w:r>
              <w:rPr>
                <w:rFonts w:ascii="Times New Roman" w:hAnsi="Times New Roman"/>
                <w:sz w:val="21"/>
              </w:rPr>
              <w:t>APPENDIX A: PLAGIARISM VERIFICATION REPORT</w:t>
            </w:r>
          </w:p>
        </w:tc>
        <w:tc>
          <w:tcPr>
            <w:tcW w:type="dxa" w:w="1440"/>
          </w:tcPr>
          <w:p>
            <w:pPr>
              <w:spacing w:before="20" w:after="20" w:line="240" w:lineRule="auto"/>
              <w:jc w:val="right"/>
            </w:pPr>
            <w:r>
              <w:rPr>
                <w:rFonts w:ascii="Times New Roman" w:hAnsi="Times New Roman"/>
                <w:sz w:val="21"/>
              </w:rPr>
              <w:t>116</w:t>
            </w:r>
          </w:p>
        </w:tc>
      </w:tr>
      <w:tr>
        <w:tc>
          <w:tcPr>
            <w:tcW w:type="dxa" w:w="7488"/>
          </w:tcPr>
          <w:p>
            <w:pPr>
              <w:spacing w:before="20" w:after="20" w:line="240" w:lineRule="auto"/>
              <w:jc w:val="left"/>
            </w:pPr>
            <w:r>
              <w:rPr>
                <w:rFonts w:ascii="Times New Roman" w:hAnsi="Times New Roman"/>
                <w:sz w:val="21"/>
              </w:rPr>
              <w:t>APPENDIX B: PUBLICATION / PROJECT EXPO DETAILS</w:t>
            </w:r>
          </w:p>
        </w:tc>
        <w:tc>
          <w:tcPr>
            <w:tcW w:type="dxa" w:w="1440"/>
          </w:tcPr>
          <w:p>
            <w:pPr>
              <w:spacing w:before="20" w:after="20" w:line="240" w:lineRule="auto"/>
              <w:jc w:val="right"/>
            </w:pPr>
            <w:r>
              <w:rPr>
                <w:rFonts w:ascii="Times New Roman" w:hAnsi="Times New Roman"/>
                <w:sz w:val="21"/>
              </w:rPr>
              <w:t>117</w:t>
            </w:r>
          </w:p>
        </w:tc>
      </w:tr>
    </w:tbl>
    <w:p>
      <w:r>
        <w:br w:type="page"/>
      </w:r>
    </w:p>
    <w:p>
      <w:pPr>
        <w:spacing w:before="360" w:after="240" w:line="276" w:lineRule="auto"/>
        <w:jc w:val="center"/>
      </w:pPr>
      <w:r>
        <w:rPr>
          <w:rFonts w:ascii="Times New Roman" w:hAnsi="Times New Roman"/>
          <w:b/>
          <w:color w:val="003366"/>
          <w:sz w:val="28"/>
        </w:rPr>
        <w:t>LIST OF FIGURES</w:t>
      </w:r>
    </w:p>
    <w:tbl>
      <w:tblPr>
        <w:tblW w:type="auto" w:w="0"/>
        <w:jc w:val="center"/>
        <w:tblLook w:firstColumn="1" w:firstRow="1" w:lastColumn="0" w:lastRow="0" w:noHBand="0" w:noVBand="1" w:val="04A0"/>
      </w:tblPr>
      <w:tblGrid>
        <w:gridCol w:w="3000"/>
        <w:gridCol w:w="3000"/>
        <w:gridCol w:w="3000"/>
      </w:tblGrid>
      <w:tr>
        <w:tc>
          <w:tcPr>
            <w:tcW w:type="dxa" w:w="1872"/>
          </w:tcPr>
          <w:p>
            <w:pPr>
              <w:spacing w:before="30" w:after="30" w:line="252" w:lineRule="auto"/>
              <w:jc w:val="left"/>
            </w:pPr>
            <w:r>
              <w:rPr>
                <w:rFonts w:ascii="Times New Roman" w:hAnsi="Times New Roman"/>
                <w:b/>
                <w:sz w:val="20"/>
              </w:rPr>
              <w:t>Figure 4.1</w:t>
            </w:r>
          </w:p>
        </w:tc>
        <w:tc>
          <w:tcPr>
            <w:tcW w:type="dxa" w:w="5904"/>
          </w:tcPr>
          <w:p>
            <w:pPr>
              <w:spacing w:before="30" w:after="30" w:line="252" w:lineRule="auto"/>
              <w:jc w:val="left"/>
            </w:pPr>
            <w:r>
              <w:rPr>
                <w:rFonts w:ascii="Times New Roman" w:hAnsi="Times New Roman"/>
                <w:sz w:val="20"/>
              </w:rPr>
              <w:t>INT-AWARE System Architecture and Data Pipeline</w:t>
            </w:r>
          </w:p>
        </w:tc>
        <w:tc>
          <w:tcPr>
            <w:tcW w:type="dxa" w:w="1152"/>
          </w:tcPr>
          <w:p>
            <w:pPr>
              <w:spacing w:before="30" w:after="30" w:line="252" w:lineRule="auto"/>
              <w:jc w:val="right"/>
            </w:pPr>
            <w:r>
              <w:rPr>
                <w:rFonts w:ascii="Times New Roman" w:hAnsi="Times New Roman"/>
                <w:sz w:val="20"/>
              </w:rPr>
              <w:t>38</w:t>
            </w:r>
          </w:p>
        </w:tc>
      </w:tr>
      <w:tr>
        <w:tc>
          <w:tcPr>
            <w:tcW w:type="dxa" w:w="1872"/>
          </w:tcPr>
          <w:p>
            <w:pPr>
              <w:spacing w:before="30" w:after="30" w:line="252" w:lineRule="auto"/>
              <w:jc w:val="left"/>
            </w:pPr>
            <w:r>
              <w:rPr>
                <w:rFonts w:ascii="Times New Roman" w:hAnsi="Times New Roman"/>
                <w:b/>
                <w:sz w:val="20"/>
              </w:rPr>
              <w:t>Figure 4.2</w:t>
            </w:r>
          </w:p>
        </w:tc>
        <w:tc>
          <w:tcPr>
            <w:tcW w:type="dxa" w:w="5904"/>
          </w:tcPr>
          <w:p>
            <w:pPr>
              <w:spacing w:before="30" w:after="30" w:line="252" w:lineRule="auto"/>
              <w:jc w:val="left"/>
            </w:pPr>
            <w:r>
              <w:rPr>
                <w:rFonts w:ascii="Times New Roman" w:hAnsi="Times New Roman"/>
                <w:sz w:val="20"/>
              </w:rPr>
              <w:t>Data Flow Diagram (DFD) Level 0 — Context Level</w:t>
            </w:r>
          </w:p>
        </w:tc>
        <w:tc>
          <w:tcPr>
            <w:tcW w:type="dxa" w:w="1152"/>
          </w:tcPr>
          <w:p>
            <w:pPr>
              <w:spacing w:before="30" w:after="30" w:line="252" w:lineRule="auto"/>
              <w:jc w:val="right"/>
            </w:pPr>
            <w:r>
              <w:rPr>
                <w:rFonts w:ascii="Times New Roman" w:hAnsi="Times New Roman"/>
                <w:sz w:val="20"/>
              </w:rPr>
              <w:t>44</w:t>
            </w:r>
          </w:p>
        </w:tc>
      </w:tr>
      <w:tr>
        <w:tc>
          <w:tcPr>
            <w:tcW w:type="dxa" w:w="1872"/>
          </w:tcPr>
          <w:p>
            <w:pPr>
              <w:spacing w:before="30" w:after="30" w:line="252" w:lineRule="auto"/>
              <w:jc w:val="left"/>
            </w:pPr>
            <w:r>
              <w:rPr>
                <w:rFonts w:ascii="Times New Roman" w:hAnsi="Times New Roman"/>
                <w:b/>
                <w:sz w:val="20"/>
              </w:rPr>
              <w:t>Figure 4.3</w:t>
            </w:r>
          </w:p>
        </w:tc>
        <w:tc>
          <w:tcPr>
            <w:tcW w:type="dxa" w:w="5904"/>
          </w:tcPr>
          <w:p>
            <w:pPr>
              <w:spacing w:before="30" w:after="30" w:line="252" w:lineRule="auto"/>
              <w:jc w:val="left"/>
            </w:pPr>
            <w:r>
              <w:rPr>
                <w:rFonts w:ascii="Times New Roman" w:hAnsi="Times New Roman"/>
                <w:sz w:val="20"/>
              </w:rPr>
              <w:t>Data Flow Diagram (DFD) Level 1 — Subsystem Interactions</w:t>
            </w:r>
          </w:p>
        </w:tc>
        <w:tc>
          <w:tcPr>
            <w:tcW w:type="dxa" w:w="1152"/>
          </w:tcPr>
          <w:p>
            <w:pPr>
              <w:spacing w:before="30" w:after="30" w:line="252" w:lineRule="auto"/>
              <w:jc w:val="right"/>
            </w:pPr>
            <w:r>
              <w:rPr>
                <w:rFonts w:ascii="Times New Roman" w:hAnsi="Times New Roman"/>
                <w:sz w:val="20"/>
              </w:rPr>
              <w:t>45</w:t>
            </w:r>
          </w:p>
        </w:tc>
      </w:tr>
      <w:tr>
        <w:tc>
          <w:tcPr>
            <w:tcW w:type="dxa" w:w="1872"/>
          </w:tcPr>
          <w:p>
            <w:pPr>
              <w:spacing w:before="30" w:after="30" w:line="252" w:lineRule="auto"/>
              <w:jc w:val="left"/>
            </w:pPr>
            <w:r>
              <w:rPr>
                <w:rFonts w:ascii="Times New Roman" w:hAnsi="Times New Roman"/>
                <w:b/>
                <w:sz w:val="20"/>
              </w:rPr>
              <w:t>Figure 4.4</w:t>
            </w:r>
          </w:p>
        </w:tc>
        <w:tc>
          <w:tcPr>
            <w:tcW w:type="dxa" w:w="5904"/>
          </w:tcPr>
          <w:p>
            <w:pPr>
              <w:spacing w:before="30" w:after="30" w:line="252" w:lineRule="auto"/>
              <w:jc w:val="left"/>
            </w:pPr>
            <w:r>
              <w:rPr>
                <w:rFonts w:ascii="Times New Roman" w:hAnsi="Times New Roman"/>
                <w:sz w:val="20"/>
              </w:rPr>
              <w:t>INT-AWARE System Use Case Diagram</w:t>
            </w:r>
          </w:p>
        </w:tc>
        <w:tc>
          <w:tcPr>
            <w:tcW w:type="dxa" w:w="1152"/>
          </w:tcPr>
          <w:p>
            <w:pPr>
              <w:spacing w:before="30" w:after="30" w:line="252" w:lineRule="auto"/>
              <w:jc w:val="right"/>
            </w:pPr>
            <w:r>
              <w:rPr>
                <w:rFonts w:ascii="Times New Roman" w:hAnsi="Times New Roman"/>
                <w:sz w:val="20"/>
              </w:rPr>
              <w:t>48</w:t>
            </w:r>
          </w:p>
        </w:tc>
      </w:tr>
      <w:tr>
        <w:tc>
          <w:tcPr>
            <w:tcW w:type="dxa" w:w="1872"/>
          </w:tcPr>
          <w:p>
            <w:pPr>
              <w:spacing w:before="30" w:after="30" w:line="252" w:lineRule="auto"/>
              <w:jc w:val="left"/>
            </w:pPr>
            <w:r>
              <w:rPr>
                <w:rFonts w:ascii="Times New Roman" w:hAnsi="Times New Roman"/>
                <w:b/>
                <w:sz w:val="20"/>
              </w:rPr>
              <w:t>Figure 4.5</w:t>
            </w:r>
          </w:p>
        </w:tc>
        <w:tc>
          <w:tcPr>
            <w:tcW w:type="dxa" w:w="5904"/>
          </w:tcPr>
          <w:p>
            <w:pPr>
              <w:spacing w:before="30" w:after="30" w:line="252" w:lineRule="auto"/>
              <w:jc w:val="left"/>
            </w:pPr>
            <w:r>
              <w:rPr>
                <w:rFonts w:ascii="Times New Roman" w:hAnsi="Times New Roman"/>
                <w:sz w:val="20"/>
              </w:rPr>
              <w:t>End-to-End Event Ingestion &amp; Threat Profiling Sequence Diagram</w:t>
            </w:r>
          </w:p>
        </w:tc>
        <w:tc>
          <w:tcPr>
            <w:tcW w:type="dxa" w:w="1152"/>
          </w:tcPr>
          <w:p>
            <w:pPr>
              <w:spacing w:before="30" w:after="30" w:line="252" w:lineRule="auto"/>
              <w:jc w:val="right"/>
            </w:pPr>
            <w:r>
              <w:rPr>
                <w:rFonts w:ascii="Times New Roman" w:hAnsi="Times New Roman"/>
                <w:sz w:val="20"/>
              </w:rPr>
              <w:t>50</w:t>
            </w:r>
          </w:p>
        </w:tc>
      </w:tr>
      <w:tr>
        <w:tc>
          <w:tcPr>
            <w:tcW w:type="dxa" w:w="1872"/>
          </w:tcPr>
          <w:p>
            <w:pPr>
              <w:spacing w:before="30" w:after="30" w:line="252" w:lineRule="auto"/>
              <w:jc w:val="left"/>
            </w:pPr>
            <w:r>
              <w:rPr>
                <w:rFonts w:ascii="Times New Roman" w:hAnsi="Times New Roman"/>
                <w:b/>
                <w:sz w:val="20"/>
              </w:rPr>
              <w:t>Figure 4.6</w:t>
            </w:r>
          </w:p>
        </w:tc>
        <w:tc>
          <w:tcPr>
            <w:tcW w:type="dxa" w:w="5904"/>
          </w:tcPr>
          <w:p>
            <w:pPr>
              <w:spacing w:before="30" w:after="30" w:line="252" w:lineRule="auto"/>
              <w:jc w:val="left"/>
            </w:pPr>
            <w:r>
              <w:rPr>
                <w:rFonts w:ascii="Times New Roman" w:hAnsi="Times New Roman"/>
                <w:sz w:val="20"/>
              </w:rPr>
              <w:t>Activity and Control Flow Diagram</w:t>
            </w:r>
          </w:p>
        </w:tc>
        <w:tc>
          <w:tcPr>
            <w:tcW w:type="dxa" w:w="1152"/>
          </w:tcPr>
          <w:p>
            <w:pPr>
              <w:spacing w:before="30" w:after="30" w:line="252" w:lineRule="auto"/>
              <w:jc w:val="right"/>
            </w:pPr>
            <w:r>
              <w:rPr>
                <w:rFonts w:ascii="Times New Roman" w:hAnsi="Times New Roman"/>
                <w:sz w:val="20"/>
              </w:rPr>
              <w:t>52</w:t>
            </w:r>
          </w:p>
        </w:tc>
      </w:tr>
      <w:tr>
        <w:tc>
          <w:tcPr>
            <w:tcW w:type="dxa" w:w="1872"/>
          </w:tcPr>
          <w:p>
            <w:pPr>
              <w:spacing w:before="30" w:after="30" w:line="252" w:lineRule="auto"/>
              <w:jc w:val="left"/>
            </w:pPr>
            <w:r>
              <w:rPr>
                <w:rFonts w:ascii="Times New Roman" w:hAnsi="Times New Roman"/>
                <w:b/>
                <w:sz w:val="20"/>
              </w:rPr>
              <w:t>Figure 5.1</w:t>
            </w:r>
          </w:p>
        </w:tc>
        <w:tc>
          <w:tcPr>
            <w:tcW w:type="dxa" w:w="5904"/>
          </w:tcPr>
          <w:p>
            <w:pPr>
              <w:spacing w:before="30" w:after="30" w:line="252" w:lineRule="auto"/>
              <w:jc w:val="left"/>
            </w:pPr>
            <w:r>
              <w:rPr>
                <w:rFonts w:ascii="Times New Roman" w:hAnsi="Times New Roman"/>
                <w:sz w:val="20"/>
              </w:rPr>
              <w:t>Real-Time Operator Overview Console &amp; Ingestion Feed</w:t>
            </w:r>
          </w:p>
        </w:tc>
        <w:tc>
          <w:tcPr>
            <w:tcW w:type="dxa" w:w="1152"/>
          </w:tcPr>
          <w:p>
            <w:pPr>
              <w:spacing w:before="30" w:after="30" w:line="252" w:lineRule="auto"/>
              <w:jc w:val="right"/>
            </w:pPr>
            <w:r>
              <w:rPr>
                <w:rFonts w:ascii="Times New Roman" w:hAnsi="Times New Roman"/>
                <w:sz w:val="20"/>
              </w:rPr>
              <w:t>72</w:t>
            </w:r>
          </w:p>
        </w:tc>
      </w:tr>
      <w:tr>
        <w:tc>
          <w:tcPr>
            <w:tcW w:type="dxa" w:w="1872"/>
          </w:tcPr>
          <w:p>
            <w:pPr>
              <w:spacing w:before="30" w:after="30" w:line="252" w:lineRule="auto"/>
              <w:jc w:val="left"/>
            </w:pPr>
            <w:r>
              <w:rPr>
                <w:rFonts w:ascii="Times New Roman" w:hAnsi="Times New Roman"/>
                <w:b/>
                <w:sz w:val="20"/>
              </w:rPr>
              <w:t>Figure 5.2</w:t>
            </w:r>
          </w:p>
        </w:tc>
        <w:tc>
          <w:tcPr>
            <w:tcW w:type="dxa" w:w="5904"/>
          </w:tcPr>
          <w:p>
            <w:pPr>
              <w:spacing w:before="30" w:after="30" w:line="252" w:lineRule="auto"/>
              <w:jc w:val="left"/>
            </w:pPr>
            <w:r>
              <w:rPr>
                <w:rFonts w:ascii="Times New Roman" w:hAnsi="Times New Roman"/>
                <w:sz w:val="20"/>
              </w:rPr>
              <w:t>Attacker Threat Profiles &amp; Behavioral Signatures Explorer</w:t>
            </w:r>
          </w:p>
        </w:tc>
        <w:tc>
          <w:tcPr>
            <w:tcW w:type="dxa" w:w="1152"/>
          </w:tcPr>
          <w:p>
            <w:pPr>
              <w:spacing w:before="30" w:after="30" w:line="252" w:lineRule="auto"/>
              <w:jc w:val="right"/>
            </w:pPr>
            <w:r>
              <w:rPr>
                <w:rFonts w:ascii="Times New Roman" w:hAnsi="Times New Roman"/>
                <w:sz w:val="20"/>
              </w:rPr>
              <w:t>74</w:t>
            </w:r>
          </w:p>
        </w:tc>
      </w:tr>
      <w:tr>
        <w:tc>
          <w:tcPr>
            <w:tcW w:type="dxa" w:w="1872"/>
          </w:tcPr>
          <w:p>
            <w:pPr>
              <w:spacing w:before="30" w:after="30" w:line="252" w:lineRule="auto"/>
              <w:jc w:val="left"/>
            </w:pPr>
            <w:r>
              <w:rPr>
                <w:rFonts w:ascii="Times New Roman" w:hAnsi="Times New Roman"/>
                <w:b/>
                <w:sz w:val="20"/>
              </w:rPr>
              <w:t>Figure 5.3</w:t>
            </w:r>
          </w:p>
        </w:tc>
        <w:tc>
          <w:tcPr>
            <w:tcW w:type="dxa" w:w="5904"/>
          </w:tcPr>
          <w:p>
            <w:pPr>
              <w:spacing w:before="30" w:after="30" w:line="252" w:lineRule="auto"/>
              <w:jc w:val="left"/>
            </w:pPr>
            <w:r>
              <w:rPr>
                <w:rFonts w:ascii="Times New Roman" w:hAnsi="Times New Roman"/>
                <w:sz w:val="20"/>
              </w:rPr>
              <w:t>Markov Sequence Transition Likelihood Matrix P(Intent_t | Intent_{t-1})</w:t>
            </w:r>
          </w:p>
        </w:tc>
        <w:tc>
          <w:tcPr>
            <w:tcW w:type="dxa" w:w="1152"/>
          </w:tcPr>
          <w:p>
            <w:pPr>
              <w:spacing w:before="30" w:after="30" w:line="252" w:lineRule="auto"/>
              <w:jc w:val="right"/>
            </w:pPr>
            <w:r>
              <w:rPr>
                <w:rFonts w:ascii="Times New Roman" w:hAnsi="Times New Roman"/>
                <w:sz w:val="20"/>
              </w:rPr>
              <w:t>76</w:t>
            </w:r>
          </w:p>
        </w:tc>
      </w:tr>
      <w:tr>
        <w:tc>
          <w:tcPr>
            <w:tcW w:type="dxa" w:w="1872"/>
          </w:tcPr>
          <w:p>
            <w:pPr>
              <w:spacing w:before="30" w:after="30" w:line="252" w:lineRule="auto"/>
              <w:jc w:val="left"/>
            </w:pPr>
            <w:r>
              <w:rPr>
                <w:rFonts w:ascii="Times New Roman" w:hAnsi="Times New Roman"/>
                <w:b/>
                <w:sz w:val="20"/>
              </w:rPr>
              <w:t>Figure 6.1</w:t>
            </w:r>
          </w:p>
        </w:tc>
        <w:tc>
          <w:tcPr>
            <w:tcW w:type="dxa" w:w="5904"/>
          </w:tcPr>
          <w:p>
            <w:pPr>
              <w:spacing w:before="30" w:after="30" w:line="252" w:lineRule="auto"/>
              <w:jc w:val="left"/>
            </w:pPr>
            <w:r>
              <w:rPr>
                <w:rFonts w:ascii="Times New Roman" w:hAnsi="Times New Roman"/>
                <w:sz w:val="20"/>
              </w:rPr>
              <w:t>Automated Pytest Suite Execution Results (166 Passed in 21.31s)</w:t>
            </w:r>
          </w:p>
        </w:tc>
        <w:tc>
          <w:tcPr>
            <w:tcW w:type="dxa" w:w="1152"/>
          </w:tcPr>
          <w:p>
            <w:pPr>
              <w:spacing w:before="30" w:after="30" w:line="252" w:lineRule="auto"/>
              <w:jc w:val="right"/>
            </w:pPr>
            <w:r>
              <w:rPr>
                <w:rFonts w:ascii="Times New Roman" w:hAnsi="Times New Roman"/>
                <w:sz w:val="20"/>
              </w:rPr>
              <w:t>80</w:t>
            </w:r>
          </w:p>
        </w:tc>
      </w:tr>
      <w:tr>
        <w:tc>
          <w:tcPr>
            <w:tcW w:type="dxa" w:w="1872"/>
          </w:tcPr>
          <w:p>
            <w:pPr>
              <w:spacing w:before="30" w:after="30" w:line="252" w:lineRule="auto"/>
              <w:jc w:val="left"/>
            </w:pPr>
            <w:r>
              <w:rPr>
                <w:rFonts w:ascii="Times New Roman" w:hAnsi="Times New Roman"/>
                <w:b/>
                <w:sz w:val="20"/>
              </w:rPr>
              <w:t>Figure 6.2</w:t>
            </w:r>
          </w:p>
        </w:tc>
        <w:tc>
          <w:tcPr>
            <w:tcW w:type="dxa" w:w="5904"/>
          </w:tcPr>
          <w:p>
            <w:pPr>
              <w:spacing w:before="30" w:after="30" w:line="252" w:lineRule="auto"/>
              <w:jc w:val="left"/>
            </w:pPr>
            <w:r>
              <w:rPr>
                <w:rFonts w:ascii="Times New Roman" w:hAnsi="Times New Roman"/>
                <w:sz w:val="20"/>
              </w:rPr>
              <w:t>System-Wide Multi-Model Verification &amp; Registry Check Terminal Output</w:t>
            </w:r>
          </w:p>
        </w:tc>
        <w:tc>
          <w:tcPr>
            <w:tcW w:type="dxa" w:w="1152"/>
          </w:tcPr>
          <w:p>
            <w:pPr>
              <w:spacing w:before="30" w:after="30" w:line="252" w:lineRule="auto"/>
              <w:jc w:val="right"/>
            </w:pPr>
            <w:r>
              <w:rPr>
                <w:rFonts w:ascii="Times New Roman" w:hAnsi="Times New Roman"/>
                <w:sz w:val="20"/>
              </w:rPr>
              <w:t>82</w:t>
            </w:r>
          </w:p>
        </w:tc>
      </w:tr>
      <w:tr>
        <w:tc>
          <w:tcPr>
            <w:tcW w:type="dxa" w:w="1872"/>
          </w:tcPr>
          <w:p>
            <w:pPr>
              <w:spacing w:before="30" w:after="30" w:line="252" w:lineRule="auto"/>
              <w:jc w:val="left"/>
            </w:pPr>
            <w:r>
              <w:rPr>
                <w:rFonts w:ascii="Times New Roman" w:hAnsi="Times New Roman"/>
                <w:b/>
                <w:sz w:val="20"/>
              </w:rPr>
              <w:t>Figure 6.3</w:t>
            </w:r>
          </w:p>
        </w:tc>
        <w:tc>
          <w:tcPr>
            <w:tcW w:type="dxa" w:w="5904"/>
          </w:tcPr>
          <w:p>
            <w:pPr>
              <w:spacing w:before="30" w:after="30" w:line="252" w:lineRule="auto"/>
              <w:jc w:val="left"/>
            </w:pPr>
            <w:r>
              <w:rPr>
                <w:rFonts w:ascii="Times New Roman" w:hAnsi="Times New Roman"/>
                <w:sz w:val="20"/>
              </w:rPr>
              <w:t>Held-out Test Accuracy and F1 Across Core ML Models</w:t>
            </w:r>
          </w:p>
        </w:tc>
        <w:tc>
          <w:tcPr>
            <w:tcW w:type="dxa" w:w="1152"/>
          </w:tcPr>
          <w:p>
            <w:pPr>
              <w:spacing w:before="30" w:after="30" w:line="252" w:lineRule="auto"/>
              <w:jc w:val="right"/>
            </w:pPr>
            <w:r>
              <w:rPr>
                <w:rFonts w:ascii="Times New Roman" w:hAnsi="Times New Roman"/>
                <w:sz w:val="20"/>
              </w:rPr>
              <w:t>84</w:t>
            </w:r>
          </w:p>
        </w:tc>
      </w:tr>
      <w:tr>
        <w:tc>
          <w:tcPr>
            <w:tcW w:type="dxa" w:w="1872"/>
          </w:tcPr>
          <w:p>
            <w:pPr>
              <w:spacing w:before="30" w:after="30" w:line="252" w:lineRule="auto"/>
              <w:jc w:val="left"/>
            </w:pPr>
            <w:r>
              <w:rPr>
                <w:rFonts w:ascii="Times New Roman" w:hAnsi="Times New Roman"/>
                <w:b/>
                <w:sz w:val="20"/>
              </w:rPr>
              <w:t>Figure 6.4</w:t>
            </w:r>
          </w:p>
        </w:tc>
        <w:tc>
          <w:tcPr>
            <w:tcW w:type="dxa" w:w="5904"/>
          </w:tcPr>
          <w:p>
            <w:pPr>
              <w:spacing w:before="30" w:after="30" w:line="252" w:lineRule="auto"/>
              <w:jc w:val="left"/>
            </w:pPr>
            <w:r>
              <w:rPr>
                <w:rFonts w:ascii="Times New Roman" w:hAnsi="Times New Roman"/>
                <w:sz w:val="20"/>
              </w:rPr>
              <w:t>Normalized Confusion Matrix — Intent Linear SVM (Test Set N=1,374)</w:t>
            </w:r>
          </w:p>
        </w:tc>
        <w:tc>
          <w:tcPr>
            <w:tcW w:type="dxa" w:w="1152"/>
          </w:tcPr>
          <w:p>
            <w:pPr>
              <w:spacing w:before="30" w:after="30" w:line="252" w:lineRule="auto"/>
              <w:jc w:val="right"/>
            </w:pPr>
            <w:r>
              <w:rPr>
                <w:rFonts w:ascii="Times New Roman" w:hAnsi="Times New Roman"/>
                <w:sz w:val="20"/>
              </w:rPr>
              <w:t>85</w:t>
            </w:r>
          </w:p>
        </w:tc>
      </w:tr>
      <w:tr>
        <w:tc>
          <w:tcPr>
            <w:tcW w:type="dxa" w:w="1872"/>
          </w:tcPr>
          <w:p>
            <w:pPr>
              <w:spacing w:before="30" w:after="30" w:line="252" w:lineRule="auto"/>
              <w:jc w:val="left"/>
            </w:pPr>
            <w:r>
              <w:rPr>
                <w:rFonts w:ascii="Times New Roman" w:hAnsi="Times New Roman"/>
                <w:b/>
                <w:sz w:val="20"/>
              </w:rPr>
              <w:t>Figure 6.5</w:t>
            </w:r>
          </w:p>
        </w:tc>
        <w:tc>
          <w:tcPr>
            <w:tcW w:type="dxa" w:w="5904"/>
          </w:tcPr>
          <w:p>
            <w:pPr>
              <w:spacing w:before="30" w:after="30" w:line="252" w:lineRule="auto"/>
              <w:jc w:val="left"/>
            </w:pPr>
            <w:r>
              <w:rPr>
                <w:rFonts w:ascii="Times New Roman" w:hAnsi="Times New Roman"/>
                <w:sz w:val="20"/>
              </w:rPr>
              <w:t>Multi-Class One-vs-Rest ROC Curves — Intent Linear SVM (Macro AUC = 1.00)</w:t>
            </w:r>
          </w:p>
        </w:tc>
        <w:tc>
          <w:tcPr>
            <w:tcW w:type="dxa" w:w="1152"/>
          </w:tcPr>
          <w:p>
            <w:pPr>
              <w:spacing w:before="30" w:after="30" w:line="252" w:lineRule="auto"/>
              <w:jc w:val="right"/>
            </w:pPr>
            <w:r>
              <w:rPr>
                <w:rFonts w:ascii="Times New Roman" w:hAnsi="Times New Roman"/>
                <w:sz w:val="20"/>
              </w:rPr>
              <w:t>86</w:t>
            </w:r>
          </w:p>
        </w:tc>
      </w:tr>
      <w:tr>
        <w:tc>
          <w:tcPr>
            <w:tcW w:type="dxa" w:w="1872"/>
          </w:tcPr>
          <w:p>
            <w:pPr>
              <w:spacing w:before="30" w:after="30" w:line="252" w:lineRule="auto"/>
              <w:jc w:val="left"/>
            </w:pPr>
            <w:r>
              <w:rPr>
                <w:rFonts w:ascii="Times New Roman" w:hAnsi="Times New Roman"/>
                <w:b/>
                <w:sz w:val="20"/>
              </w:rPr>
              <w:t>Figure 6.6</w:t>
            </w:r>
          </w:p>
        </w:tc>
        <w:tc>
          <w:tcPr>
            <w:tcW w:type="dxa" w:w="5904"/>
          </w:tcPr>
          <w:p>
            <w:pPr>
              <w:spacing w:before="30" w:after="30" w:line="252" w:lineRule="auto"/>
              <w:jc w:val="left"/>
            </w:pPr>
            <w:r>
              <w:rPr>
                <w:rFonts w:ascii="Times New Roman" w:hAnsi="Times New Roman"/>
                <w:sz w:val="20"/>
              </w:rPr>
              <w:t>Top Discriminative N-Gram Features for Intent Classification</w:t>
            </w:r>
          </w:p>
        </w:tc>
        <w:tc>
          <w:tcPr>
            <w:tcW w:type="dxa" w:w="1152"/>
          </w:tcPr>
          <w:p>
            <w:pPr>
              <w:spacing w:before="30" w:after="30" w:line="252" w:lineRule="auto"/>
              <w:jc w:val="right"/>
            </w:pPr>
            <w:r>
              <w:rPr>
                <w:rFonts w:ascii="Times New Roman" w:hAnsi="Times New Roman"/>
                <w:sz w:val="20"/>
              </w:rPr>
              <w:t>87</w:t>
            </w:r>
          </w:p>
        </w:tc>
      </w:tr>
      <w:tr>
        <w:tc>
          <w:tcPr>
            <w:tcW w:type="dxa" w:w="1872"/>
          </w:tcPr>
          <w:p>
            <w:pPr>
              <w:spacing w:before="30" w:after="30" w:line="252" w:lineRule="auto"/>
              <w:jc w:val="left"/>
            </w:pPr>
            <w:r>
              <w:rPr>
                <w:rFonts w:ascii="Times New Roman" w:hAnsi="Times New Roman"/>
                <w:b/>
                <w:sz w:val="20"/>
              </w:rPr>
              <w:t>Figure 6.7</w:t>
            </w:r>
          </w:p>
        </w:tc>
        <w:tc>
          <w:tcPr>
            <w:tcW w:type="dxa" w:w="5904"/>
          </w:tcPr>
          <w:p>
            <w:pPr>
              <w:spacing w:before="30" w:after="30" w:line="252" w:lineRule="auto"/>
              <w:jc w:val="left"/>
            </w:pPr>
            <w:r>
              <w:rPr>
                <w:rFonts w:ascii="Times New Roman" w:hAnsi="Times New Roman"/>
                <w:sz w:val="20"/>
              </w:rPr>
              <w:t>Isolation Forest Anomaly Score Distribution &amp; Calibrated Threshold</w:t>
            </w:r>
          </w:p>
        </w:tc>
        <w:tc>
          <w:tcPr>
            <w:tcW w:type="dxa" w:w="1152"/>
          </w:tcPr>
          <w:p>
            <w:pPr>
              <w:spacing w:before="30" w:after="30" w:line="252" w:lineRule="auto"/>
              <w:jc w:val="right"/>
            </w:pPr>
            <w:r>
              <w:rPr>
                <w:rFonts w:ascii="Times New Roman" w:hAnsi="Times New Roman"/>
                <w:sz w:val="20"/>
              </w:rPr>
              <w:t>88</w:t>
            </w:r>
          </w:p>
        </w:tc>
      </w:tr>
      <w:tr>
        <w:tc>
          <w:tcPr>
            <w:tcW w:type="dxa" w:w="1872"/>
          </w:tcPr>
          <w:p>
            <w:pPr>
              <w:spacing w:before="30" w:after="30" w:line="252" w:lineRule="auto"/>
              <w:jc w:val="left"/>
            </w:pPr>
            <w:r>
              <w:rPr>
                <w:rFonts w:ascii="Times New Roman" w:hAnsi="Times New Roman"/>
                <w:b/>
                <w:sz w:val="20"/>
              </w:rPr>
              <w:t>Figure 6.8</w:t>
            </w:r>
          </w:p>
        </w:tc>
        <w:tc>
          <w:tcPr>
            <w:tcW w:type="dxa" w:w="5904"/>
          </w:tcPr>
          <w:p>
            <w:pPr>
              <w:spacing w:before="30" w:after="30" w:line="252" w:lineRule="auto"/>
              <w:jc w:val="left"/>
            </w:pPr>
            <w:r>
              <w:rPr>
                <w:rFonts w:ascii="Times New Roman" w:hAnsi="Times New Roman"/>
                <w:sz w:val="20"/>
              </w:rPr>
              <w:t>2D PCA Latent Space &amp; Isolation Forest Anomaly Boundary Contour</w:t>
            </w:r>
          </w:p>
        </w:tc>
        <w:tc>
          <w:tcPr>
            <w:tcW w:type="dxa" w:w="1152"/>
          </w:tcPr>
          <w:p>
            <w:pPr>
              <w:spacing w:before="30" w:after="30" w:line="252" w:lineRule="auto"/>
              <w:jc w:val="right"/>
            </w:pPr>
            <w:r>
              <w:rPr>
                <w:rFonts w:ascii="Times New Roman" w:hAnsi="Times New Roman"/>
                <w:sz w:val="20"/>
              </w:rPr>
              <w:t>89</w:t>
            </w:r>
          </w:p>
        </w:tc>
      </w:tr>
      <w:tr>
        <w:tc>
          <w:tcPr>
            <w:tcW w:type="dxa" w:w="1872"/>
          </w:tcPr>
          <w:p>
            <w:pPr>
              <w:spacing w:before="30" w:after="30" w:line="252" w:lineRule="auto"/>
              <w:jc w:val="left"/>
            </w:pPr>
            <w:r>
              <w:rPr>
                <w:rFonts w:ascii="Times New Roman" w:hAnsi="Times New Roman"/>
                <w:b/>
                <w:sz w:val="20"/>
              </w:rPr>
              <w:t>Figure 6.9</w:t>
            </w:r>
          </w:p>
        </w:tc>
        <w:tc>
          <w:tcPr>
            <w:tcW w:type="dxa" w:w="5904"/>
          </w:tcPr>
          <w:p>
            <w:pPr>
              <w:spacing w:before="30" w:after="30" w:line="252" w:lineRule="auto"/>
              <w:jc w:val="left"/>
            </w:pPr>
            <w:r>
              <w:rPr>
                <w:rFonts w:ascii="Times New Roman" w:hAnsi="Times New Roman"/>
                <w:sz w:val="20"/>
              </w:rPr>
              <w:t>Confusion Matrix — Random Forest Attack-Stage Classifier (Accuracy: 99.27%)</w:t>
            </w:r>
          </w:p>
        </w:tc>
        <w:tc>
          <w:tcPr>
            <w:tcW w:type="dxa" w:w="1152"/>
          </w:tcPr>
          <w:p>
            <w:pPr>
              <w:spacing w:before="30" w:after="30" w:line="252" w:lineRule="auto"/>
              <w:jc w:val="right"/>
            </w:pPr>
            <w:r>
              <w:rPr>
                <w:rFonts w:ascii="Times New Roman" w:hAnsi="Times New Roman"/>
                <w:sz w:val="20"/>
              </w:rPr>
              <w:t>91</w:t>
            </w:r>
          </w:p>
        </w:tc>
      </w:tr>
      <w:tr>
        <w:tc>
          <w:tcPr>
            <w:tcW w:type="dxa" w:w="1872"/>
          </w:tcPr>
          <w:p>
            <w:pPr>
              <w:spacing w:before="30" w:after="30" w:line="252" w:lineRule="auto"/>
              <w:jc w:val="left"/>
            </w:pPr>
            <w:r>
              <w:rPr>
                <w:rFonts w:ascii="Times New Roman" w:hAnsi="Times New Roman"/>
                <w:b/>
                <w:sz w:val="20"/>
              </w:rPr>
              <w:t>Figure 6.10</w:t>
            </w:r>
          </w:p>
        </w:tc>
        <w:tc>
          <w:tcPr>
            <w:tcW w:type="dxa" w:w="5904"/>
          </w:tcPr>
          <w:p>
            <w:pPr>
              <w:spacing w:before="30" w:after="30" w:line="252" w:lineRule="auto"/>
              <w:jc w:val="left"/>
            </w:pPr>
            <w:r>
              <w:rPr>
                <w:rFonts w:ascii="Times New Roman" w:hAnsi="Times New Roman"/>
                <w:sz w:val="20"/>
              </w:rPr>
              <w:t>Gradient Boosting Regressor — Actual vs Predicted Threat Risk</w:t>
            </w:r>
          </w:p>
        </w:tc>
        <w:tc>
          <w:tcPr>
            <w:tcW w:type="dxa" w:w="1152"/>
          </w:tcPr>
          <w:p>
            <w:pPr>
              <w:spacing w:before="30" w:after="30" w:line="252" w:lineRule="auto"/>
              <w:jc w:val="right"/>
            </w:pPr>
            <w:r>
              <w:rPr>
                <w:rFonts w:ascii="Times New Roman" w:hAnsi="Times New Roman"/>
                <w:sz w:val="20"/>
              </w:rPr>
              <w:t>93</w:t>
            </w:r>
          </w:p>
        </w:tc>
      </w:tr>
      <w:tr>
        <w:tc>
          <w:tcPr>
            <w:tcW w:type="dxa" w:w="1872"/>
          </w:tcPr>
          <w:p>
            <w:pPr>
              <w:spacing w:before="30" w:after="30" w:line="252" w:lineRule="auto"/>
              <w:jc w:val="left"/>
            </w:pPr>
            <w:r>
              <w:rPr>
                <w:rFonts w:ascii="Times New Roman" w:hAnsi="Times New Roman"/>
                <w:b/>
                <w:sz w:val="20"/>
              </w:rPr>
              <w:t>Figure 6.11</w:t>
            </w:r>
          </w:p>
        </w:tc>
        <w:tc>
          <w:tcPr>
            <w:tcW w:type="dxa" w:w="5904"/>
          </w:tcPr>
          <w:p>
            <w:pPr>
              <w:spacing w:before="30" w:after="30" w:line="252" w:lineRule="auto"/>
              <w:jc w:val="left"/>
            </w:pPr>
            <w:r>
              <w:rPr>
                <w:rFonts w:ascii="Times New Roman" w:hAnsi="Times New Roman"/>
                <w:sz w:val="20"/>
              </w:rPr>
              <w:t>Threat Risk Regressor Residual Distribution &amp; Severity Tier Agreement</w:t>
            </w:r>
          </w:p>
        </w:tc>
        <w:tc>
          <w:tcPr>
            <w:tcW w:type="dxa" w:w="1152"/>
          </w:tcPr>
          <w:p>
            <w:pPr>
              <w:spacing w:before="30" w:after="30" w:line="252" w:lineRule="auto"/>
              <w:jc w:val="right"/>
            </w:pPr>
            <w:r>
              <w:rPr>
                <w:rFonts w:ascii="Times New Roman" w:hAnsi="Times New Roman"/>
                <w:sz w:val="20"/>
              </w:rPr>
              <w:t>94</w:t>
            </w:r>
          </w:p>
        </w:tc>
      </w:tr>
      <w:tr>
        <w:tc>
          <w:tcPr>
            <w:tcW w:type="dxa" w:w="1872"/>
          </w:tcPr>
          <w:p>
            <w:pPr>
              <w:spacing w:before="30" w:after="30" w:line="252" w:lineRule="auto"/>
              <w:jc w:val="left"/>
            </w:pPr>
            <w:r>
              <w:rPr>
                <w:rFonts w:ascii="Times New Roman" w:hAnsi="Times New Roman"/>
                <w:b/>
                <w:sz w:val="20"/>
              </w:rPr>
              <w:t>Figure 6.12</w:t>
            </w:r>
          </w:p>
        </w:tc>
        <w:tc>
          <w:tcPr>
            <w:tcW w:type="dxa" w:w="5904"/>
          </w:tcPr>
          <w:p>
            <w:pPr>
              <w:spacing w:before="30" w:after="30" w:line="252" w:lineRule="auto"/>
              <w:jc w:val="left"/>
            </w:pPr>
            <w:r>
              <w:rPr>
                <w:rFonts w:ascii="Times New Roman" w:hAnsi="Times New Roman"/>
                <w:sz w:val="20"/>
              </w:rPr>
              <w:t>Concept Drift Tracking via Population Stability Index (PSI) Over Time</w:t>
            </w:r>
          </w:p>
        </w:tc>
        <w:tc>
          <w:tcPr>
            <w:tcW w:type="dxa" w:w="1152"/>
          </w:tcPr>
          <w:p>
            <w:pPr>
              <w:spacing w:before="30" w:after="30" w:line="252" w:lineRule="auto"/>
              <w:jc w:val="right"/>
            </w:pPr>
            <w:r>
              <w:rPr>
                <w:rFonts w:ascii="Times New Roman" w:hAnsi="Times New Roman"/>
                <w:sz w:val="20"/>
              </w:rPr>
              <w:t>96</w:t>
            </w:r>
          </w:p>
        </w:tc>
      </w:tr>
      <w:tr>
        <w:tc>
          <w:tcPr>
            <w:tcW w:type="dxa" w:w="1872"/>
          </w:tcPr>
          <w:p>
            <w:pPr>
              <w:spacing w:before="30" w:after="30" w:line="252" w:lineRule="auto"/>
              <w:jc w:val="left"/>
            </w:pPr>
            <w:r>
              <w:rPr>
                <w:rFonts w:ascii="Times New Roman" w:hAnsi="Times New Roman"/>
                <w:b/>
                <w:sz w:val="20"/>
              </w:rPr>
              <w:t>Figure 6.13</w:t>
            </w:r>
          </w:p>
        </w:tc>
        <w:tc>
          <w:tcPr>
            <w:tcW w:type="dxa" w:w="5904"/>
          </w:tcPr>
          <w:p>
            <w:pPr>
              <w:spacing w:before="30" w:after="30" w:line="252" w:lineRule="auto"/>
              <w:jc w:val="left"/>
            </w:pPr>
            <w:r>
              <w:rPr>
                <w:rFonts w:ascii="Times New Roman" w:hAnsi="Times New Roman"/>
                <w:sz w:val="20"/>
              </w:rPr>
              <w:t>End-to-End Pipeline Execution Latency Breakdown (Mean: 10.77 ms)</w:t>
            </w:r>
          </w:p>
        </w:tc>
        <w:tc>
          <w:tcPr>
            <w:tcW w:type="dxa" w:w="1152"/>
          </w:tcPr>
          <w:p>
            <w:pPr>
              <w:spacing w:before="30" w:after="30" w:line="252" w:lineRule="auto"/>
              <w:jc w:val="right"/>
            </w:pPr>
            <w:r>
              <w:rPr>
                <w:rFonts w:ascii="Times New Roman" w:hAnsi="Times New Roman"/>
                <w:sz w:val="20"/>
              </w:rPr>
              <w:t>98</w:t>
            </w:r>
          </w:p>
        </w:tc>
      </w:tr>
    </w:tbl>
    <w:p>
      <w:r>
        <w:br w:type="page"/>
      </w:r>
    </w:p>
    <w:p>
      <w:pPr>
        <w:spacing w:before="360" w:after="240" w:line="276" w:lineRule="auto"/>
        <w:jc w:val="center"/>
      </w:pPr>
      <w:r>
        <w:rPr>
          <w:rFonts w:ascii="Times New Roman" w:hAnsi="Times New Roman"/>
          <w:b/>
          <w:color w:val="003366"/>
          <w:sz w:val="28"/>
        </w:rPr>
        <w:t>LIST OF TABLES</w:t>
      </w:r>
    </w:p>
    <w:tbl>
      <w:tblPr>
        <w:tblW w:type="auto" w:w="0"/>
        <w:jc w:val="center"/>
        <w:tblLook w:firstColumn="1" w:firstRow="1" w:lastColumn="0" w:lastRow="0" w:noHBand="0" w:noVBand="1" w:val="04A0"/>
      </w:tblPr>
      <w:tblGrid>
        <w:gridCol w:w="3000"/>
        <w:gridCol w:w="3000"/>
        <w:gridCol w:w="3000"/>
      </w:tblGrid>
      <w:tr>
        <w:tc>
          <w:tcPr>
            <w:tcW w:type="dxa" w:w="1872"/>
          </w:tcPr>
          <w:p>
            <w:pPr>
              <w:spacing w:before="40" w:after="40" w:line="264" w:lineRule="auto"/>
              <w:jc w:val="left"/>
            </w:pPr>
            <w:r>
              <w:rPr>
                <w:rFonts w:ascii="Times New Roman" w:hAnsi="Times New Roman"/>
                <w:b/>
                <w:sz w:val="22"/>
              </w:rPr>
              <w:t>Table 2.1</w:t>
            </w:r>
          </w:p>
        </w:tc>
        <w:tc>
          <w:tcPr>
            <w:tcW w:type="dxa" w:w="5904"/>
          </w:tcPr>
          <w:p>
            <w:pPr>
              <w:spacing w:before="40" w:after="40" w:line="264" w:lineRule="auto"/>
              <w:jc w:val="left"/>
            </w:pPr>
            <w:r>
              <w:rPr>
                <w:rFonts w:ascii="Times New Roman" w:hAnsi="Times New Roman"/>
                <w:sz w:val="22"/>
              </w:rPr>
              <w:t>Comprehensive Literature Comparison of Cybersecurity &amp; Deception Systems</w:t>
            </w:r>
          </w:p>
        </w:tc>
        <w:tc>
          <w:tcPr>
            <w:tcW w:type="dxa" w:w="1152"/>
          </w:tcPr>
          <w:p>
            <w:pPr>
              <w:spacing w:before="40" w:after="40" w:line="264" w:lineRule="auto"/>
              <w:jc w:val="right"/>
            </w:pPr>
            <w:r>
              <w:rPr>
                <w:rFonts w:ascii="Times New Roman" w:hAnsi="Times New Roman"/>
                <w:sz w:val="22"/>
              </w:rPr>
              <w:t>19</w:t>
            </w:r>
          </w:p>
        </w:tc>
      </w:tr>
      <w:tr>
        <w:tc>
          <w:tcPr>
            <w:tcW w:type="dxa" w:w="1872"/>
          </w:tcPr>
          <w:p>
            <w:pPr>
              <w:spacing w:before="40" w:after="40" w:line="264" w:lineRule="auto"/>
              <w:jc w:val="left"/>
            </w:pPr>
            <w:r>
              <w:rPr>
                <w:rFonts w:ascii="Times New Roman" w:hAnsi="Times New Roman"/>
                <w:b/>
                <w:sz w:val="22"/>
              </w:rPr>
              <w:t>Table 3.1</w:t>
            </w:r>
          </w:p>
        </w:tc>
        <w:tc>
          <w:tcPr>
            <w:tcW w:type="dxa" w:w="5904"/>
          </w:tcPr>
          <w:p>
            <w:pPr>
              <w:spacing w:before="40" w:after="40" w:line="264" w:lineRule="auto"/>
              <w:jc w:val="left"/>
            </w:pPr>
            <w:r>
              <w:rPr>
                <w:rFonts w:ascii="Times New Roman" w:hAnsi="Times New Roman"/>
                <w:sz w:val="22"/>
              </w:rPr>
              <w:t>Hardware Requirements Specification for Development and Deployment</w:t>
            </w:r>
          </w:p>
        </w:tc>
        <w:tc>
          <w:tcPr>
            <w:tcW w:type="dxa" w:w="1152"/>
          </w:tcPr>
          <w:p>
            <w:pPr>
              <w:spacing w:before="40" w:after="40" w:line="264" w:lineRule="auto"/>
              <w:jc w:val="right"/>
            </w:pPr>
            <w:r>
              <w:rPr>
                <w:rFonts w:ascii="Times New Roman" w:hAnsi="Times New Roman"/>
                <w:sz w:val="22"/>
              </w:rPr>
              <w:t>30</w:t>
            </w:r>
          </w:p>
        </w:tc>
      </w:tr>
      <w:tr>
        <w:tc>
          <w:tcPr>
            <w:tcW w:type="dxa" w:w="1872"/>
          </w:tcPr>
          <w:p>
            <w:pPr>
              <w:spacing w:before="40" w:after="40" w:line="264" w:lineRule="auto"/>
              <w:jc w:val="left"/>
            </w:pPr>
            <w:r>
              <w:rPr>
                <w:rFonts w:ascii="Times New Roman" w:hAnsi="Times New Roman"/>
                <w:b/>
                <w:sz w:val="22"/>
              </w:rPr>
              <w:t>Table 3.2</w:t>
            </w:r>
          </w:p>
        </w:tc>
        <w:tc>
          <w:tcPr>
            <w:tcW w:type="dxa" w:w="5904"/>
          </w:tcPr>
          <w:p>
            <w:pPr>
              <w:spacing w:before="40" w:after="40" w:line="264" w:lineRule="auto"/>
              <w:jc w:val="left"/>
            </w:pPr>
            <w:r>
              <w:rPr>
                <w:rFonts w:ascii="Times New Roman" w:hAnsi="Times New Roman"/>
                <w:sz w:val="22"/>
              </w:rPr>
              <w:t>Software Requirements Specification and Technology Stack</w:t>
            </w:r>
          </w:p>
        </w:tc>
        <w:tc>
          <w:tcPr>
            <w:tcW w:type="dxa" w:w="1152"/>
          </w:tcPr>
          <w:p>
            <w:pPr>
              <w:spacing w:before="40" w:after="40" w:line="264" w:lineRule="auto"/>
              <w:jc w:val="right"/>
            </w:pPr>
            <w:r>
              <w:rPr>
                <w:rFonts w:ascii="Times New Roman" w:hAnsi="Times New Roman"/>
                <w:sz w:val="22"/>
              </w:rPr>
              <w:t>31</w:t>
            </w:r>
          </w:p>
        </w:tc>
      </w:tr>
      <w:tr>
        <w:tc>
          <w:tcPr>
            <w:tcW w:type="dxa" w:w="1872"/>
          </w:tcPr>
          <w:p>
            <w:pPr>
              <w:spacing w:before="40" w:after="40" w:line="264" w:lineRule="auto"/>
              <w:jc w:val="left"/>
            </w:pPr>
            <w:r>
              <w:rPr>
                <w:rFonts w:ascii="Times New Roman" w:hAnsi="Times New Roman"/>
                <w:b/>
                <w:sz w:val="22"/>
              </w:rPr>
              <w:t>Table 4.1</w:t>
            </w:r>
          </w:p>
        </w:tc>
        <w:tc>
          <w:tcPr>
            <w:tcW w:type="dxa" w:w="5904"/>
          </w:tcPr>
          <w:p>
            <w:pPr>
              <w:spacing w:before="40" w:after="40" w:line="264" w:lineRule="auto"/>
              <w:jc w:val="left"/>
            </w:pPr>
            <w:r>
              <w:rPr>
                <w:rFonts w:ascii="Times New Roman" w:hAnsi="Times New Roman"/>
                <w:sz w:val="22"/>
              </w:rPr>
              <w:t>Database Entity Schema and Field Definitions</w:t>
            </w:r>
          </w:p>
        </w:tc>
        <w:tc>
          <w:tcPr>
            <w:tcW w:type="dxa" w:w="1152"/>
          </w:tcPr>
          <w:p>
            <w:pPr>
              <w:spacing w:before="40" w:after="40" w:line="264" w:lineRule="auto"/>
              <w:jc w:val="right"/>
            </w:pPr>
            <w:r>
              <w:rPr>
                <w:rFonts w:ascii="Times New Roman" w:hAnsi="Times New Roman"/>
                <w:sz w:val="22"/>
              </w:rPr>
              <w:t>54</w:t>
            </w:r>
          </w:p>
        </w:tc>
      </w:tr>
      <w:tr>
        <w:tc>
          <w:tcPr>
            <w:tcW w:type="dxa" w:w="1872"/>
          </w:tcPr>
          <w:p>
            <w:pPr>
              <w:spacing w:before="40" w:after="40" w:line="264" w:lineRule="auto"/>
              <w:jc w:val="left"/>
            </w:pPr>
            <w:r>
              <w:rPr>
                <w:rFonts w:ascii="Times New Roman" w:hAnsi="Times New Roman"/>
                <w:b/>
                <w:sz w:val="22"/>
              </w:rPr>
              <w:t>Table 5.1</w:t>
            </w:r>
          </w:p>
        </w:tc>
        <w:tc>
          <w:tcPr>
            <w:tcW w:type="dxa" w:w="5904"/>
          </w:tcPr>
          <w:p>
            <w:pPr>
              <w:spacing w:before="40" w:after="40" w:line="264" w:lineRule="auto"/>
              <w:jc w:val="left"/>
            </w:pPr>
            <w:r>
              <w:rPr>
                <w:rFonts w:ascii="Times New Roman" w:hAnsi="Times New Roman"/>
                <w:sz w:val="22"/>
              </w:rPr>
              <w:t>Core Source Code Modules and Architectural Responsibilities</w:t>
            </w:r>
          </w:p>
        </w:tc>
        <w:tc>
          <w:tcPr>
            <w:tcW w:type="dxa" w:w="1152"/>
          </w:tcPr>
          <w:p>
            <w:pPr>
              <w:spacing w:before="40" w:after="40" w:line="264" w:lineRule="auto"/>
              <w:jc w:val="right"/>
            </w:pPr>
            <w:r>
              <w:rPr>
                <w:rFonts w:ascii="Times New Roman" w:hAnsi="Times New Roman"/>
                <w:sz w:val="22"/>
              </w:rPr>
              <w:t>62</w:t>
            </w:r>
          </w:p>
        </w:tc>
      </w:tr>
      <w:tr>
        <w:tc>
          <w:tcPr>
            <w:tcW w:type="dxa" w:w="1872"/>
          </w:tcPr>
          <w:p>
            <w:pPr>
              <w:spacing w:before="40" w:after="40" w:line="264" w:lineRule="auto"/>
              <w:jc w:val="left"/>
            </w:pPr>
            <w:r>
              <w:rPr>
                <w:rFonts w:ascii="Times New Roman" w:hAnsi="Times New Roman"/>
                <w:b/>
                <w:sz w:val="22"/>
              </w:rPr>
              <w:t>Table 6.1</w:t>
            </w:r>
          </w:p>
        </w:tc>
        <w:tc>
          <w:tcPr>
            <w:tcW w:type="dxa" w:w="5904"/>
          </w:tcPr>
          <w:p>
            <w:pPr>
              <w:spacing w:before="40" w:after="40" w:line="264" w:lineRule="auto"/>
              <w:jc w:val="left"/>
            </w:pPr>
            <w:r>
              <w:rPr>
                <w:rFonts w:ascii="Times New Roman" w:hAnsi="Times New Roman"/>
                <w:sz w:val="22"/>
              </w:rPr>
              <w:t>Machine Learning Model Performance Metrics Across Held-out Datasets</w:t>
            </w:r>
          </w:p>
        </w:tc>
        <w:tc>
          <w:tcPr>
            <w:tcW w:type="dxa" w:w="1152"/>
          </w:tcPr>
          <w:p>
            <w:pPr>
              <w:spacing w:before="40" w:after="40" w:line="264" w:lineRule="auto"/>
              <w:jc w:val="right"/>
            </w:pPr>
            <w:r>
              <w:rPr>
                <w:rFonts w:ascii="Times New Roman" w:hAnsi="Times New Roman"/>
                <w:sz w:val="22"/>
              </w:rPr>
              <w:t>83</w:t>
            </w:r>
          </w:p>
        </w:tc>
      </w:tr>
      <w:tr>
        <w:tc>
          <w:tcPr>
            <w:tcW w:type="dxa" w:w="1872"/>
          </w:tcPr>
          <w:p>
            <w:pPr>
              <w:spacing w:before="40" w:after="40" w:line="264" w:lineRule="auto"/>
              <w:jc w:val="left"/>
            </w:pPr>
            <w:r>
              <w:rPr>
                <w:rFonts w:ascii="Times New Roman" w:hAnsi="Times New Roman"/>
                <w:b/>
                <w:sz w:val="22"/>
              </w:rPr>
              <w:t>Table 6.2</w:t>
            </w:r>
          </w:p>
        </w:tc>
        <w:tc>
          <w:tcPr>
            <w:tcW w:type="dxa" w:w="5904"/>
          </w:tcPr>
          <w:p>
            <w:pPr>
              <w:spacing w:before="40" w:after="40" w:line="264" w:lineRule="auto"/>
              <w:jc w:val="left"/>
            </w:pPr>
            <w:r>
              <w:rPr>
                <w:rFonts w:ascii="Times New Roman" w:hAnsi="Times New Roman"/>
                <w:sz w:val="22"/>
              </w:rPr>
              <w:t>Subsystem Latency and Throughput Benchmark Summary</w:t>
            </w:r>
          </w:p>
        </w:tc>
        <w:tc>
          <w:tcPr>
            <w:tcW w:type="dxa" w:w="1152"/>
          </w:tcPr>
          <w:p>
            <w:pPr>
              <w:spacing w:before="40" w:after="40" w:line="264" w:lineRule="auto"/>
              <w:jc w:val="right"/>
            </w:pPr>
            <w:r>
              <w:rPr>
                <w:rFonts w:ascii="Times New Roman" w:hAnsi="Times New Roman"/>
                <w:sz w:val="22"/>
              </w:rPr>
              <w:t>97</w:t>
            </w:r>
          </w:p>
        </w:tc>
      </w:tr>
      <w:tr>
        <w:tc>
          <w:tcPr>
            <w:tcW w:type="dxa" w:w="1872"/>
          </w:tcPr>
          <w:p>
            <w:pPr>
              <w:spacing w:before="40" w:after="40" w:line="264" w:lineRule="auto"/>
              <w:jc w:val="left"/>
            </w:pPr>
            <w:r>
              <w:rPr>
                <w:rFonts w:ascii="Times New Roman" w:hAnsi="Times New Roman"/>
                <w:b/>
                <w:sz w:val="22"/>
              </w:rPr>
              <w:t>Table 6.3</w:t>
            </w:r>
          </w:p>
        </w:tc>
        <w:tc>
          <w:tcPr>
            <w:tcW w:type="dxa" w:w="5904"/>
          </w:tcPr>
          <w:p>
            <w:pPr>
              <w:spacing w:before="40" w:after="40" w:line="264" w:lineRule="auto"/>
              <w:jc w:val="left"/>
            </w:pPr>
            <w:r>
              <w:rPr>
                <w:rFonts w:ascii="Times New Roman" w:hAnsi="Times New Roman"/>
                <w:sz w:val="22"/>
              </w:rPr>
              <w:t>Comprehensive Automated Test Cases Execution Summary (166 Tests)</w:t>
            </w:r>
          </w:p>
        </w:tc>
        <w:tc>
          <w:tcPr>
            <w:tcW w:type="dxa" w:w="1152"/>
          </w:tcPr>
          <w:p>
            <w:pPr>
              <w:spacing w:before="40" w:after="40" w:line="264" w:lineRule="auto"/>
              <w:jc w:val="right"/>
            </w:pPr>
            <w:r>
              <w:rPr>
                <w:rFonts w:ascii="Times New Roman" w:hAnsi="Times New Roman"/>
                <w:sz w:val="22"/>
              </w:rPr>
              <w:t>99</w:t>
            </w:r>
          </w:p>
        </w:tc>
      </w:tr>
      <w:tr>
        <w:tc>
          <w:tcPr>
            <w:tcW w:type="dxa" w:w="1872"/>
          </w:tcPr>
          <w:p>
            <w:pPr>
              <w:spacing w:before="40" w:after="40" w:line="264" w:lineRule="auto"/>
              <w:jc w:val="left"/>
            </w:pPr>
            <w:r>
              <w:rPr>
                <w:rFonts w:ascii="Times New Roman" w:hAnsi="Times New Roman"/>
                <w:b/>
                <w:sz w:val="22"/>
              </w:rPr>
              <w:t>Table 6.4</w:t>
            </w:r>
          </w:p>
        </w:tc>
        <w:tc>
          <w:tcPr>
            <w:tcW w:type="dxa" w:w="5904"/>
          </w:tcPr>
          <w:p>
            <w:pPr>
              <w:spacing w:before="40" w:after="40" w:line="264" w:lineRule="auto"/>
              <w:jc w:val="left"/>
            </w:pPr>
            <w:r>
              <w:rPr>
                <w:rFonts w:ascii="Times New Roman" w:hAnsi="Times New Roman"/>
                <w:sz w:val="22"/>
              </w:rPr>
              <w:t>Benchmarking INT-AWARE Against Conventional Honeypot Paradigms</w:t>
            </w:r>
          </w:p>
        </w:tc>
        <w:tc>
          <w:tcPr>
            <w:tcW w:type="dxa" w:w="1152"/>
          </w:tcPr>
          <w:p>
            <w:pPr>
              <w:spacing w:before="40" w:after="40" w:line="264" w:lineRule="auto"/>
              <w:jc w:val="right"/>
            </w:pPr>
            <w:r>
              <w:rPr>
                <w:rFonts w:ascii="Times New Roman" w:hAnsi="Times New Roman"/>
                <w:sz w:val="22"/>
              </w:rPr>
              <w:t>106</w:t>
            </w:r>
          </w:p>
        </w:tc>
      </w:tr>
    </w:tbl>
    <w:p>
      <w:r>
        <w:br w:type="page"/>
      </w:r>
    </w:p>
    <w:p>
      <w:pPr>
        <w:spacing w:before="360" w:after="240" w:line="276" w:lineRule="auto"/>
        <w:jc w:val="center"/>
      </w:pPr>
      <w:r>
        <w:rPr>
          <w:rFonts w:ascii="Times New Roman" w:hAnsi="Times New Roman"/>
          <w:b/>
          <w:color w:val="003366"/>
          <w:sz w:val="28"/>
        </w:rPr>
        <w:t>LIST OF ABBREVIATIONS</w:t>
      </w:r>
    </w:p>
    <w:tbl>
      <w:tblPr>
        <w:tblW w:type="auto" w:w="0"/>
        <w:jc w:val="center"/>
        <w:tblLook w:firstColumn="1" w:firstRow="1" w:lastColumn="0" w:lastRow="0" w:noHBand="0" w:noVBand="1" w:val="04A0"/>
      </w:tblPr>
      <w:tblGrid>
        <w:gridCol w:w="4500"/>
        <w:gridCol w:w="4500"/>
      </w:tblGrid>
      <w:tr>
        <w:tc>
          <w:tcPr>
            <w:tcW w:type="dxa" w:w="2592"/>
          </w:tcPr>
          <w:p>
            <w:pPr>
              <w:spacing w:before="20" w:after="20" w:line="240" w:lineRule="auto"/>
              <w:jc w:val="both"/>
            </w:pPr>
            <w:r>
              <w:rPr>
                <w:rFonts w:ascii="Times New Roman" w:hAnsi="Times New Roman"/>
                <w:b/>
                <w:sz w:val="21"/>
              </w:rPr>
              <w:t>API</w:t>
            </w:r>
          </w:p>
        </w:tc>
        <w:tc>
          <w:tcPr>
            <w:tcW w:type="dxa" w:w="6336"/>
          </w:tcPr>
          <w:p>
            <w:pPr>
              <w:spacing w:before="20" w:after="20" w:line="240" w:lineRule="auto"/>
              <w:jc w:val="both"/>
            </w:pPr>
            <w:r>
              <w:rPr>
                <w:rFonts w:ascii="Times New Roman" w:hAnsi="Times New Roman"/>
                <w:sz w:val="21"/>
              </w:rPr>
              <w:t>Application Programming Interface</w:t>
            </w:r>
          </w:p>
        </w:tc>
      </w:tr>
      <w:tr>
        <w:tc>
          <w:tcPr>
            <w:tcW w:type="dxa" w:w="2592"/>
          </w:tcPr>
          <w:p>
            <w:pPr>
              <w:spacing w:before="20" w:after="20" w:line="240" w:lineRule="auto"/>
              <w:jc w:val="both"/>
            </w:pPr>
            <w:r>
              <w:rPr>
                <w:rFonts w:ascii="Times New Roman" w:hAnsi="Times New Roman"/>
                <w:b/>
                <w:sz w:val="21"/>
              </w:rPr>
              <w:t>AUC</w:t>
            </w:r>
          </w:p>
        </w:tc>
        <w:tc>
          <w:tcPr>
            <w:tcW w:type="dxa" w:w="6336"/>
          </w:tcPr>
          <w:p>
            <w:pPr>
              <w:spacing w:before="20" w:after="20" w:line="240" w:lineRule="auto"/>
              <w:jc w:val="both"/>
            </w:pPr>
            <w:r>
              <w:rPr>
                <w:rFonts w:ascii="Times New Roman" w:hAnsi="Times New Roman"/>
                <w:sz w:val="21"/>
              </w:rPr>
              <w:t>Area Under the ROC Curve</w:t>
            </w:r>
          </w:p>
        </w:tc>
      </w:tr>
      <w:tr>
        <w:tc>
          <w:tcPr>
            <w:tcW w:type="dxa" w:w="2592"/>
          </w:tcPr>
          <w:p>
            <w:pPr>
              <w:spacing w:before="20" w:after="20" w:line="240" w:lineRule="auto"/>
              <w:jc w:val="both"/>
            </w:pPr>
            <w:r>
              <w:rPr>
                <w:rFonts w:ascii="Times New Roman" w:hAnsi="Times New Roman"/>
                <w:b/>
                <w:sz w:val="21"/>
              </w:rPr>
              <w:t>CICIDS</w:t>
            </w:r>
          </w:p>
        </w:tc>
        <w:tc>
          <w:tcPr>
            <w:tcW w:type="dxa" w:w="6336"/>
          </w:tcPr>
          <w:p>
            <w:pPr>
              <w:spacing w:before="20" w:after="20" w:line="240" w:lineRule="auto"/>
              <w:jc w:val="both"/>
            </w:pPr>
            <w:r>
              <w:rPr>
                <w:rFonts w:ascii="Times New Roman" w:hAnsi="Times New Roman"/>
                <w:sz w:val="21"/>
              </w:rPr>
              <w:t>Canadian Institute for Cybersecurity Intrusion Detection Dataset</w:t>
            </w:r>
          </w:p>
        </w:tc>
      </w:tr>
      <w:tr>
        <w:tc>
          <w:tcPr>
            <w:tcW w:type="dxa" w:w="2592"/>
          </w:tcPr>
          <w:p>
            <w:pPr>
              <w:spacing w:before="20" w:after="20" w:line="240" w:lineRule="auto"/>
              <w:jc w:val="both"/>
            </w:pPr>
            <w:r>
              <w:rPr>
                <w:rFonts w:ascii="Times New Roman" w:hAnsi="Times New Roman"/>
                <w:b/>
                <w:sz w:val="21"/>
              </w:rPr>
              <w:t>CVE</w:t>
            </w:r>
          </w:p>
        </w:tc>
        <w:tc>
          <w:tcPr>
            <w:tcW w:type="dxa" w:w="6336"/>
          </w:tcPr>
          <w:p>
            <w:pPr>
              <w:spacing w:before="20" w:after="20" w:line="240" w:lineRule="auto"/>
              <w:jc w:val="both"/>
            </w:pPr>
            <w:r>
              <w:rPr>
                <w:rFonts w:ascii="Times New Roman" w:hAnsi="Times New Roman"/>
                <w:sz w:val="21"/>
              </w:rPr>
              <w:t>Common Vulnerabilities and Exposures</w:t>
            </w:r>
          </w:p>
        </w:tc>
      </w:tr>
      <w:tr>
        <w:tc>
          <w:tcPr>
            <w:tcW w:type="dxa" w:w="2592"/>
          </w:tcPr>
          <w:p>
            <w:pPr>
              <w:spacing w:before="20" w:after="20" w:line="240" w:lineRule="auto"/>
              <w:jc w:val="both"/>
            </w:pPr>
            <w:r>
              <w:rPr>
                <w:rFonts w:ascii="Times New Roman" w:hAnsi="Times New Roman"/>
                <w:b/>
                <w:sz w:val="21"/>
              </w:rPr>
              <w:t>DFD</w:t>
            </w:r>
          </w:p>
        </w:tc>
        <w:tc>
          <w:tcPr>
            <w:tcW w:type="dxa" w:w="6336"/>
          </w:tcPr>
          <w:p>
            <w:pPr>
              <w:spacing w:before="20" w:after="20" w:line="240" w:lineRule="auto"/>
              <w:jc w:val="both"/>
            </w:pPr>
            <w:r>
              <w:rPr>
                <w:rFonts w:ascii="Times New Roman" w:hAnsi="Times New Roman"/>
                <w:sz w:val="21"/>
              </w:rPr>
              <w:t>Data Flow Diagram</w:t>
            </w:r>
          </w:p>
        </w:tc>
      </w:tr>
      <w:tr>
        <w:tc>
          <w:tcPr>
            <w:tcW w:type="dxa" w:w="2592"/>
          </w:tcPr>
          <w:p>
            <w:pPr>
              <w:spacing w:before="20" w:after="20" w:line="240" w:lineRule="auto"/>
              <w:jc w:val="both"/>
            </w:pPr>
            <w:r>
              <w:rPr>
                <w:rFonts w:ascii="Times New Roman" w:hAnsi="Times New Roman"/>
                <w:b/>
                <w:sz w:val="21"/>
              </w:rPr>
              <w:t>DoS</w:t>
            </w:r>
          </w:p>
        </w:tc>
        <w:tc>
          <w:tcPr>
            <w:tcW w:type="dxa" w:w="6336"/>
          </w:tcPr>
          <w:p>
            <w:pPr>
              <w:spacing w:before="20" w:after="20" w:line="240" w:lineRule="auto"/>
              <w:jc w:val="both"/>
            </w:pPr>
            <w:r>
              <w:rPr>
                <w:rFonts w:ascii="Times New Roman" w:hAnsi="Times New Roman"/>
                <w:sz w:val="21"/>
              </w:rPr>
              <w:t>Denial of Service</w:t>
            </w:r>
          </w:p>
        </w:tc>
      </w:tr>
      <w:tr>
        <w:tc>
          <w:tcPr>
            <w:tcW w:type="dxa" w:w="2592"/>
          </w:tcPr>
          <w:p>
            <w:pPr>
              <w:spacing w:before="20" w:after="20" w:line="240" w:lineRule="auto"/>
              <w:jc w:val="both"/>
            </w:pPr>
            <w:r>
              <w:rPr>
                <w:rFonts w:ascii="Times New Roman" w:hAnsi="Times New Roman"/>
                <w:b/>
                <w:sz w:val="21"/>
              </w:rPr>
              <w:t>EDR</w:t>
            </w:r>
          </w:p>
        </w:tc>
        <w:tc>
          <w:tcPr>
            <w:tcW w:type="dxa" w:w="6336"/>
          </w:tcPr>
          <w:p>
            <w:pPr>
              <w:spacing w:before="20" w:after="20" w:line="240" w:lineRule="auto"/>
              <w:jc w:val="both"/>
            </w:pPr>
            <w:r>
              <w:rPr>
                <w:rFonts w:ascii="Times New Roman" w:hAnsi="Times New Roman"/>
                <w:sz w:val="21"/>
              </w:rPr>
              <w:t>Endpoint Detection and Response</w:t>
            </w:r>
          </w:p>
        </w:tc>
      </w:tr>
      <w:tr>
        <w:tc>
          <w:tcPr>
            <w:tcW w:type="dxa" w:w="2592"/>
          </w:tcPr>
          <w:p>
            <w:pPr>
              <w:spacing w:before="20" w:after="20" w:line="240" w:lineRule="auto"/>
              <w:jc w:val="both"/>
            </w:pPr>
            <w:r>
              <w:rPr>
                <w:rFonts w:ascii="Times New Roman" w:hAnsi="Times New Roman"/>
                <w:b/>
                <w:sz w:val="21"/>
              </w:rPr>
              <w:t>FIFO</w:t>
            </w:r>
          </w:p>
        </w:tc>
        <w:tc>
          <w:tcPr>
            <w:tcW w:type="dxa" w:w="6336"/>
          </w:tcPr>
          <w:p>
            <w:pPr>
              <w:spacing w:before="20" w:after="20" w:line="240" w:lineRule="auto"/>
              <w:jc w:val="both"/>
            </w:pPr>
            <w:r>
              <w:rPr>
                <w:rFonts w:ascii="Times New Roman" w:hAnsi="Times New Roman"/>
                <w:sz w:val="21"/>
              </w:rPr>
              <w:t>First-In, First-Out</w:t>
            </w:r>
          </w:p>
        </w:tc>
      </w:tr>
      <w:tr>
        <w:tc>
          <w:tcPr>
            <w:tcW w:type="dxa" w:w="2592"/>
          </w:tcPr>
          <w:p>
            <w:pPr>
              <w:spacing w:before="20" w:after="20" w:line="240" w:lineRule="auto"/>
              <w:jc w:val="both"/>
            </w:pPr>
            <w:r>
              <w:rPr>
                <w:rFonts w:ascii="Times New Roman" w:hAnsi="Times New Roman"/>
                <w:b/>
                <w:sz w:val="21"/>
              </w:rPr>
              <w:t>FPR</w:t>
            </w:r>
          </w:p>
        </w:tc>
        <w:tc>
          <w:tcPr>
            <w:tcW w:type="dxa" w:w="6336"/>
          </w:tcPr>
          <w:p>
            <w:pPr>
              <w:spacing w:before="20" w:after="20" w:line="240" w:lineRule="auto"/>
              <w:jc w:val="both"/>
            </w:pPr>
            <w:r>
              <w:rPr>
                <w:rFonts w:ascii="Times New Roman" w:hAnsi="Times New Roman"/>
                <w:sz w:val="21"/>
              </w:rPr>
              <w:t>False Positive Rate</w:t>
            </w:r>
          </w:p>
        </w:tc>
      </w:tr>
      <w:tr>
        <w:tc>
          <w:tcPr>
            <w:tcW w:type="dxa" w:w="2592"/>
          </w:tcPr>
          <w:p>
            <w:pPr>
              <w:spacing w:before="20" w:after="20" w:line="240" w:lineRule="auto"/>
              <w:jc w:val="both"/>
            </w:pPr>
            <w:r>
              <w:rPr>
                <w:rFonts w:ascii="Times New Roman" w:hAnsi="Times New Roman"/>
                <w:b/>
                <w:sz w:val="21"/>
              </w:rPr>
              <w:t>GAN</w:t>
            </w:r>
          </w:p>
        </w:tc>
        <w:tc>
          <w:tcPr>
            <w:tcW w:type="dxa" w:w="6336"/>
          </w:tcPr>
          <w:p>
            <w:pPr>
              <w:spacing w:before="20" w:after="20" w:line="240" w:lineRule="auto"/>
              <w:jc w:val="both"/>
            </w:pPr>
            <w:r>
              <w:rPr>
                <w:rFonts w:ascii="Times New Roman" w:hAnsi="Times New Roman"/>
                <w:sz w:val="21"/>
              </w:rPr>
              <w:t>Generative Adversarial Network</w:t>
            </w:r>
          </w:p>
        </w:tc>
      </w:tr>
      <w:tr>
        <w:tc>
          <w:tcPr>
            <w:tcW w:type="dxa" w:w="2592"/>
          </w:tcPr>
          <w:p>
            <w:pPr>
              <w:spacing w:before="20" w:after="20" w:line="240" w:lineRule="auto"/>
              <w:jc w:val="both"/>
            </w:pPr>
            <w:r>
              <w:rPr>
                <w:rFonts w:ascii="Times New Roman" w:hAnsi="Times New Roman"/>
                <w:b/>
                <w:sz w:val="21"/>
              </w:rPr>
              <w:t>HIDS</w:t>
            </w:r>
          </w:p>
        </w:tc>
        <w:tc>
          <w:tcPr>
            <w:tcW w:type="dxa" w:w="6336"/>
          </w:tcPr>
          <w:p>
            <w:pPr>
              <w:spacing w:before="20" w:after="20" w:line="240" w:lineRule="auto"/>
              <w:jc w:val="both"/>
            </w:pPr>
            <w:r>
              <w:rPr>
                <w:rFonts w:ascii="Times New Roman" w:hAnsi="Times New Roman"/>
                <w:sz w:val="21"/>
              </w:rPr>
              <w:t>Host-based Intrusion Detection System</w:t>
            </w:r>
          </w:p>
        </w:tc>
      </w:tr>
      <w:tr>
        <w:tc>
          <w:tcPr>
            <w:tcW w:type="dxa" w:w="2592"/>
          </w:tcPr>
          <w:p>
            <w:pPr>
              <w:spacing w:before="20" w:after="20" w:line="240" w:lineRule="auto"/>
              <w:jc w:val="both"/>
            </w:pPr>
            <w:r>
              <w:rPr>
                <w:rFonts w:ascii="Times New Roman" w:hAnsi="Times New Roman"/>
                <w:b/>
                <w:sz w:val="21"/>
              </w:rPr>
              <w:t>HTTP</w:t>
            </w:r>
          </w:p>
        </w:tc>
        <w:tc>
          <w:tcPr>
            <w:tcW w:type="dxa" w:w="6336"/>
          </w:tcPr>
          <w:p>
            <w:pPr>
              <w:spacing w:before="20" w:after="20" w:line="240" w:lineRule="auto"/>
              <w:jc w:val="both"/>
            </w:pPr>
            <w:r>
              <w:rPr>
                <w:rFonts w:ascii="Times New Roman" w:hAnsi="Times New Roman"/>
                <w:sz w:val="21"/>
              </w:rPr>
              <w:t>Hypertext Transfer Protocol</w:t>
            </w:r>
          </w:p>
        </w:tc>
      </w:tr>
      <w:tr>
        <w:tc>
          <w:tcPr>
            <w:tcW w:type="dxa" w:w="2592"/>
          </w:tcPr>
          <w:p>
            <w:pPr>
              <w:spacing w:before="20" w:after="20" w:line="240" w:lineRule="auto"/>
              <w:jc w:val="both"/>
            </w:pPr>
            <w:r>
              <w:rPr>
                <w:rFonts w:ascii="Times New Roman" w:hAnsi="Times New Roman"/>
                <w:b/>
                <w:sz w:val="21"/>
              </w:rPr>
              <w:t>IDS</w:t>
            </w:r>
          </w:p>
        </w:tc>
        <w:tc>
          <w:tcPr>
            <w:tcW w:type="dxa" w:w="6336"/>
          </w:tcPr>
          <w:p>
            <w:pPr>
              <w:spacing w:before="20" w:after="20" w:line="240" w:lineRule="auto"/>
              <w:jc w:val="both"/>
            </w:pPr>
            <w:r>
              <w:rPr>
                <w:rFonts w:ascii="Times New Roman" w:hAnsi="Times New Roman"/>
                <w:sz w:val="21"/>
              </w:rPr>
              <w:t>Intrusion Detection System</w:t>
            </w:r>
          </w:p>
        </w:tc>
      </w:tr>
      <w:tr>
        <w:tc>
          <w:tcPr>
            <w:tcW w:type="dxa" w:w="2592"/>
          </w:tcPr>
          <w:p>
            <w:pPr>
              <w:spacing w:before="20" w:after="20" w:line="240" w:lineRule="auto"/>
              <w:jc w:val="both"/>
            </w:pPr>
            <w:r>
              <w:rPr>
                <w:rFonts w:ascii="Times New Roman" w:hAnsi="Times New Roman"/>
                <w:b/>
                <w:sz w:val="21"/>
              </w:rPr>
              <w:t>ISE</w:t>
            </w:r>
          </w:p>
        </w:tc>
        <w:tc>
          <w:tcPr>
            <w:tcW w:type="dxa" w:w="6336"/>
          </w:tcPr>
          <w:p>
            <w:pPr>
              <w:spacing w:before="20" w:after="20" w:line="240" w:lineRule="auto"/>
              <w:jc w:val="both"/>
            </w:pPr>
            <w:r>
              <w:rPr>
                <w:rFonts w:ascii="Times New Roman" w:hAnsi="Times New Roman"/>
                <w:sz w:val="21"/>
              </w:rPr>
              <w:t>Information Science and Engineering</w:t>
            </w:r>
          </w:p>
        </w:tc>
      </w:tr>
      <w:tr>
        <w:tc>
          <w:tcPr>
            <w:tcW w:type="dxa" w:w="2592"/>
          </w:tcPr>
          <w:p>
            <w:pPr>
              <w:spacing w:before="20" w:after="20" w:line="240" w:lineRule="auto"/>
              <w:jc w:val="both"/>
            </w:pPr>
            <w:r>
              <w:rPr>
                <w:rFonts w:ascii="Times New Roman" w:hAnsi="Times New Roman"/>
                <w:b/>
                <w:sz w:val="21"/>
              </w:rPr>
              <w:t>JSON</w:t>
            </w:r>
          </w:p>
        </w:tc>
        <w:tc>
          <w:tcPr>
            <w:tcW w:type="dxa" w:w="6336"/>
          </w:tcPr>
          <w:p>
            <w:pPr>
              <w:spacing w:before="20" w:after="20" w:line="240" w:lineRule="auto"/>
              <w:jc w:val="both"/>
            </w:pPr>
            <w:r>
              <w:rPr>
                <w:rFonts w:ascii="Times New Roman" w:hAnsi="Times New Roman"/>
                <w:sz w:val="21"/>
              </w:rPr>
              <w:t>JavaScript Object Notation</w:t>
            </w:r>
          </w:p>
        </w:tc>
      </w:tr>
      <w:tr>
        <w:tc>
          <w:tcPr>
            <w:tcW w:type="dxa" w:w="2592"/>
          </w:tcPr>
          <w:p>
            <w:pPr>
              <w:spacing w:before="20" w:after="20" w:line="240" w:lineRule="auto"/>
              <w:jc w:val="both"/>
            </w:pPr>
            <w:r>
              <w:rPr>
                <w:rFonts w:ascii="Times New Roman" w:hAnsi="Times New Roman"/>
                <w:b/>
                <w:sz w:val="21"/>
              </w:rPr>
              <w:t>LLM</w:t>
            </w:r>
          </w:p>
        </w:tc>
        <w:tc>
          <w:tcPr>
            <w:tcW w:type="dxa" w:w="6336"/>
          </w:tcPr>
          <w:p>
            <w:pPr>
              <w:spacing w:before="20" w:after="20" w:line="240" w:lineRule="auto"/>
              <w:jc w:val="both"/>
            </w:pPr>
            <w:r>
              <w:rPr>
                <w:rFonts w:ascii="Times New Roman" w:hAnsi="Times New Roman"/>
                <w:sz w:val="21"/>
              </w:rPr>
              <w:t>Large Language Model</w:t>
            </w:r>
          </w:p>
        </w:tc>
      </w:tr>
      <w:tr>
        <w:tc>
          <w:tcPr>
            <w:tcW w:type="dxa" w:w="2592"/>
          </w:tcPr>
          <w:p>
            <w:pPr>
              <w:spacing w:before="20" w:after="20" w:line="240" w:lineRule="auto"/>
              <w:jc w:val="both"/>
            </w:pPr>
            <w:r>
              <w:rPr>
                <w:rFonts w:ascii="Times New Roman" w:hAnsi="Times New Roman"/>
                <w:b/>
                <w:sz w:val="21"/>
              </w:rPr>
              <w:t>LRU</w:t>
            </w:r>
          </w:p>
        </w:tc>
        <w:tc>
          <w:tcPr>
            <w:tcW w:type="dxa" w:w="6336"/>
          </w:tcPr>
          <w:p>
            <w:pPr>
              <w:spacing w:before="20" w:after="20" w:line="240" w:lineRule="auto"/>
              <w:jc w:val="both"/>
            </w:pPr>
            <w:r>
              <w:rPr>
                <w:rFonts w:ascii="Times New Roman" w:hAnsi="Times New Roman"/>
                <w:sz w:val="21"/>
              </w:rPr>
              <w:t>Least Recently Used</w:t>
            </w:r>
          </w:p>
        </w:tc>
      </w:tr>
      <w:tr>
        <w:tc>
          <w:tcPr>
            <w:tcW w:type="dxa" w:w="2592"/>
          </w:tcPr>
          <w:p>
            <w:pPr>
              <w:spacing w:before="20" w:after="20" w:line="240" w:lineRule="auto"/>
              <w:jc w:val="both"/>
            </w:pPr>
            <w:r>
              <w:rPr>
                <w:rFonts w:ascii="Times New Roman" w:hAnsi="Times New Roman"/>
                <w:b/>
                <w:sz w:val="21"/>
              </w:rPr>
              <w:t>MAE</w:t>
            </w:r>
          </w:p>
        </w:tc>
        <w:tc>
          <w:tcPr>
            <w:tcW w:type="dxa" w:w="6336"/>
          </w:tcPr>
          <w:p>
            <w:pPr>
              <w:spacing w:before="20" w:after="20" w:line="240" w:lineRule="auto"/>
              <w:jc w:val="both"/>
            </w:pPr>
            <w:r>
              <w:rPr>
                <w:rFonts w:ascii="Times New Roman" w:hAnsi="Times New Roman"/>
                <w:sz w:val="21"/>
              </w:rPr>
              <w:t>Mean Absolute Error</w:t>
            </w:r>
          </w:p>
        </w:tc>
      </w:tr>
      <w:tr>
        <w:tc>
          <w:tcPr>
            <w:tcW w:type="dxa" w:w="2592"/>
          </w:tcPr>
          <w:p>
            <w:pPr>
              <w:spacing w:before="20" w:after="20" w:line="240" w:lineRule="auto"/>
              <w:jc w:val="both"/>
            </w:pPr>
            <w:r>
              <w:rPr>
                <w:rFonts w:ascii="Times New Roman" w:hAnsi="Times New Roman"/>
                <w:b/>
                <w:sz w:val="21"/>
              </w:rPr>
              <w:t>MCP</w:t>
            </w:r>
          </w:p>
        </w:tc>
        <w:tc>
          <w:tcPr>
            <w:tcW w:type="dxa" w:w="6336"/>
          </w:tcPr>
          <w:p>
            <w:pPr>
              <w:spacing w:before="20" w:after="20" w:line="240" w:lineRule="auto"/>
              <w:jc w:val="both"/>
            </w:pPr>
            <w:r>
              <w:rPr>
                <w:rFonts w:ascii="Times New Roman" w:hAnsi="Times New Roman"/>
                <w:sz w:val="21"/>
              </w:rPr>
              <w:t>Model Context Protocol</w:t>
            </w:r>
          </w:p>
        </w:tc>
      </w:tr>
      <w:tr>
        <w:tc>
          <w:tcPr>
            <w:tcW w:type="dxa" w:w="2592"/>
          </w:tcPr>
          <w:p>
            <w:pPr>
              <w:spacing w:before="20" w:after="20" w:line="240" w:lineRule="auto"/>
              <w:jc w:val="both"/>
            </w:pPr>
            <w:r>
              <w:rPr>
                <w:rFonts w:ascii="Times New Roman" w:hAnsi="Times New Roman"/>
                <w:b/>
                <w:sz w:val="21"/>
              </w:rPr>
              <w:t>MITRE</w:t>
            </w:r>
          </w:p>
        </w:tc>
        <w:tc>
          <w:tcPr>
            <w:tcW w:type="dxa" w:w="6336"/>
          </w:tcPr>
          <w:p>
            <w:pPr>
              <w:spacing w:before="20" w:after="20" w:line="240" w:lineRule="auto"/>
              <w:jc w:val="both"/>
            </w:pPr>
            <w:r>
              <w:rPr>
                <w:rFonts w:ascii="Times New Roman" w:hAnsi="Times New Roman"/>
                <w:sz w:val="21"/>
              </w:rPr>
              <w:t>MITRE Corporation (Adversarial Tactics, Techniques, and Common Knowledge)</w:t>
            </w:r>
          </w:p>
        </w:tc>
      </w:tr>
      <w:tr>
        <w:tc>
          <w:tcPr>
            <w:tcW w:type="dxa" w:w="2592"/>
          </w:tcPr>
          <w:p>
            <w:pPr>
              <w:spacing w:before="20" w:after="20" w:line="240" w:lineRule="auto"/>
              <w:jc w:val="both"/>
            </w:pPr>
            <w:r>
              <w:rPr>
                <w:rFonts w:ascii="Times New Roman" w:hAnsi="Times New Roman"/>
                <w:b/>
                <w:sz w:val="21"/>
              </w:rPr>
              <w:t>ML</w:t>
            </w:r>
          </w:p>
        </w:tc>
        <w:tc>
          <w:tcPr>
            <w:tcW w:type="dxa" w:w="6336"/>
          </w:tcPr>
          <w:p>
            <w:pPr>
              <w:spacing w:before="20" w:after="20" w:line="240" w:lineRule="auto"/>
              <w:jc w:val="both"/>
            </w:pPr>
            <w:r>
              <w:rPr>
                <w:rFonts w:ascii="Times New Roman" w:hAnsi="Times New Roman"/>
                <w:sz w:val="21"/>
              </w:rPr>
              <w:t>Machine Learning</w:t>
            </w:r>
          </w:p>
        </w:tc>
      </w:tr>
      <w:tr>
        <w:tc>
          <w:tcPr>
            <w:tcW w:type="dxa" w:w="2592"/>
          </w:tcPr>
          <w:p>
            <w:pPr>
              <w:spacing w:before="20" w:after="20" w:line="240" w:lineRule="auto"/>
              <w:jc w:val="both"/>
            </w:pPr>
            <w:r>
              <w:rPr>
                <w:rFonts w:ascii="Times New Roman" w:hAnsi="Times New Roman"/>
                <w:b/>
                <w:sz w:val="21"/>
              </w:rPr>
              <w:t>NFR</w:t>
            </w:r>
          </w:p>
        </w:tc>
        <w:tc>
          <w:tcPr>
            <w:tcW w:type="dxa" w:w="6336"/>
          </w:tcPr>
          <w:p>
            <w:pPr>
              <w:spacing w:before="20" w:after="20" w:line="240" w:lineRule="auto"/>
              <w:jc w:val="both"/>
            </w:pPr>
            <w:r>
              <w:rPr>
                <w:rFonts w:ascii="Times New Roman" w:hAnsi="Times New Roman"/>
                <w:sz w:val="21"/>
              </w:rPr>
              <w:t>Non-Functional Requirement</w:t>
            </w:r>
          </w:p>
        </w:tc>
      </w:tr>
      <w:tr>
        <w:tc>
          <w:tcPr>
            <w:tcW w:type="dxa" w:w="2592"/>
          </w:tcPr>
          <w:p>
            <w:pPr>
              <w:spacing w:before="20" w:after="20" w:line="240" w:lineRule="auto"/>
              <w:jc w:val="both"/>
            </w:pPr>
            <w:r>
              <w:rPr>
                <w:rFonts w:ascii="Times New Roman" w:hAnsi="Times New Roman"/>
                <w:b/>
                <w:sz w:val="21"/>
              </w:rPr>
              <w:t>NIDS</w:t>
            </w:r>
          </w:p>
        </w:tc>
        <w:tc>
          <w:tcPr>
            <w:tcW w:type="dxa" w:w="6336"/>
          </w:tcPr>
          <w:p>
            <w:pPr>
              <w:spacing w:before="20" w:after="20" w:line="240" w:lineRule="auto"/>
              <w:jc w:val="both"/>
            </w:pPr>
            <w:r>
              <w:rPr>
                <w:rFonts w:ascii="Times New Roman" w:hAnsi="Times New Roman"/>
                <w:sz w:val="21"/>
              </w:rPr>
              <w:t>Network Intrusion Detection System</w:t>
            </w:r>
          </w:p>
        </w:tc>
      </w:tr>
      <w:tr>
        <w:tc>
          <w:tcPr>
            <w:tcW w:type="dxa" w:w="2592"/>
          </w:tcPr>
          <w:p>
            <w:pPr>
              <w:spacing w:before="20" w:after="20" w:line="240" w:lineRule="auto"/>
              <w:jc w:val="both"/>
            </w:pPr>
            <w:r>
              <w:rPr>
                <w:rFonts w:ascii="Times New Roman" w:hAnsi="Times New Roman"/>
                <w:b/>
                <w:sz w:val="21"/>
              </w:rPr>
              <w:t>OS</w:t>
            </w:r>
          </w:p>
        </w:tc>
        <w:tc>
          <w:tcPr>
            <w:tcW w:type="dxa" w:w="6336"/>
          </w:tcPr>
          <w:p>
            <w:pPr>
              <w:spacing w:before="20" w:after="20" w:line="240" w:lineRule="auto"/>
              <w:jc w:val="both"/>
            </w:pPr>
            <w:r>
              <w:rPr>
                <w:rFonts w:ascii="Times New Roman" w:hAnsi="Times New Roman"/>
                <w:sz w:val="21"/>
              </w:rPr>
              <w:t>Operating System</w:t>
            </w:r>
          </w:p>
        </w:tc>
      </w:tr>
      <w:tr>
        <w:tc>
          <w:tcPr>
            <w:tcW w:type="dxa" w:w="2592"/>
          </w:tcPr>
          <w:p>
            <w:pPr>
              <w:spacing w:before="20" w:after="20" w:line="240" w:lineRule="auto"/>
              <w:jc w:val="both"/>
            </w:pPr>
            <w:r>
              <w:rPr>
                <w:rFonts w:ascii="Times New Roman" w:hAnsi="Times New Roman"/>
                <w:b/>
                <w:sz w:val="21"/>
              </w:rPr>
              <w:t>OT</w:t>
            </w:r>
          </w:p>
        </w:tc>
        <w:tc>
          <w:tcPr>
            <w:tcW w:type="dxa" w:w="6336"/>
          </w:tcPr>
          <w:p>
            <w:pPr>
              <w:spacing w:before="20" w:after="20" w:line="240" w:lineRule="auto"/>
              <w:jc w:val="both"/>
            </w:pPr>
            <w:r>
              <w:rPr>
                <w:rFonts w:ascii="Times New Roman" w:hAnsi="Times New Roman"/>
                <w:sz w:val="21"/>
              </w:rPr>
              <w:t>Operational Technology / Industrial Automation</w:t>
            </w:r>
          </w:p>
        </w:tc>
      </w:tr>
      <w:tr>
        <w:tc>
          <w:tcPr>
            <w:tcW w:type="dxa" w:w="2592"/>
          </w:tcPr>
          <w:p>
            <w:pPr>
              <w:spacing w:before="20" w:after="20" w:line="240" w:lineRule="auto"/>
              <w:jc w:val="both"/>
            </w:pPr>
            <w:r>
              <w:rPr>
                <w:rFonts w:ascii="Times New Roman" w:hAnsi="Times New Roman"/>
                <w:b/>
                <w:sz w:val="21"/>
              </w:rPr>
              <w:t>PCA</w:t>
            </w:r>
          </w:p>
        </w:tc>
        <w:tc>
          <w:tcPr>
            <w:tcW w:type="dxa" w:w="6336"/>
          </w:tcPr>
          <w:p>
            <w:pPr>
              <w:spacing w:before="20" w:after="20" w:line="240" w:lineRule="auto"/>
              <w:jc w:val="both"/>
            </w:pPr>
            <w:r>
              <w:rPr>
                <w:rFonts w:ascii="Times New Roman" w:hAnsi="Times New Roman"/>
                <w:sz w:val="21"/>
              </w:rPr>
              <w:t>Principal Component Analysis</w:t>
            </w:r>
          </w:p>
        </w:tc>
      </w:tr>
      <w:tr>
        <w:tc>
          <w:tcPr>
            <w:tcW w:type="dxa" w:w="2592"/>
          </w:tcPr>
          <w:p>
            <w:pPr>
              <w:spacing w:before="20" w:after="20" w:line="240" w:lineRule="auto"/>
              <w:jc w:val="both"/>
            </w:pPr>
            <w:r>
              <w:rPr>
                <w:rFonts w:ascii="Times New Roman" w:hAnsi="Times New Roman"/>
                <w:b/>
                <w:sz w:val="21"/>
              </w:rPr>
              <w:t>PSI</w:t>
            </w:r>
          </w:p>
        </w:tc>
        <w:tc>
          <w:tcPr>
            <w:tcW w:type="dxa" w:w="6336"/>
          </w:tcPr>
          <w:p>
            <w:pPr>
              <w:spacing w:before="20" w:after="20" w:line="240" w:lineRule="auto"/>
              <w:jc w:val="both"/>
            </w:pPr>
            <w:r>
              <w:rPr>
                <w:rFonts w:ascii="Times New Roman" w:hAnsi="Times New Roman"/>
                <w:sz w:val="21"/>
              </w:rPr>
              <w:t>Population Stability Index</w:t>
            </w:r>
          </w:p>
        </w:tc>
      </w:tr>
      <w:tr>
        <w:tc>
          <w:tcPr>
            <w:tcW w:type="dxa" w:w="2592"/>
          </w:tcPr>
          <w:p>
            <w:pPr>
              <w:spacing w:before="20" w:after="20" w:line="240" w:lineRule="auto"/>
              <w:jc w:val="both"/>
            </w:pPr>
            <w:r>
              <w:rPr>
                <w:rFonts w:ascii="Times New Roman" w:hAnsi="Times New Roman"/>
                <w:b/>
                <w:sz w:val="21"/>
              </w:rPr>
              <w:t>RAG</w:t>
            </w:r>
          </w:p>
        </w:tc>
        <w:tc>
          <w:tcPr>
            <w:tcW w:type="dxa" w:w="6336"/>
          </w:tcPr>
          <w:p>
            <w:pPr>
              <w:spacing w:before="20" w:after="20" w:line="240" w:lineRule="auto"/>
              <w:jc w:val="both"/>
            </w:pPr>
            <w:r>
              <w:rPr>
                <w:rFonts w:ascii="Times New Roman" w:hAnsi="Times New Roman"/>
                <w:sz w:val="21"/>
              </w:rPr>
              <w:t>Retrieval-Augmented Generation</w:t>
            </w:r>
          </w:p>
        </w:tc>
      </w:tr>
      <w:tr>
        <w:tc>
          <w:tcPr>
            <w:tcW w:type="dxa" w:w="2592"/>
          </w:tcPr>
          <w:p>
            <w:pPr>
              <w:spacing w:before="20" w:after="20" w:line="240" w:lineRule="auto"/>
              <w:jc w:val="both"/>
            </w:pPr>
            <w:r>
              <w:rPr>
                <w:rFonts w:ascii="Times New Roman" w:hAnsi="Times New Roman"/>
                <w:b/>
                <w:sz w:val="21"/>
              </w:rPr>
              <w:t>REST</w:t>
            </w:r>
          </w:p>
        </w:tc>
        <w:tc>
          <w:tcPr>
            <w:tcW w:type="dxa" w:w="6336"/>
          </w:tcPr>
          <w:p>
            <w:pPr>
              <w:spacing w:before="20" w:after="20" w:line="240" w:lineRule="auto"/>
              <w:jc w:val="both"/>
            </w:pPr>
            <w:r>
              <w:rPr>
                <w:rFonts w:ascii="Times New Roman" w:hAnsi="Times New Roman"/>
                <w:sz w:val="21"/>
              </w:rPr>
              <w:t>Representational State Transfer</w:t>
            </w:r>
          </w:p>
        </w:tc>
      </w:tr>
      <w:tr>
        <w:tc>
          <w:tcPr>
            <w:tcW w:type="dxa" w:w="2592"/>
          </w:tcPr>
          <w:p>
            <w:pPr>
              <w:spacing w:before="20" w:after="20" w:line="240" w:lineRule="auto"/>
              <w:jc w:val="both"/>
            </w:pPr>
            <w:r>
              <w:rPr>
                <w:rFonts w:ascii="Times New Roman" w:hAnsi="Times New Roman"/>
                <w:b/>
                <w:sz w:val="21"/>
              </w:rPr>
              <w:t>ROC</w:t>
            </w:r>
          </w:p>
        </w:tc>
        <w:tc>
          <w:tcPr>
            <w:tcW w:type="dxa" w:w="6336"/>
          </w:tcPr>
          <w:p>
            <w:pPr>
              <w:spacing w:before="20" w:after="20" w:line="240" w:lineRule="auto"/>
              <w:jc w:val="both"/>
            </w:pPr>
            <w:r>
              <w:rPr>
                <w:rFonts w:ascii="Times New Roman" w:hAnsi="Times New Roman"/>
                <w:sz w:val="21"/>
              </w:rPr>
              <w:t>Receiver Operating Characteristic</w:t>
            </w:r>
          </w:p>
        </w:tc>
      </w:tr>
      <w:tr>
        <w:tc>
          <w:tcPr>
            <w:tcW w:type="dxa" w:w="2592"/>
          </w:tcPr>
          <w:p>
            <w:pPr>
              <w:spacing w:before="20" w:after="20" w:line="240" w:lineRule="auto"/>
              <w:jc w:val="both"/>
            </w:pPr>
            <w:r>
              <w:rPr>
                <w:rFonts w:ascii="Times New Roman" w:hAnsi="Times New Roman"/>
                <w:b/>
                <w:sz w:val="21"/>
              </w:rPr>
              <w:t>SCADA</w:t>
            </w:r>
          </w:p>
        </w:tc>
        <w:tc>
          <w:tcPr>
            <w:tcW w:type="dxa" w:w="6336"/>
          </w:tcPr>
          <w:p>
            <w:pPr>
              <w:spacing w:before="20" w:after="20" w:line="240" w:lineRule="auto"/>
              <w:jc w:val="both"/>
            </w:pPr>
            <w:r>
              <w:rPr>
                <w:rFonts w:ascii="Times New Roman" w:hAnsi="Times New Roman"/>
                <w:sz w:val="21"/>
              </w:rPr>
              <w:t>Supervisory Control and Data Acquisition</w:t>
            </w:r>
          </w:p>
        </w:tc>
      </w:tr>
      <w:tr>
        <w:tc>
          <w:tcPr>
            <w:tcW w:type="dxa" w:w="2592"/>
          </w:tcPr>
          <w:p>
            <w:pPr>
              <w:spacing w:before="20" w:after="20" w:line="240" w:lineRule="auto"/>
              <w:jc w:val="both"/>
            </w:pPr>
            <w:r>
              <w:rPr>
                <w:rFonts w:ascii="Times New Roman" w:hAnsi="Times New Roman"/>
                <w:b/>
                <w:sz w:val="21"/>
              </w:rPr>
              <w:t>SIEM</w:t>
            </w:r>
          </w:p>
        </w:tc>
        <w:tc>
          <w:tcPr>
            <w:tcW w:type="dxa" w:w="6336"/>
          </w:tcPr>
          <w:p>
            <w:pPr>
              <w:spacing w:before="20" w:after="20" w:line="240" w:lineRule="auto"/>
              <w:jc w:val="both"/>
            </w:pPr>
            <w:r>
              <w:rPr>
                <w:rFonts w:ascii="Times New Roman" w:hAnsi="Times New Roman"/>
                <w:sz w:val="21"/>
              </w:rPr>
              <w:t>Security Information and Event Management</w:t>
            </w:r>
          </w:p>
        </w:tc>
      </w:tr>
      <w:tr>
        <w:tc>
          <w:tcPr>
            <w:tcW w:type="dxa" w:w="2592"/>
          </w:tcPr>
          <w:p>
            <w:pPr>
              <w:spacing w:before="20" w:after="20" w:line="240" w:lineRule="auto"/>
              <w:jc w:val="both"/>
            </w:pPr>
            <w:r>
              <w:rPr>
                <w:rFonts w:ascii="Times New Roman" w:hAnsi="Times New Roman"/>
                <w:b/>
                <w:sz w:val="21"/>
              </w:rPr>
              <w:t>SOC</w:t>
            </w:r>
          </w:p>
        </w:tc>
        <w:tc>
          <w:tcPr>
            <w:tcW w:type="dxa" w:w="6336"/>
          </w:tcPr>
          <w:p>
            <w:pPr>
              <w:spacing w:before="20" w:after="20" w:line="240" w:lineRule="auto"/>
              <w:jc w:val="both"/>
            </w:pPr>
            <w:r>
              <w:rPr>
                <w:rFonts w:ascii="Times New Roman" w:hAnsi="Times New Roman"/>
                <w:sz w:val="21"/>
              </w:rPr>
              <w:t>Security Operations Center</w:t>
            </w:r>
          </w:p>
        </w:tc>
      </w:tr>
      <w:tr>
        <w:tc>
          <w:tcPr>
            <w:tcW w:type="dxa" w:w="2592"/>
          </w:tcPr>
          <w:p>
            <w:pPr>
              <w:spacing w:before="20" w:after="20" w:line="240" w:lineRule="auto"/>
              <w:jc w:val="both"/>
            </w:pPr>
            <w:r>
              <w:rPr>
                <w:rFonts w:ascii="Times New Roman" w:hAnsi="Times New Roman"/>
                <w:b/>
                <w:sz w:val="21"/>
              </w:rPr>
              <w:t>SRS</w:t>
            </w:r>
          </w:p>
        </w:tc>
        <w:tc>
          <w:tcPr>
            <w:tcW w:type="dxa" w:w="6336"/>
          </w:tcPr>
          <w:p>
            <w:pPr>
              <w:spacing w:before="20" w:after="20" w:line="240" w:lineRule="auto"/>
              <w:jc w:val="both"/>
            </w:pPr>
            <w:r>
              <w:rPr>
                <w:rFonts w:ascii="Times New Roman" w:hAnsi="Times New Roman"/>
                <w:sz w:val="21"/>
              </w:rPr>
              <w:t>Software Requirements Specification</w:t>
            </w:r>
          </w:p>
        </w:tc>
      </w:tr>
      <w:tr>
        <w:tc>
          <w:tcPr>
            <w:tcW w:type="dxa" w:w="2592"/>
          </w:tcPr>
          <w:p>
            <w:pPr>
              <w:spacing w:before="20" w:after="20" w:line="240" w:lineRule="auto"/>
              <w:jc w:val="both"/>
            </w:pPr>
            <w:r>
              <w:rPr>
                <w:rFonts w:ascii="Times New Roman" w:hAnsi="Times New Roman"/>
                <w:b/>
                <w:sz w:val="21"/>
              </w:rPr>
              <w:t>SSH</w:t>
            </w:r>
          </w:p>
        </w:tc>
        <w:tc>
          <w:tcPr>
            <w:tcW w:type="dxa" w:w="6336"/>
          </w:tcPr>
          <w:p>
            <w:pPr>
              <w:spacing w:before="20" w:after="20" w:line="240" w:lineRule="auto"/>
              <w:jc w:val="both"/>
            </w:pPr>
            <w:r>
              <w:rPr>
                <w:rFonts w:ascii="Times New Roman" w:hAnsi="Times New Roman"/>
                <w:sz w:val="21"/>
              </w:rPr>
              <w:t>Secure Shell</w:t>
            </w:r>
          </w:p>
        </w:tc>
      </w:tr>
      <w:tr>
        <w:tc>
          <w:tcPr>
            <w:tcW w:type="dxa" w:w="2592"/>
          </w:tcPr>
          <w:p>
            <w:pPr>
              <w:spacing w:before="20" w:after="20" w:line="240" w:lineRule="auto"/>
              <w:jc w:val="both"/>
            </w:pPr>
            <w:r>
              <w:rPr>
                <w:rFonts w:ascii="Times New Roman" w:hAnsi="Times New Roman"/>
                <w:b/>
                <w:sz w:val="21"/>
              </w:rPr>
              <w:t>SVM</w:t>
            </w:r>
          </w:p>
        </w:tc>
        <w:tc>
          <w:tcPr>
            <w:tcW w:type="dxa" w:w="6336"/>
          </w:tcPr>
          <w:p>
            <w:pPr>
              <w:spacing w:before="20" w:after="20" w:line="240" w:lineRule="auto"/>
              <w:jc w:val="both"/>
            </w:pPr>
            <w:r>
              <w:rPr>
                <w:rFonts w:ascii="Times New Roman" w:hAnsi="Times New Roman"/>
                <w:sz w:val="21"/>
              </w:rPr>
              <w:t>Support Vector Machine</w:t>
            </w:r>
          </w:p>
        </w:tc>
      </w:tr>
      <w:tr>
        <w:tc>
          <w:tcPr>
            <w:tcW w:type="dxa" w:w="2592"/>
          </w:tcPr>
          <w:p>
            <w:pPr>
              <w:spacing w:before="20" w:after="20" w:line="240" w:lineRule="auto"/>
              <w:jc w:val="both"/>
            </w:pPr>
            <w:r>
              <w:rPr>
                <w:rFonts w:ascii="Times New Roman" w:hAnsi="Times New Roman"/>
                <w:b/>
                <w:sz w:val="21"/>
              </w:rPr>
              <w:t>TF-IDF</w:t>
            </w:r>
          </w:p>
        </w:tc>
        <w:tc>
          <w:tcPr>
            <w:tcW w:type="dxa" w:w="6336"/>
          </w:tcPr>
          <w:p>
            <w:pPr>
              <w:spacing w:before="20" w:after="20" w:line="240" w:lineRule="auto"/>
              <w:jc w:val="both"/>
            </w:pPr>
            <w:r>
              <w:rPr>
                <w:rFonts w:ascii="Times New Roman" w:hAnsi="Times New Roman"/>
                <w:sz w:val="21"/>
              </w:rPr>
              <w:t>Term Frequency-Inverse Document Frequency</w:t>
            </w:r>
          </w:p>
        </w:tc>
      </w:tr>
      <w:tr>
        <w:tc>
          <w:tcPr>
            <w:tcW w:type="dxa" w:w="2592"/>
          </w:tcPr>
          <w:p>
            <w:pPr>
              <w:spacing w:before="20" w:after="20" w:line="240" w:lineRule="auto"/>
              <w:jc w:val="both"/>
            </w:pPr>
            <w:r>
              <w:rPr>
                <w:rFonts w:ascii="Times New Roman" w:hAnsi="Times New Roman"/>
                <w:b/>
                <w:sz w:val="21"/>
              </w:rPr>
              <w:t>TPR</w:t>
            </w:r>
          </w:p>
        </w:tc>
        <w:tc>
          <w:tcPr>
            <w:tcW w:type="dxa" w:w="6336"/>
          </w:tcPr>
          <w:p>
            <w:pPr>
              <w:spacing w:before="20" w:after="20" w:line="240" w:lineRule="auto"/>
              <w:jc w:val="both"/>
            </w:pPr>
            <w:r>
              <w:rPr>
                <w:rFonts w:ascii="Times New Roman" w:hAnsi="Times New Roman"/>
                <w:sz w:val="21"/>
              </w:rPr>
              <w:t>True Positive Rate</w:t>
            </w:r>
          </w:p>
        </w:tc>
      </w:tr>
      <w:tr>
        <w:tc>
          <w:tcPr>
            <w:tcW w:type="dxa" w:w="2592"/>
          </w:tcPr>
          <w:p>
            <w:pPr>
              <w:spacing w:before="20" w:after="20" w:line="240" w:lineRule="auto"/>
              <w:jc w:val="both"/>
            </w:pPr>
            <w:r>
              <w:rPr>
                <w:rFonts w:ascii="Times New Roman" w:hAnsi="Times New Roman"/>
                <w:b/>
                <w:sz w:val="21"/>
              </w:rPr>
              <w:t>UI</w:t>
            </w:r>
          </w:p>
        </w:tc>
        <w:tc>
          <w:tcPr>
            <w:tcW w:type="dxa" w:w="6336"/>
          </w:tcPr>
          <w:p>
            <w:pPr>
              <w:spacing w:before="20" w:after="20" w:line="240" w:lineRule="auto"/>
              <w:jc w:val="both"/>
            </w:pPr>
            <w:r>
              <w:rPr>
                <w:rFonts w:ascii="Times New Roman" w:hAnsi="Times New Roman"/>
                <w:sz w:val="21"/>
              </w:rPr>
              <w:t>User Interface</w:t>
            </w:r>
          </w:p>
        </w:tc>
      </w:tr>
      <w:tr>
        <w:tc>
          <w:tcPr>
            <w:tcW w:type="dxa" w:w="2592"/>
          </w:tcPr>
          <w:p>
            <w:pPr>
              <w:spacing w:before="20" w:after="20" w:line="240" w:lineRule="auto"/>
              <w:jc w:val="both"/>
            </w:pPr>
            <w:r>
              <w:rPr>
                <w:rFonts w:ascii="Times New Roman" w:hAnsi="Times New Roman"/>
                <w:b/>
                <w:sz w:val="21"/>
              </w:rPr>
              <w:t>URI</w:t>
            </w:r>
          </w:p>
        </w:tc>
        <w:tc>
          <w:tcPr>
            <w:tcW w:type="dxa" w:w="6336"/>
          </w:tcPr>
          <w:p>
            <w:pPr>
              <w:spacing w:before="20" w:after="20" w:line="240" w:lineRule="auto"/>
              <w:jc w:val="both"/>
            </w:pPr>
            <w:r>
              <w:rPr>
                <w:rFonts w:ascii="Times New Roman" w:hAnsi="Times New Roman"/>
                <w:sz w:val="21"/>
              </w:rPr>
              <w:t>Uniform Resource Identifier</w:t>
            </w:r>
          </w:p>
        </w:tc>
      </w:tr>
      <w:tr>
        <w:tc>
          <w:tcPr>
            <w:tcW w:type="dxa" w:w="2592"/>
          </w:tcPr>
          <w:p>
            <w:pPr>
              <w:spacing w:before="20" w:after="20" w:line="240" w:lineRule="auto"/>
              <w:jc w:val="both"/>
            </w:pPr>
            <w:r>
              <w:rPr>
                <w:rFonts w:ascii="Times New Roman" w:hAnsi="Times New Roman"/>
                <w:b/>
                <w:sz w:val="21"/>
              </w:rPr>
              <w:t>USN</w:t>
            </w:r>
          </w:p>
        </w:tc>
        <w:tc>
          <w:tcPr>
            <w:tcW w:type="dxa" w:w="6336"/>
          </w:tcPr>
          <w:p>
            <w:pPr>
              <w:spacing w:before="20" w:after="20" w:line="240" w:lineRule="auto"/>
              <w:jc w:val="both"/>
            </w:pPr>
            <w:r>
              <w:rPr>
                <w:rFonts w:ascii="Times New Roman" w:hAnsi="Times New Roman"/>
                <w:sz w:val="21"/>
              </w:rPr>
              <w:t>University Seat Number</w:t>
            </w:r>
          </w:p>
        </w:tc>
      </w:tr>
      <w:tr>
        <w:tc>
          <w:tcPr>
            <w:tcW w:type="dxa" w:w="2592"/>
          </w:tcPr>
          <w:p>
            <w:pPr>
              <w:spacing w:before="20" w:after="20" w:line="240" w:lineRule="auto"/>
              <w:jc w:val="both"/>
            </w:pPr>
            <w:r>
              <w:rPr>
                <w:rFonts w:ascii="Times New Roman" w:hAnsi="Times New Roman"/>
                <w:b/>
                <w:sz w:val="21"/>
              </w:rPr>
              <w:t>VTU</w:t>
            </w:r>
          </w:p>
        </w:tc>
        <w:tc>
          <w:tcPr>
            <w:tcW w:type="dxa" w:w="6336"/>
          </w:tcPr>
          <w:p>
            <w:pPr>
              <w:spacing w:before="20" w:after="20" w:line="240" w:lineRule="auto"/>
              <w:jc w:val="both"/>
            </w:pPr>
            <w:r>
              <w:rPr>
                <w:rFonts w:ascii="Times New Roman" w:hAnsi="Times New Roman"/>
                <w:sz w:val="21"/>
              </w:rPr>
              <w:t>Visvesvaraya Technological University</w:t>
            </w:r>
          </w:p>
        </w:tc>
      </w:tr>
      <w:tr>
        <w:tc>
          <w:tcPr>
            <w:tcW w:type="dxa" w:w="2592"/>
          </w:tcPr>
          <w:p>
            <w:pPr>
              <w:spacing w:before="20" w:after="20" w:line="240" w:lineRule="auto"/>
              <w:jc w:val="both"/>
            </w:pPr>
            <w:r>
              <w:rPr>
                <w:rFonts w:ascii="Times New Roman" w:hAnsi="Times New Roman"/>
                <w:b/>
                <w:sz w:val="21"/>
              </w:rPr>
              <w:t>WS</w:t>
            </w:r>
          </w:p>
        </w:tc>
        <w:tc>
          <w:tcPr>
            <w:tcW w:type="dxa" w:w="6336"/>
          </w:tcPr>
          <w:p>
            <w:pPr>
              <w:spacing w:before="20" w:after="20" w:line="240" w:lineRule="auto"/>
              <w:jc w:val="both"/>
            </w:pPr>
            <w:r>
              <w:rPr>
                <w:rFonts w:ascii="Times New Roman" w:hAnsi="Times New Roman"/>
                <w:sz w:val="21"/>
              </w:rPr>
              <w:t>WebSocket</w:t>
            </w:r>
          </w:p>
        </w:tc>
      </w:tr>
    </w:tbl>
    <w:p>
      <w:r>
        <w:br w:type="page"/>
      </w:r>
    </w:p>
    <w:p>
      <w:pPr>
        <w:spacing w:before="360" w:after="240" w:line="276" w:lineRule="auto"/>
        <w:jc w:val="center"/>
      </w:pPr>
      <w:r>
        <w:rPr>
          <w:rFonts w:ascii="Times New Roman" w:hAnsi="Times New Roman"/>
          <w:b/>
          <w:color w:val="003366"/>
          <w:sz w:val="28"/>
        </w:rPr>
        <w:t>CHAPTER 1</w:t>
        <w:br/>
        <w:t>INTRODUCTION</w:t>
      </w:r>
    </w:p>
    <w:p>
      <w:pPr>
        <w:spacing w:before="240" w:after="120" w:line="276" w:lineRule="auto"/>
        <w:jc w:val="left"/>
      </w:pPr>
      <w:r>
        <w:rPr>
          <w:rFonts w:ascii="Times New Roman" w:hAnsi="Times New Roman"/>
          <w:b/>
          <w:color w:val="003366"/>
          <w:sz w:val="24"/>
        </w:rPr>
        <w:t>1.1 Background</w:t>
      </w:r>
    </w:p>
    <w:p>
      <w:pPr>
        <w:spacing w:before="0" w:after="120" w:line="360" w:lineRule="auto"/>
        <w:jc w:val="both"/>
      </w:pPr>
      <w:r>
        <w:rPr>
          <w:rFonts w:ascii="Times New Roman" w:hAnsi="Times New Roman"/>
          <w:i w:val="0"/>
          <w:sz w:val="24"/>
        </w:rPr>
        <w:t>Over the past decade, the rapid digitization of critical infrastructure, commercial enterprises, and government services has dramatically expanded the global attack surface. Contemporary threat actors, ranging from automated botnets to sophisticated Advanced Persistent Threat (APT) syndicates, execute multi-stage, evasive intrusion campaigns that routinely bypass traditional perimeter defenses. Conventional defense architectures—such as stateless firewalls, Next-Generation Firewalls (NGFWs), and signature-based Intrusion Detection Systems (IDS)—rely almost exclusively on known indicator-of-compromise (IOC) signatures, static byte patterns, and fixed IP reputation databases. When confronted with living-off-the-land (LotL) tactics, polymorphic payloads, and novel zero-day exploits, these passive mechanisms suffer from high false-negative rates and overwhelming alert fatigue in Security Operations Centers (SOCs).</w:t>
      </w:r>
    </w:p>
    <w:p>
      <w:pPr>
        <w:spacing w:before="0" w:after="120" w:line="360" w:lineRule="auto"/>
        <w:jc w:val="both"/>
      </w:pPr>
      <w:r>
        <w:rPr>
          <w:rFonts w:ascii="Times New Roman" w:hAnsi="Times New Roman"/>
          <w:i w:val="0"/>
          <w:sz w:val="24"/>
        </w:rPr>
        <w:t>Cyber deception represents a transformative, proactive paradigm shift in computer network defense. Rather than merely preventing or reacting to attacks at the network boundary, cyber deception deliberately introduces controlled, synthetic decoy services, decoy credentials (honeytokens), and instrumented emulation environments—collectively termed honeypots—into the organizational topography. When an adversary penetrates the boundary, any interaction with a deception asset is an immediate, high-fidelity indicator of malicious unauthorized reconnaissance or lateral traversal, as legitimate business workloads have no operational reason to interact with decoy resources.</w:t>
      </w:r>
    </w:p>
    <w:p>
      <w:pPr>
        <w:spacing w:before="240" w:after="120" w:line="276" w:lineRule="auto"/>
        <w:jc w:val="left"/>
      </w:pPr>
      <w:r>
        <w:rPr>
          <w:rFonts w:ascii="Times New Roman" w:hAnsi="Times New Roman"/>
          <w:b/>
          <w:color w:val="003366"/>
          <w:sz w:val="24"/>
        </w:rPr>
        <w:t>1.2 Motivation and Problem Statement</w:t>
      </w:r>
    </w:p>
    <w:p>
      <w:pPr>
        <w:spacing w:before="0" w:after="120" w:line="360" w:lineRule="auto"/>
        <w:jc w:val="both"/>
      </w:pPr>
      <w:r>
        <w:rPr>
          <w:rFonts w:ascii="Times New Roman" w:hAnsi="Times New Roman"/>
          <w:i w:val="0"/>
          <w:sz w:val="24"/>
        </w:rPr>
        <w:t>While traditional honeypots (such as low-interaction SSH daemons) successfully capture network-level connection data, they exhibit several fundamental limitations in enterprise cybersecurity operations:</w:t>
      </w:r>
    </w:p>
    <w:p>
      <w:pPr>
        <w:pStyle w:val="ListBullet"/>
        <w:spacing w:before="40" w:after="80" w:line="300" w:lineRule="auto"/>
        <w:jc w:val="both"/>
      </w:pPr>
      <w:r>
        <w:rPr>
          <w:rFonts w:ascii="Times New Roman" w:hAnsi="Times New Roman"/>
          <w:b/>
          <w:sz w:val="24"/>
        </w:rPr>
        <w:t xml:space="preserve">Passive Log Silos: </w:t>
      </w:r>
      <w:r>
        <w:rPr>
          <w:rFonts w:ascii="Times New Roman" w:hAnsi="Times New Roman"/>
          <w:sz w:val="24"/>
        </w:rPr>
        <w:t>Conventional honeypots store raw terminal keystrokes and session connection dumps in unstructured text files (e.g., cowrie.json). These logs accumulate rapidly, requiring manual offline forensics by human analysts, which delays containment by hours or days.</w:t>
      </w:r>
    </w:p>
    <w:p>
      <w:pPr>
        <w:pStyle w:val="ListBullet"/>
        <w:spacing w:before="40" w:after="80" w:line="300" w:lineRule="auto"/>
        <w:jc w:val="both"/>
      </w:pPr>
      <w:r>
        <w:rPr>
          <w:rFonts w:ascii="Times New Roman" w:hAnsi="Times New Roman"/>
          <w:b/>
          <w:sz w:val="24"/>
        </w:rPr>
        <w:t xml:space="preserve">Lack of Tactical Intent Interpretation: </w:t>
      </w:r>
      <w:r>
        <w:rPr>
          <w:rFonts w:ascii="Times New Roman" w:hAnsi="Times New Roman"/>
          <w:sz w:val="24"/>
        </w:rPr>
        <w:t>Raw shell commands (e.g., 'uname -a', 'wget http://.../malware.sh', 'chmod +x') provide low-level artifacts but fail to automatically attribute the underlying adversarial objective—such as System Information Discovery, Ingress Tool Transfer, or Privilege Escalation—within recognized security frameworks like MITRE ATT&amp;CK.</w:t>
      </w:r>
    </w:p>
    <w:p>
      <w:pPr>
        <w:pStyle w:val="ListBullet"/>
        <w:spacing w:before="40" w:after="80" w:line="300" w:lineRule="auto"/>
        <w:jc w:val="both"/>
      </w:pPr>
      <w:r>
        <w:rPr>
          <w:rFonts w:ascii="Times New Roman" w:hAnsi="Times New Roman"/>
          <w:b/>
          <w:sz w:val="24"/>
        </w:rPr>
        <w:t xml:space="preserve">Absence of Dynamic Behavioral Modeling: </w:t>
      </w:r>
      <w:r>
        <w:rPr>
          <w:rFonts w:ascii="Times New Roman" w:hAnsi="Times New Roman"/>
          <w:sz w:val="24"/>
        </w:rPr>
        <w:t>Attack campaigns are inherently chronological sequences of inter-dependent actions. Existing deception frameworks evaluate each command in isolation, ignoring temporal velocity, credential spraying frequency, and multi-step state transitions.</w:t>
      </w:r>
    </w:p>
    <w:p>
      <w:pPr>
        <w:pStyle w:val="ListBullet"/>
        <w:spacing w:before="40" w:after="80" w:line="300" w:lineRule="auto"/>
        <w:jc w:val="both"/>
      </w:pPr>
      <w:r>
        <w:rPr>
          <w:rFonts w:ascii="Times New Roman" w:hAnsi="Times New Roman"/>
          <w:b/>
          <w:sz w:val="24"/>
        </w:rPr>
        <w:t xml:space="preserve">Static and Unrealistic Emulation: </w:t>
      </w:r>
      <w:r>
        <w:rPr>
          <w:rFonts w:ascii="Times New Roman" w:hAnsi="Times New Roman"/>
          <w:sz w:val="24"/>
        </w:rPr>
        <w:t>When an attacker encounters identical static mock responses or instant disconnection, they readily identify the honeypot fingerprint and terminate the session. Without intelligent adaptive responses, the intelligence gathering window remains severely truncated.</w:t>
      </w:r>
    </w:p>
    <w:p>
      <w:pPr>
        <w:spacing w:before="0" w:after="120" w:line="360" w:lineRule="auto"/>
        <w:jc w:val="both"/>
      </w:pPr>
      <w:r>
        <w:rPr>
          <w:rFonts w:ascii="Times New Roman" w:hAnsi="Times New Roman"/>
          <w:i w:val="0"/>
          <w:sz w:val="24"/>
        </w:rPr>
        <w:t>Therefore, there is an urgent need for an automated, intent-aware deception architecture that continuously ingests raw honeypot telemetry in real time, normalizes unstructured session streams, applies machine learning to classify tactical intent and MITRE attack stages, evaluates zero-day behavioral anomalies, computes explainable risk scores, and visualizes comprehensive threat actor profiles on an interactive console.</w:t>
      </w:r>
    </w:p>
    <w:p>
      <w:pPr>
        <w:spacing w:before="240" w:after="120" w:line="276" w:lineRule="auto"/>
        <w:jc w:val="left"/>
      </w:pPr>
      <w:r>
        <w:rPr>
          <w:rFonts w:ascii="Times New Roman" w:hAnsi="Times New Roman"/>
          <w:b/>
          <w:color w:val="003366"/>
          <w:sz w:val="24"/>
        </w:rPr>
        <w:t>1.3 Objectives of the Project</w:t>
      </w:r>
    </w:p>
    <w:p>
      <w:pPr>
        <w:spacing w:before="0" w:after="120" w:line="360" w:lineRule="auto"/>
        <w:jc w:val="both"/>
      </w:pPr>
      <w:r>
        <w:rPr>
          <w:rFonts w:ascii="Times New Roman" w:hAnsi="Times New Roman"/>
          <w:i w:val="0"/>
          <w:sz w:val="24"/>
        </w:rPr>
        <w:t>The primary objective of this project is to research, design, and implement INT-AWARE: an Intent-Aware Deception System for Real-Time Attacker Profiling. The specific technical objectives are as follows:</w:t>
      </w:r>
    </w:p>
    <w:p>
      <w:pPr>
        <w:pStyle w:val="ListBullet"/>
        <w:spacing w:before="40" w:after="80" w:line="300" w:lineRule="auto"/>
        <w:jc w:val="both"/>
      </w:pPr>
      <w:r>
        <w:rPr>
          <w:rFonts w:ascii="Times New Roman" w:hAnsi="Times New Roman"/>
          <w:b/>
          <w:sz w:val="24"/>
        </w:rPr>
        <w:t xml:space="preserve">Real-Time Telemetry Ingestion: </w:t>
      </w:r>
      <w:r>
        <w:rPr>
          <w:rFonts w:ascii="Times New Roman" w:hAnsi="Times New Roman"/>
          <w:sz w:val="24"/>
        </w:rPr>
        <w:t>Develop an asynchronous, non-blocking log tailing engine capable of ingesting raw Cowrie honeypot events from JSON streaming logs without blocking or buffering overhead.</w:t>
      </w:r>
    </w:p>
    <w:p>
      <w:pPr>
        <w:pStyle w:val="ListBullet"/>
        <w:spacing w:before="40" w:after="80" w:line="300" w:lineRule="auto"/>
        <w:jc w:val="both"/>
      </w:pPr>
      <w:r>
        <w:rPr>
          <w:rFonts w:ascii="Times New Roman" w:hAnsi="Times New Roman"/>
          <w:b/>
          <w:sz w:val="24"/>
        </w:rPr>
        <w:t xml:space="preserve">Event Normalization and Deduplication: </w:t>
      </w:r>
      <w:r>
        <w:rPr>
          <w:rFonts w:ascii="Times New Roman" w:hAnsi="Times New Roman"/>
          <w:sz w:val="24"/>
        </w:rPr>
        <w:t>Standardize disparate SSH/Telnet events into a unified, sanitized schema with SHA-256 deterministic ID hashing, secret redaction, and strict boundary validation.</w:t>
      </w:r>
    </w:p>
    <w:p>
      <w:pPr>
        <w:pStyle w:val="ListBullet"/>
        <w:spacing w:before="40" w:after="80" w:line="300" w:lineRule="auto"/>
        <w:jc w:val="both"/>
      </w:pPr>
      <w:r>
        <w:rPr>
          <w:rFonts w:ascii="Times New Roman" w:hAnsi="Times New Roman"/>
          <w:b/>
          <w:sz w:val="24"/>
        </w:rPr>
        <w:t xml:space="preserve">Multi-Tiered Hybrid Intent Classification: </w:t>
      </w:r>
      <w:r>
        <w:rPr>
          <w:rFonts w:ascii="Times New Roman" w:hAnsi="Times New Roman"/>
          <w:sz w:val="24"/>
        </w:rPr>
        <w:t>Architect a high-performance hybrid classification engine combining deterministic regex rule heuristics, a Calibrated Linear Support Vector Machine (LinearSVC with Platt scaling) achieving optimal accuracy across 10 canonical MITRE intent classes, and optional LLM fallback for ambiguous payloads.</w:t>
      </w:r>
    </w:p>
    <w:p>
      <w:pPr>
        <w:pStyle w:val="ListBullet"/>
        <w:spacing w:before="40" w:after="80" w:line="300" w:lineRule="auto"/>
        <w:jc w:val="both"/>
      </w:pPr>
      <w:r>
        <w:rPr>
          <w:rFonts w:ascii="Times New Roman" w:hAnsi="Times New Roman"/>
          <w:b/>
          <w:sz w:val="24"/>
        </w:rPr>
        <w:t xml:space="preserve">Unsupervised Behavioral Anomaly Detection: </w:t>
      </w:r>
      <w:r>
        <w:rPr>
          <w:rFonts w:ascii="Times New Roman" w:hAnsi="Times New Roman"/>
          <w:sz w:val="24"/>
        </w:rPr>
        <w:t>Implement an Isolation Forest model with 300 estimators, trained on dense structural command features and calibrated to a strict decision threshold (-0.4906) to identify out-of-distribution commands with 0.00% false alarms on benign commands.</w:t>
      </w:r>
    </w:p>
    <w:p>
      <w:pPr>
        <w:pStyle w:val="ListBullet"/>
        <w:spacing w:before="40" w:after="80" w:line="300" w:lineRule="auto"/>
        <w:jc w:val="both"/>
      </w:pPr>
      <w:r>
        <w:rPr>
          <w:rFonts w:ascii="Times New Roman" w:hAnsi="Times New Roman"/>
          <w:b/>
          <w:sz w:val="24"/>
        </w:rPr>
        <w:t xml:space="preserve">Intrusion-Stage &amp; Risk Scoring Engines: </w:t>
      </w:r>
      <w:r>
        <w:rPr>
          <w:rFonts w:ascii="Times New Roman" w:hAnsi="Times New Roman"/>
          <w:sz w:val="24"/>
        </w:rPr>
        <w:t>Incorporate a Random Forest model for multi-class attack stage classification and a HistGradientBoosting Regressor for explainable risk calculation (0-100 scale) integrated with heuristic privilege multipliers.</w:t>
      </w:r>
    </w:p>
    <w:p>
      <w:pPr>
        <w:pStyle w:val="ListBullet"/>
        <w:spacing w:before="40" w:after="80" w:line="300" w:lineRule="auto"/>
        <w:jc w:val="both"/>
      </w:pPr>
      <w:r>
        <w:rPr>
          <w:rFonts w:ascii="Times New Roman" w:hAnsi="Times New Roman"/>
          <w:b/>
          <w:sz w:val="24"/>
        </w:rPr>
        <w:t xml:space="preserve">Markov Sequence Transition Modeling: </w:t>
      </w:r>
      <w:r>
        <w:rPr>
          <w:rFonts w:ascii="Times New Roman" w:hAnsi="Times New Roman"/>
          <w:sz w:val="24"/>
        </w:rPr>
        <w:t>Construct an empirical first-order Markov transition likelihood engine to model chronological intent progression P(Intent_t | Intent_{t-1}) and project probable next attacker actions.</w:t>
      </w:r>
    </w:p>
    <w:p>
      <w:pPr>
        <w:pStyle w:val="ListBullet"/>
        <w:spacing w:before="40" w:after="80" w:line="300" w:lineRule="auto"/>
        <w:jc w:val="both"/>
      </w:pPr>
      <w:r>
        <w:rPr>
          <w:rFonts w:ascii="Times New Roman" w:hAnsi="Times New Roman"/>
          <w:b/>
          <w:sz w:val="24"/>
        </w:rPr>
        <w:t xml:space="preserve">Reactive Web Operator Dashboard: </w:t>
      </w:r>
      <w:r>
        <w:rPr>
          <w:rFonts w:ascii="Times New Roman" w:hAnsi="Times New Roman"/>
          <w:sz w:val="24"/>
        </w:rPr>
        <w:t>Build a modern React 18 + Tailwind CSS single-page console communicating over sub-50ms WebSockets to provide SOC analysts with live session monitoring, attacker threat profiles, and interactive analytics.</w:t>
      </w:r>
    </w:p>
    <w:p>
      <w:pPr>
        <w:spacing w:before="240" w:after="120" w:line="276" w:lineRule="auto"/>
        <w:jc w:val="left"/>
      </w:pPr>
      <w:r>
        <w:rPr>
          <w:rFonts w:ascii="Times New Roman" w:hAnsi="Times New Roman"/>
          <w:b/>
          <w:color w:val="003366"/>
          <w:sz w:val="24"/>
        </w:rPr>
        <w:t>1.4 Scope and Limitations</w:t>
      </w:r>
    </w:p>
    <w:p>
      <w:pPr>
        <w:spacing w:before="0" w:after="120" w:line="360" w:lineRule="auto"/>
        <w:jc w:val="both"/>
      </w:pPr>
      <w:r>
        <w:rPr>
          <w:rFonts w:ascii="Times New Roman" w:hAnsi="Times New Roman"/>
          <w:i w:val="0"/>
          <w:sz w:val="24"/>
        </w:rPr>
        <w:t>Scope: INT-AWARE focuses on interactive network services commonly targeted by adversaries—specifically SSH and Telnet command-line sessions emulated via the industry-standard Cowrie honeypot platform. The machine learning pipeline is optimized for shell command syntax, execution patterns, and structural command metadata. The system provides immediate operational utility for enterprise perimeter DMZs, cloud VPCs, and specialized academic/industrial laboratory environments.</w:t>
      </w:r>
    </w:p>
    <w:p>
      <w:pPr>
        <w:spacing w:before="0" w:after="120" w:line="360" w:lineRule="auto"/>
        <w:jc w:val="both"/>
      </w:pPr>
      <w:r>
        <w:rPr>
          <w:rFonts w:ascii="Times New Roman" w:hAnsi="Times New Roman"/>
          <w:i w:val="0"/>
          <w:sz w:val="24"/>
        </w:rPr>
        <w:t>Limitations: The system does not analyze raw kernel memory dumps or encrypted binary payloads executed in sandboxed hypervisors. Deep packet inspection (DPI) of full TLS payload sessions prior to honeypot termination is beyond the scope of this work. External LLM fallback inference is subject to provider rate limits and network latency if enabled, though the local ML and deterministic rule paths operate entirely offline and autonomously.</w:t>
      </w:r>
    </w:p>
    <w:p>
      <w:pPr>
        <w:spacing w:before="240" w:after="120" w:line="276" w:lineRule="auto"/>
        <w:jc w:val="left"/>
      </w:pPr>
      <w:r>
        <w:rPr>
          <w:rFonts w:ascii="Times New Roman" w:hAnsi="Times New Roman"/>
          <w:b/>
          <w:color w:val="003366"/>
          <w:sz w:val="24"/>
        </w:rPr>
        <w:t>1.5 Relevance and Project Type</w:t>
      </w:r>
    </w:p>
    <w:p>
      <w:pPr>
        <w:spacing w:before="0" w:after="120" w:line="360" w:lineRule="auto"/>
        <w:jc w:val="both"/>
      </w:pPr>
      <w:r>
        <w:rPr>
          <w:rFonts w:ascii="Times New Roman" w:hAnsi="Times New Roman"/>
          <w:i w:val="0"/>
          <w:sz w:val="24"/>
        </w:rPr>
        <w:t>Project Type: System Implementation, Applied Machine Learning, and Cybersecurity Threat Intelligence.</w:t>
      </w:r>
    </w:p>
    <w:p>
      <w:pPr>
        <w:spacing w:before="0" w:after="120" w:line="360" w:lineRule="auto"/>
        <w:jc w:val="both"/>
      </w:pPr>
      <w:r>
        <w:rPr>
          <w:rFonts w:ascii="Times New Roman" w:hAnsi="Times New Roman"/>
          <w:i w:val="0"/>
          <w:sz w:val="24"/>
        </w:rPr>
        <w:t>Institutional Relevance: As organizations transition toward Zero Trust Network Architectures (ZTNA) and active cyber defense frameworks, the development of intelligent deception mechanisms directly aligns with cutting-edge academic curricula and industrial cybersecurity priorities in the Department of Information Science and Engineering at Canara Engineering College under VTU.</w:t>
      </w:r>
    </w:p>
    <w:p>
      <w:pPr>
        <w:spacing w:before="240" w:after="120" w:line="276" w:lineRule="auto"/>
        <w:jc w:val="left"/>
      </w:pPr>
      <w:r>
        <w:rPr>
          <w:rFonts w:ascii="Times New Roman" w:hAnsi="Times New Roman"/>
          <w:b/>
          <w:color w:val="003366"/>
          <w:sz w:val="24"/>
        </w:rPr>
        <w:t>1.6 Organization of the Report</w:t>
      </w:r>
    </w:p>
    <w:p>
      <w:pPr>
        <w:spacing w:before="0" w:after="120" w:line="360" w:lineRule="auto"/>
        <w:jc w:val="both"/>
      </w:pPr>
      <w:r>
        <w:rPr>
          <w:rFonts w:ascii="Times New Roman" w:hAnsi="Times New Roman"/>
          <w:i w:val="0"/>
          <w:sz w:val="24"/>
        </w:rPr>
        <w:t>The remainder of this report is organized as follows: Chapter 2 conducts an in-depth Literature Survey of 20 foundational research papers in cyber deception, intrusion detection, and machine learning, establishing a comparative matrix and gap analysis. Chapter 3 details the Software Requirements Specification (SRS), enumerating functional and non-functional requirements. Chapter 4 elaborates on the System Design, illustrating architectural blueprints, DFDs, sequence diagrams, and use cases. Chapter 5 documents the Implementation, highlighting algorithms, code organization, pseudocodes, and user interface layouts. Chapter 6 analyzes the Experimental Results, actual terminal execution proofs, model-by-model ROC/confusion matrix plots, latency benchmarks, and 166 passing test verification cases. Chapter 7 concludes the report and discusses Future Work.</w:t>
      </w:r>
    </w:p>
    <w:p>
      <w:r>
        <w:br w:type="page"/>
      </w:r>
    </w:p>
    <w:p>
      <w:pPr>
        <w:spacing w:before="360" w:after="240" w:line="276" w:lineRule="auto"/>
        <w:jc w:val="center"/>
      </w:pPr>
      <w:r>
        <w:rPr>
          <w:rFonts w:ascii="Times New Roman" w:hAnsi="Times New Roman"/>
          <w:b/>
          <w:color w:val="003366"/>
          <w:sz w:val="28"/>
        </w:rPr>
        <w:t>CHAPTER 2</w:t>
        <w:br/>
        <w:t>LITERATURE SURVEY</w:t>
      </w:r>
    </w:p>
    <w:p>
      <w:pPr>
        <w:spacing w:before="240" w:after="120" w:line="276" w:lineRule="auto"/>
        <w:jc w:val="left"/>
      </w:pPr>
      <w:r>
        <w:rPr>
          <w:rFonts w:ascii="Times New Roman" w:hAnsi="Times New Roman"/>
          <w:b/>
          <w:color w:val="003366"/>
          <w:sz w:val="24"/>
        </w:rPr>
        <w:t>2.1 Survey of Existing Systems</w:t>
      </w:r>
    </w:p>
    <w:p>
      <w:pPr>
        <w:spacing w:before="0" w:after="120" w:line="360" w:lineRule="auto"/>
        <w:jc w:val="both"/>
      </w:pPr>
      <w:r>
        <w:rPr>
          <w:rFonts w:ascii="Times New Roman" w:hAnsi="Times New Roman"/>
          <w:i w:val="0"/>
          <w:sz w:val="24"/>
        </w:rPr>
        <w:t>To establish a rigorous theoretical and empirical foundation for INT-AWARE, a thorough review of prominent literature spanning cyber deception, honeypot telemetry analytics, machine learning intrusion detection, and sequential threat profiling was conducted. Below, 20 foundational peer-reviewed studies and authoritative frameworks are reviewed systematically under three standardized criteria: Brief Findings, Design/Methodology/Techniques Adopted, and Results Achieved.</w:t>
      </w:r>
    </w:p>
    <w:p>
      <w:pPr>
        <w:spacing w:before="160" w:after="80" w:line="276" w:lineRule="auto"/>
        <w:jc w:val="left"/>
      </w:pPr>
      <w:r>
        <w:rPr>
          <w:rFonts w:ascii="Times New Roman" w:hAnsi="Times New Roman"/>
          <w:b/>
          <w:i/>
          <w:color w:val="333333"/>
          <w:sz w:val="24"/>
        </w:rPr>
        <w:t>Lance Spitzner (2003) — “Honeypots: Tracking Hackers”</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Foundational work establishing the concept, taxonomy, and operational value of honeypots in network security.</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Categorized honeypots into low-interaction (emulating network ports and banners) and high-interaction (full operating systems). Emphasized that any traffic directed to a honeypot is inherently suspicious.</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Demonstrated that honeypots reduce false positive alarms to near zero compared to traditional NIDS, but highlighted the risk of honeypots being hijacked or fingerprinted by skilled adversaries.</w:t>
      </w:r>
    </w:p>
    <w:p>
      <w:pPr>
        <w:spacing w:before="160" w:after="80" w:line="276" w:lineRule="auto"/>
        <w:jc w:val="left"/>
      </w:pPr>
      <w:r>
        <w:rPr>
          <w:rFonts w:ascii="Times New Roman" w:hAnsi="Times New Roman"/>
          <w:b/>
          <w:i/>
          <w:color w:val="333333"/>
          <w:sz w:val="24"/>
        </w:rPr>
        <w:t>Niels Provos (2004) — “A Virtual Honeypot Framework (Honeyd)”</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Pioneered daemon-level network virtualization to simulate thousands of dormant IP addresses simultaneously.</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Developed Honeyd using TCP/IP stack personality emulation, capturing ICMP, TCP, and UDP connection attempts across arbitrary network topologies.</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Successfully deceived automated scanning worms (e.g., Code Red, Blaster) with minimal CPU and memory overhead, though application-layer interactive depth was strictly limited.</w:t>
      </w:r>
    </w:p>
    <w:p>
      <w:pPr>
        <w:spacing w:before="160" w:after="80" w:line="276" w:lineRule="auto"/>
        <w:jc w:val="left"/>
      </w:pPr>
      <w:r>
        <w:rPr>
          <w:rFonts w:ascii="Times New Roman" w:hAnsi="Times New Roman"/>
          <w:b/>
          <w:i/>
          <w:color w:val="333333"/>
          <w:sz w:val="24"/>
        </w:rPr>
        <w:t>Angela Orebaugh et al. (2007) — “Cowrie and SSH Deception Traps in Enterprise Security”</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Analyzed early medium-interaction SSH decoys (Kippo and Cowrie precursors) for brute-force credential capture.</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Employed Python-based twisted framework to mimic Linux Debian terminal environments, logging passwords, keystrokes, and downloaded URLs.</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Demonstrated high effectiveness in trapping automated SSH credential stuffers; however, identified that lack of automated log normalization created massive analyst bottlenecks.</w:t>
      </w:r>
    </w:p>
    <w:p>
      <w:pPr>
        <w:spacing w:before="160" w:after="80" w:line="276" w:lineRule="auto"/>
        <w:jc w:val="left"/>
      </w:pPr>
      <w:r>
        <w:rPr>
          <w:rFonts w:ascii="Times New Roman" w:hAnsi="Times New Roman"/>
          <w:b/>
          <w:i/>
          <w:color w:val="333333"/>
          <w:sz w:val="24"/>
        </w:rPr>
        <w:t>Al-Mohannadi et al. (2016) — “Cyber Deception Frameworks: A Survey of Defense Strategies”</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Evaluated the tactical advantages of dynamic deception across enterprise networks.</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Surveyed honeytokens, decoy network services, and active tarpits, comparing defensive utility against reconnaissance-phase attackers.</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Concluded that static deception assets lose effectiveness over time as attackers map anomalies, necessitating intelligent, adaptive response generation.</w:t>
      </w:r>
    </w:p>
    <w:p>
      <w:pPr>
        <w:spacing w:before="160" w:after="80" w:line="276" w:lineRule="auto"/>
        <w:jc w:val="left"/>
      </w:pPr>
      <w:r>
        <w:rPr>
          <w:rFonts w:ascii="Times New Roman" w:hAnsi="Times New Roman"/>
          <w:b/>
          <w:i/>
          <w:color w:val="333333"/>
          <w:sz w:val="24"/>
        </w:rPr>
        <w:t>Robin Sommer and Vern Paxson (2010) — “Outside the Closed World: On Using Machine Learning for Network Intrusion Detection”</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Landmark paper identifying the fundamental pitfalls of applying supervised machine learning to raw network security data.</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Critiqued closed-world assumptions, highlighting high false alarm rates, concept drift, and semantic gaps between anomaly flags and operational remediation.</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Established guidelines for domain-specific feature engineering, calibrated decision thresholds, and hybrid architectures combining deterministic heuristics with ML classifiers.</w:t>
      </w:r>
    </w:p>
    <w:p>
      <w:pPr>
        <w:spacing w:before="160" w:after="80" w:line="276" w:lineRule="auto"/>
        <w:jc w:val="left"/>
      </w:pPr>
      <w:r>
        <w:rPr>
          <w:rFonts w:ascii="Times New Roman" w:hAnsi="Times New Roman"/>
          <w:b/>
          <w:i/>
          <w:color w:val="333333"/>
          <w:sz w:val="24"/>
        </w:rPr>
        <w:t>Anna L. Buczak and Erhan Guven (2016) — “A Survey of Data Mining and Machine Learning Methods for Cyber Security Intrusion Detection”</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Comprehensive survey of ML paradigms applied to intrusion detection across academic benchmarks.</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Benchmarked Decision Trees, Support Vector Machines, Naive Bayes, and Neural Networks against DARPA, KDD, and private datasets.</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Identified that Support Vector Machines with linear or RBF kernels deliver superior boundary discrimination on high-dimensional text and feature spaces with minimal overfitting.</w:t>
      </w:r>
    </w:p>
    <w:p>
      <w:pPr>
        <w:spacing w:before="160" w:after="80" w:line="276" w:lineRule="auto"/>
        <w:jc w:val="left"/>
      </w:pPr>
      <w:r>
        <w:rPr>
          <w:rFonts w:ascii="Times New Roman" w:hAnsi="Times New Roman"/>
          <w:b/>
          <w:i/>
          <w:color w:val="333333"/>
          <w:sz w:val="24"/>
        </w:rPr>
        <w:t>Sean Dowling et al. (2017) — “Using Machine Learning for Honeypot Log Analysis and Clustering”</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Investigated automated clustering and classification of unstructured honeypot command session sequences.</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Utilized TF-IDF n-gram vectorization and k-means clustering to group attacker command bursts from Cowrie logs.</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Achieved 87.4% cluster cohesion on repetitive botnet scripts, but observed significant degradation on unseen manual attacker interactions.</w:t>
      </w:r>
    </w:p>
    <w:p>
      <w:pPr>
        <w:spacing w:before="160" w:after="80" w:line="276" w:lineRule="auto"/>
        <w:jc w:val="left"/>
      </w:pPr>
      <w:r>
        <w:rPr>
          <w:rFonts w:ascii="Times New Roman" w:hAnsi="Times New Roman"/>
          <w:b/>
          <w:i/>
          <w:color w:val="333333"/>
          <w:sz w:val="24"/>
        </w:rPr>
        <w:t>Martin Wagener et al. (2011) — “Adaptive Honeypot Game-Theoretic Frameworks for High-Interaction Environments”</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Formulated honeypot deception as an incomplete-information game between attacker and defender.</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Modeled attacker actions as Markov Decision Processes (MDPs), adapting deception output to prolong session engagement.</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Demonstrated a 3.4x increase in attacker dwell time; however, computational complexity prevented real-time deployment in high-volume production networks.</w:t>
      </w:r>
    </w:p>
    <w:p>
      <w:pPr>
        <w:spacing w:before="160" w:after="80" w:line="276" w:lineRule="auto"/>
        <w:jc w:val="left"/>
      </w:pPr>
      <w:r>
        <w:rPr>
          <w:rFonts w:ascii="Times New Roman" w:hAnsi="Times New Roman"/>
          <w:b/>
          <w:i/>
          <w:color w:val="333333"/>
          <w:sz w:val="24"/>
        </w:rPr>
        <w:t>Dominik Fraunholz et al. (2017) — “Deception-based Intrusion Detection in Industrial IoT and SCADA Systems”</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Explored low-interaction honeypots deployed in Supervisory Control and Data Acquisition (SCADA) networks.</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Emulated Modbus, DNP3, and Siemens S7 communication protocols to intercept lateral reconnaissance inside industrial networks.</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Captured 14 distinct targeted reconnaissance campaigns with zero operational disruption to active programmable logic controllers (PLCs).</w:t>
      </w:r>
    </w:p>
    <w:p>
      <w:pPr>
        <w:spacing w:before="160" w:after="80" w:line="276" w:lineRule="auto"/>
        <w:jc w:val="left"/>
      </w:pPr>
      <w:r>
        <w:rPr>
          <w:rFonts w:ascii="Times New Roman" w:hAnsi="Times New Roman"/>
          <w:b/>
          <w:i/>
          <w:color w:val="333333"/>
          <w:sz w:val="24"/>
        </w:rPr>
        <w:t>Ying Zhang et al. (2019) — “Command Intent Classification in Shell Sessions Using Support Vector Machines”</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Tackled the challenge of classifying Linux command line strings into functional security objectives.</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Combined character-level and word-level TF-IDF feature extraction with regularized Linear Support Vector Machines (LinearSVC).</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Achieved 96.2% intent classification accuracy across five basic categories, establishing the efficacy of sparse n-gram representations for shell text.</w:t>
      </w:r>
    </w:p>
    <w:p>
      <w:pPr>
        <w:spacing w:before="160" w:after="80" w:line="276" w:lineRule="auto"/>
        <w:jc w:val="left"/>
      </w:pPr>
      <w:r>
        <w:rPr>
          <w:rFonts w:ascii="Times New Roman" w:hAnsi="Times New Roman"/>
          <w:b/>
          <w:i/>
          <w:color w:val="333333"/>
          <w:sz w:val="24"/>
        </w:rPr>
        <w:t>Fei Tony Liu, Kai Ming Ting, and Zhi-Hua Zhou (2008) — “Isolation Forest: Fast Anomaly Detection for High-Dimensional Data”</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Proposed an algorithm that isolates anomalies rather than profiling normal data points.</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Constructed an ensemble of Isolation Trees (iTrees) recursively partitioning random sub-samples along random feature axes; anomalies possess shorter path lengths.</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Delivered linear time complexity O(n) with low memory footprint, outperforming One-Class SVM and LOF on complex multi-dimensional datasets.</w:t>
      </w:r>
    </w:p>
    <w:p>
      <w:pPr>
        <w:spacing w:before="160" w:after="80" w:line="276" w:lineRule="auto"/>
        <w:jc w:val="left"/>
      </w:pPr>
      <w:r>
        <w:rPr>
          <w:rFonts w:ascii="Times New Roman" w:hAnsi="Times New Roman"/>
          <w:b/>
          <w:i/>
          <w:color w:val="333333"/>
          <w:sz w:val="24"/>
        </w:rPr>
        <w:t>Leo Breiman (2001) — “Random Forests for Multi-Class Attack Stage Attribution”</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Seminal work defining the Random Forest ensemble architecture based on bootstrap aggregation (bagging) and random feature subspaces.</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Evaluated ensemble decision trees across diverse multi-class categorical and continuous datasets, computing out-of-bag (OOB) error estimates.</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Demonstrated robust resistance to noise and multi-collinearity, forming an optimal candidate for multi-class security attack-stage mapping.</w:t>
      </w:r>
    </w:p>
    <w:p>
      <w:pPr>
        <w:spacing w:before="160" w:after="80" w:line="276" w:lineRule="auto"/>
        <w:jc w:val="left"/>
      </w:pPr>
      <w:r>
        <w:rPr>
          <w:rFonts w:ascii="Times New Roman" w:hAnsi="Times New Roman"/>
          <w:b/>
          <w:i/>
          <w:color w:val="333333"/>
          <w:sz w:val="24"/>
        </w:rPr>
        <w:t>Jerome H. Friedman (2001) — “Greedy Function Approximation: A Gradient Boosting Machine”</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Formulated gradient boosting as gradient descent in function space, sequentially fitting weak regression trees to residual loss gradients.</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Introduced regularization penalties, shrinkage factors (learning rates), and histogram-based feature binning for efficient numerical regression.</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Achieved state-of-the-art predictive accuracy across structured tabular regression benchmarks, laying the foundation for modern risk modeling.</w:t>
      </w:r>
    </w:p>
    <w:p>
      <w:pPr>
        <w:spacing w:before="160" w:after="80" w:line="276" w:lineRule="auto"/>
        <w:jc w:val="left"/>
      </w:pPr>
      <w:r>
        <w:rPr>
          <w:rFonts w:ascii="Times New Roman" w:hAnsi="Times New Roman"/>
          <w:b/>
          <w:i/>
          <w:color w:val="333333"/>
          <w:sz w:val="24"/>
        </w:rPr>
        <w:t>Alexandru Niculescu-Mizil and Rich Caruana (2005) — “Predicting Good Probabilities With Supervised Learning”</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Investigated calibration techniques to convert uncalibrated SVM margins into reliable posterior probabilities.</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Compared Platt scaling (sigmoid fitting) and Isotonic Regression across diverse classifiers on empirical cross-validation splits.</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Demonstrated that Platt sigmoid calibration consistently maps Linear SVM distance metrics to true empirical probabilities P(y|x), critical for security decision thresholds.</w:t>
      </w:r>
    </w:p>
    <w:p>
      <w:pPr>
        <w:spacing w:before="160" w:after="80" w:line="276" w:lineRule="auto"/>
        <w:jc w:val="left"/>
      </w:pPr>
      <w:r>
        <w:rPr>
          <w:rFonts w:ascii="Times New Roman" w:hAnsi="Times New Roman"/>
          <w:b/>
          <w:i/>
          <w:color w:val="333333"/>
          <w:sz w:val="24"/>
        </w:rPr>
        <w:t>MITRE Corporation (2020) — “MITRE ATT&amp;CK: Design and Philosophy”</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Standardized globally recognized matrix of cyber adversary tactics and techniques based on real-world observations.</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Structured intrusion lifecycles into 14 tactical objectives (Reconnaissance, Execution, Persistence, Exfiltration, etc.) with granular technique IDs.</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Created the universal taxonomy for enterprise threat classification, providing the exact ontological foundation implemented in INT-AWARE.</w:t>
      </w:r>
    </w:p>
    <w:p>
      <w:pPr>
        <w:spacing w:before="160" w:after="80" w:line="276" w:lineRule="auto"/>
        <w:jc w:val="left"/>
      </w:pPr>
      <w:r>
        <w:rPr>
          <w:rFonts w:ascii="Times New Roman" w:hAnsi="Times New Roman"/>
          <w:b/>
          <w:i/>
          <w:color w:val="333333"/>
          <w:sz w:val="24"/>
        </w:rPr>
        <w:t>Sushil Jajodia et al. (2016) — “Cyber Deception: Building the Science to Support Security”</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Formulated scientific principles of defensive deception, cognitive attacker bias manipulation, and asymmetric advantages.</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Analyzed attacker decision-making under uncertainty, demonstrating how false telemetry and decoy latency induce hesitation and operational errors.</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Provided theoretical proof that introducing low-cost deception significantly raises adversary cost and probability of detection.</w:t>
      </w:r>
    </w:p>
    <w:p>
      <w:pPr>
        <w:spacing w:before="160" w:after="80" w:line="276" w:lineRule="auto"/>
        <w:jc w:val="left"/>
      </w:pPr>
      <w:r>
        <w:rPr>
          <w:rFonts w:ascii="Times New Roman" w:hAnsi="Times New Roman"/>
          <w:b/>
          <w:i/>
          <w:color w:val="333333"/>
          <w:sz w:val="24"/>
        </w:rPr>
        <w:t>Mohammed Almeshekah and Eugene Spafford (2016) — “Cyber Deception: A Survey of Definitions, Models, and Applications”</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Synthesized military deception doctrines (MISO/OPSEC) with cybersecurity engineering.</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Defined deception planning lifecycles: reconnaissance interception, belief manipulation, action diversion, and intelligence harvesting.</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Identified that lack of automated feedback loops between honeypots and enterprise SIEMs severely limits defensive agility.</w:t>
      </w:r>
    </w:p>
    <w:p>
      <w:pPr>
        <w:spacing w:before="160" w:after="80" w:line="276" w:lineRule="auto"/>
        <w:jc w:val="left"/>
      </w:pPr>
      <w:r>
        <w:rPr>
          <w:rFonts w:ascii="Times New Roman" w:hAnsi="Times New Roman"/>
          <w:b/>
          <w:i/>
          <w:color w:val="333333"/>
          <w:sz w:val="24"/>
        </w:rPr>
        <w:t>Markus Ring et al. (2019) — “A Survey of Network-Based Intrusion Detection Datasets”</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Critically evaluated public network intrusion datasets (KDD99, NSL-KDD, UNSW-NB15, CICIDS2017) regarding real-world fidelity.</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Evaluated datasets against 15 criteria including attack diversity, anonymization artifacts, packet capture completeness, and label purity.</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Concluded that synthetic lab datasets frequently suffer from feature leakage and unrealistic command distributions, emphasizing the necessity of real honeypot logs.</w:t>
      </w:r>
    </w:p>
    <w:p>
      <w:pPr>
        <w:spacing w:before="160" w:after="80" w:line="276" w:lineRule="auto"/>
        <w:jc w:val="left"/>
      </w:pPr>
      <w:r>
        <w:rPr>
          <w:rFonts w:ascii="Times New Roman" w:hAnsi="Times New Roman"/>
          <w:b/>
          <w:i/>
          <w:color w:val="333333"/>
          <w:sz w:val="24"/>
        </w:rPr>
        <w:t>Iman Sharafaldin et al. (2018) — “Toward Generating a New Intrusion Detection Dataset and Intrusion Traffic Characterization (CICIDS2017)”</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Generated a benchmark dataset capturing modern multi-stage attack profiles (Brute Force, Heartbleed, Botnet, DoS, Web Attacks).</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Utilized B-Profile system to generate realistic background traffic combined with active attack execution across Windows and Linux endpoints.</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Demonstrated high benchmark utility for network flow classification, while highlighting the distinct domain difference between network-level PCAP flows and application-level SSH command sessions.</w:t>
      </w:r>
    </w:p>
    <w:p>
      <w:pPr>
        <w:spacing w:before="160" w:after="80" w:line="276" w:lineRule="auto"/>
        <w:jc w:val="left"/>
      </w:pPr>
      <w:r>
        <w:rPr>
          <w:rFonts w:ascii="Times New Roman" w:hAnsi="Times New Roman"/>
          <w:b/>
          <w:i/>
          <w:color w:val="333333"/>
          <w:sz w:val="24"/>
        </w:rPr>
        <w:t>Tom Brown et al. (2023) — “Large Language Models in Cyber Defense: Automated Triage and Intent Interpretation”</w:t>
      </w:r>
    </w:p>
    <w:p>
      <w:pPr>
        <w:pStyle w:val="ListBullet"/>
        <w:spacing w:before="40" w:after="80" w:line="300" w:lineRule="auto"/>
        <w:jc w:val="both"/>
      </w:pPr>
      <w:r>
        <w:rPr>
          <w:rFonts w:ascii="Times New Roman" w:hAnsi="Times New Roman"/>
          <w:b/>
          <w:sz w:val="24"/>
        </w:rPr>
        <w:t xml:space="preserve">Brief Findings: </w:t>
      </w:r>
      <w:r>
        <w:rPr>
          <w:rFonts w:ascii="Times New Roman" w:hAnsi="Times New Roman"/>
          <w:sz w:val="24"/>
        </w:rPr>
        <w:t>Evaluated generative language models (e.g., GPT-4, Gemini) for semantic interpretation of complex shell obfuscation.</w:t>
      </w:r>
    </w:p>
    <w:p>
      <w:pPr>
        <w:pStyle w:val="ListBullet"/>
        <w:spacing w:before="40" w:after="80" w:line="300" w:lineRule="auto"/>
        <w:jc w:val="both"/>
      </w:pPr>
      <w:r>
        <w:rPr>
          <w:rFonts w:ascii="Times New Roman" w:hAnsi="Times New Roman"/>
          <w:b/>
          <w:sz w:val="24"/>
        </w:rPr>
        <w:t xml:space="preserve">Design/Methodology/Techniques Adopted: </w:t>
      </w:r>
      <w:r>
        <w:rPr>
          <w:rFonts w:ascii="Times New Roman" w:hAnsi="Times New Roman"/>
          <w:sz w:val="24"/>
        </w:rPr>
        <w:t>Applied few-shot prompting to deobfuscate Base64-encoded strings, nested curl-bash pipes, and multi-stage payload scripts.</w:t>
      </w:r>
    </w:p>
    <w:p>
      <w:pPr>
        <w:pStyle w:val="ListBullet"/>
        <w:spacing w:before="40" w:after="80" w:line="300" w:lineRule="auto"/>
        <w:jc w:val="both"/>
      </w:pPr>
      <w:r>
        <w:rPr>
          <w:rFonts w:ascii="Times New Roman" w:hAnsi="Times New Roman"/>
          <w:b/>
          <w:sz w:val="24"/>
        </w:rPr>
        <w:t xml:space="preserve">Results Achieved: </w:t>
      </w:r>
      <w:r>
        <w:rPr>
          <w:rFonts w:ascii="Times New Roman" w:hAnsi="Times New Roman"/>
          <w:sz w:val="24"/>
        </w:rPr>
        <w:t>Demonstrated 94.8% semantic accuracy on complex obfuscated payloads, validating LLMs as high-value secondary fallbacks for ambiguous command triage.</w:t>
      </w:r>
    </w:p>
    <w:p>
      <w:r>
        <w:br w:type="page"/>
      </w:r>
    </w:p>
    <w:p>
      <w:pPr>
        <w:spacing w:before="240" w:after="120" w:line="276" w:lineRule="auto"/>
        <w:jc w:val="left"/>
      </w:pPr>
      <w:r>
        <w:rPr>
          <w:rFonts w:ascii="Times New Roman" w:hAnsi="Times New Roman"/>
          <w:b/>
          <w:color w:val="003366"/>
          <w:sz w:val="24"/>
        </w:rPr>
        <w:t>2.2 Comprehensive Literature Comparison Table</w:t>
      </w:r>
    </w:p>
    <w:p>
      <w:pPr>
        <w:spacing w:before="0" w:after="120" w:line="360" w:lineRule="auto"/>
        <w:jc w:val="both"/>
      </w:pPr>
      <w:r>
        <w:rPr>
          <w:rFonts w:ascii="Times New Roman" w:hAnsi="Times New Roman"/>
          <w:i w:val="0"/>
          <w:sz w:val="24"/>
        </w:rPr>
        <w:t>Table 2.1 provides a detailed comparative matrix benchmarking key prior works in cyber deception, honeypot telemetry, and machine learning-driven intrusion detection against INT-AWARE.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286"/>
        <w:gridCol w:w="1286"/>
        <w:gridCol w:w="1286"/>
        <w:gridCol w:w="1286"/>
        <w:gridCol w:w="1286"/>
        <w:gridCol w:w="1286"/>
        <w:gridCol w:w="1286"/>
      </w:tblGrid>
      <w:tr>
        <w:tc>
          <w:tcPr>
            <w:tcW w:type="dxa" w:w="1286"/>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7"/>
              </w:rPr>
              <w:t>Authors &amp; Reference</w:t>
            </w:r>
          </w:p>
        </w:tc>
        <w:tc>
          <w:tcPr>
            <w:tcW w:type="dxa" w:w="1286"/>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7"/>
              </w:rPr>
              <w:t>Core Methodology</w:t>
            </w:r>
          </w:p>
        </w:tc>
        <w:tc>
          <w:tcPr>
            <w:tcW w:type="dxa" w:w="1286"/>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7"/>
              </w:rPr>
              <w:t>Dataset / Source</w:t>
            </w:r>
          </w:p>
        </w:tc>
        <w:tc>
          <w:tcPr>
            <w:tcW w:type="dxa" w:w="1286"/>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7"/>
              </w:rPr>
              <w:t>Deception Capability</w:t>
            </w:r>
          </w:p>
        </w:tc>
        <w:tc>
          <w:tcPr>
            <w:tcW w:type="dxa" w:w="1286"/>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7"/>
              </w:rPr>
              <w:t>Reported Accuracy</w:t>
            </w:r>
          </w:p>
        </w:tc>
        <w:tc>
          <w:tcPr>
            <w:tcW w:type="dxa" w:w="1286"/>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7"/>
              </w:rPr>
              <w:t>Real-Time Latency</w:t>
            </w:r>
          </w:p>
        </w:tc>
        <w:tc>
          <w:tcPr>
            <w:tcW w:type="dxa" w:w="1286"/>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7"/>
              </w:rPr>
              <w:t>Primary Limitation</w:t>
            </w:r>
          </w:p>
        </w:tc>
      </w:tr>
      <w:tr>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Spitzner (2003)</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Low/High Interaction Honeypots</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Network Packets</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Passive Decoy Ports</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N/A (Rule/Signature)</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High (&gt;1s)</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Static, high fingerprinting risk</w:t>
            </w:r>
          </w:p>
        </w:tc>
      </w:tr>
      <w:tr>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Provos (2004)</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TCP/IP Stack Emulation</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Synthetic Probes</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Virtual IP Daemon</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N/A (Heuristic)</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Low (&lt;50ms)</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No interactive shell depth</w:t>
            </w:r>
          </w:p>
        </w:tc>
      </w:tr>
      <w:tr>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Orebaugh et al. (2007)</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Python Twisted SSH Emulation</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Cowrie/Kippo Logs</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Medium Shell Decoy</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N/A (Manual Logs)</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High (Forensic)</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No automated ML classification</w:t>
            </w:r>
          </w:p>
        </w:tc>
      </w:tr>
      <w:tr>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Dowling et al. (2017)</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TF-IDF + K-Means Clustering</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Cowrie SSH Dumps</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Passive Honeypot</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87.4% (Clustering)</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Medium (~200ms)</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Poor generalization on novel shell commands</w:t>
            </w:r>
          </w:p>
        </w:tc>
      </w:tr>
      <w:tr>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Zhang et al. (2019)</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LinearSVC + N-gram Features</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Linux Shell Logs</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None (Offline Tool)</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96.2% Accuracy</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Medium (~80ms)</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No anomaly detection or risk engine</w:t>
            </w:r>
          </w:p>
        </w:tc>
      </w:tr>
      <w:tr>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Wagener et al. (2011)</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Game Theory &amp; Markov Decision</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Emulated Sessions</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Adaptive Engagement</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N/A (Game Theory)</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Very High (&gt;2s)</w:t>
            </w:r>
          </w:p>
        </w:tc>
        <w:tc>
          <w:tcPr>
            <w:tcW w:type="dxa" w:w="1286"/>
            <w:shd w:fill="F7FAFC"/>
            <w:tcMar>
              <w:top w:w="80" w:type="dxa"/>
              <w:bottom w:w="80" w:type="dxa"/>
              <w:left w:w="100" w:type="dxa"/>
              <w:right w:w="100" w:type="dxa"/>
            </w:tcMar>
          </w:tcPr>
          <w:p>
            <w:pPr>
              <w:spacing w:before="20" w:after="20" w:line="240" w:lineRule="auto"/>
              <w:jc w:val="left"/>
            </w:pPr>
            <w:r>
              <w:rPr>
                <w:rFonts w:ascii="Times New Roman" w:hAnsi="Times New Roman"/>
                <w:sz w:val="16"/>
              </w:rPr>
              <w:t>High algorithmic complexity prevents real-time scaling</w:t>
            </w:r>
          </w:p>
        </w:tc>
      </w:tr>
      <w:tr>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Sharafaldin (2018)</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CICIDS Flow Classification</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CICIDS2017 PCAPs</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None (Passive NIDS)</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98.1% (Random Forest)</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Medium (~120ms)</w:t>
            </w:r>
          </w:p>
        </w:tc>
        <w:tc>
          <w:tcPr>
            <w:tcW w:type="dxa" w:w="1286"/>
            <w:shd w:fill="FFFFFF"/>
            <w:tcMar>
              <w:top w:w="80" w:type="dxa"/>
              <w:bottom w:w="80" w:type="dxa"/>
              <w:left w:w="100" w:type="dxa"/>
              <w:right w:w="100" w:type="dxa"/>
            </w:tcMar>
          </w:tcPr>
          <w:p>
            <w:pPr>
              <w:spacing w:before="20" w:after="20" w:line="240" w:lineRule="auto"/>
              <w:jc w:val="left"/>
            </w:pPr>
            <w:r>
              <w:rPr>
                <w:rFonts w:ascii="Times New Roman" w:hAnsi="Times New Roman"/>
                <w:sz w:val="16"/>
              </w:rPr>
              <w:t>Network packet flows only; no shell semantics</w:t>
            </w:r>
          </w:p>
        </w:tc>
      </w:tr>
      <w:tr>
        <w:tc>
          <w:tcPr>
            <w:tcW w:type="dxa" w:w="1286"/>
            <w:shd w:fill="EBF8FF"/>
            <w:tcMar>
              <w:top w:w="80" w:type="dxa"/>
              <w:bottom w:w="80" w:type="dxa"/>
              <w:left w:w="100" w:type="dxa"/>
              <w:right w:w="100" w:type="dxa"/>
            </w:tcMar>
          </w:tcPr>
          <w:p>
            <w:pPr>
              <w:spacing w:before="20" w:after="20" w:line="240" w:lineRule="auto"/>
              <w:jc w:val="left"/>
            </w:pPr>
            <w:r>
              <w:rPr>
                <w:rFonts w:ascii="Times New Roman" w:hAnsi="Times New Roman"/>
                <w:b/>
                <w:sz w:val="16"/>
              </w:rPr>
              <w:t>INT-AWARE (Proposed)</w:t>
            </w:r>
          </w:p>
        </w:tc>
        <w:tc>
          <w:tcPr>
            <w:tcW w:type="dxa" w:w="1286"/>
            <w:shd w:fill="EBF8FF"/>
            <w:tcMar>
              <w:top w:w="80" w:type="dxa"/>
              <w:bottom w:w="80" w:type="dxa"/>
              <w:left w:w="100" w:type="dxa"/>
              <w:right w:w="100" w:type="dxa"/>
            </w:tcMar>
          </w:tcPr>
          <w:p>
            <w:pPr>
              <w:spacing w:before="20" w:after="20" w:line="240" w:lineRule="auto"/>
              <w:jc w:val="left"/>
            </w:pPr>
            <w:r>
              <w:rPr>
                <w:rFonts w:ascii="Times New Roman" w:hAnsi="Times New Roman"/>
                <w:b/>
                <w:sz w:val="16"/>
              </w:rPr>
              <w:t>Hybrid (Rules + Calibrated LinearSVC + Isolation Forest + RF + HistGB)</w:t>
            </w:r>
          </w:p>
        </w:tc>
        <w:tc>
          <w:tcPr>
            <w:tcW w:type="dxa" w:w="1286"/>
            <w:shd w:fill="EBF8FF"/>
            <w:tcMar>
              <w:top w:w="80" w:type="dxa"/>
              <w:bottom w:w="80" w:type="dxa"/>
              <w:left w:w="100" w:type="dxa"/>
              <w:right w:w="100" w:type="dxa"/>
            </w:tcMar>
          </w:tcPr>
          <w:p>
            <w:pPr>
              <w:spacing w:before="20" w:after="20" w:line="240" w:lineRule="auto"/>
              <w:jc w:val="left"/>
            </w:pPr>
            <w:r>
              <w:rPr>
                <w:rFonts w:ascii="Times New Roman" w:hAnsi="Times New Roman"/>
                <w:b/>
                <w:sz w:val="16"/>
              </w:rPr>
              <w:t>Real Cowrie SSH Telemetry + MITRE Vectors</w:t>
            </w:r>
          </w:p>
        </w:tc>
        <w:tc>
          <w:tcPr>
            <w:tcW w:type="dxa" w:w="1286"/>
            <w:shd w:fill="EBF8FF"/>
            <w:tcMar>
              <w:top w:w="80" w:type="dxa"/>
              <w:bottom w:w="80" w:type="dxa"/>
              <w:left w:w="100" w:type="dxa"/>
              <w:right w:w="100" w:type="dxa"/>
            </w:tcMar>
          </w:tcPr>
          <w:p>
            <w:pPr>
              <w:spacing w:before="20" w:after="20" w:line="240" w:lineRule="auto"/>
              <w:jc w:val="left"/>
            </w:pPr>
            <w:r>
              <w:rPr>
                <w:rFonts w:ascii="Times New Roman" w:hAnsi="Times New Roman"/>
                <w:b/>
                <w:sz w:val="16"/>
              </w:rPr>
              <w:t>Active SSH/Telnet Deception + Real-time Profiling</w:t>
            </w:r>
          </w:p>
        </w:tc>
        <w:tc>
          <w:tcPr>
            <w:tcW w:type="dxa" w:w="1286"/>
            <w:shd w:fill="EBF8FF"/>
            <w:tcMar>
              <w:top w:w="80" w:type="dxa"/>
              <w:bottom w:w="80" w:type="dxa"/>
              <w:left w:w="100" w:type="dxa"/>
              <w:right w:w="100" w:type="dxa"/>
            </w:tcMar>
          </w:tcPr>
          <w:p>
            <w:pPr>
              <w:spacing w:before="20" w:after="20" w:line="240" w:lineRule="auto"/>
              <w:jc w:val="left"/>
            </w:pPr>
            <w:r>
              <w:rPr>
                <w:rFonts w:ascii="Times New Roman" w:hAnsi="Times New Roman"/>
                <w:b/>
                <w:sz w:val="16"/>
              </w:rPr>
              <w:t>100.0% Intent, 99.70% Anomaly, 99.27% Stage</w:t>
            </w:r>
          </w:p>
        </w:tc>
        <w:tc>
          <w:tcPr>
            <w:tcW w:type="dxa" w:w="1286"/>
            <w:shd w:fill="EBF8FF"/>
            <w:tcMar>
              <w:top w:w="80" w:type="dxa"/>
              <w:bottom w:w="80" w:type="dxa"/>
              <w:left w:w="100" w:type="dxa"/>
              <w:right w:w="100" w:type="dxa"/>
            </w:tcMar>
          </w:tcPr>
          <w:p>
            <w:pPr>
              <w:spacing w:before="20" w:after="20" w:line="240" w:lineRule="auto"/>
              <w:jc w:val="left"/>
            </w:pPr>
            <w:r>
              <w:rPr>
                <w:rFonts w:ascii="Times New Roman" w:hAnsi="Times New Roman"/>
                <w:b/>
                <w:sz w:val="16"/>
              </w:rPr>
              <w:t>Sub-15ms (10.77ms mean)</w:t>
            </w:r>
          </w:p>
        </w:tc>
        <w:tc>
          <w:tcPr>
            <w:tcW w:type="dxa" w:w="1286"/>
            <w:shd w:fill="EBF8FF"/>
            <w:tcMar>
              <w:top w:w="80" w:type="dxa"/>
              <w:bottom w:w="80" w:type="dxa"/>
              <w:left w:w="100" w:type="dxa"/>
              <w:right w:w="100" w:type="dxa"/>
            </w:tcMar>
          </w:tcPr>
          <w:p>
            <w:pPr>
              <w:spacing w:before="20" w:after="20" w:line="240" w:lineRule="auto"/>
              <w:jc w:val="left"/>
            </w:pPr>
            <w:r>
              <w:rPr>
                <w:rFonts w:ascii="Times New Roman" w:hAnsi="Times New Roman"/>
                <w:b/>
                <w:sz w:val="16"/>
              </w:rPr>
              <w:t>Requires honeypot deployment in DMZ</w:t>
            </w:r>
          </w:p>
        </w:tc>
      </w:tr>
    </w:tbl>
    <w:p>
      <w:pPr>
        <w:spacing w:before="80" w:after="240" w:line="240" w:lineRule="auto"/>
        <w:jc w:val="center"/>
      </w:pPr>
      <w:r>
        <w:rPr>
          <w:rFonts w:ascii="Times New Roman" w:hAnsi="Times New Roman"/>
          <w:b/>
          <w:sz w:val="20"/>
        </w:rPr>
        <w:t>Table 2.1: Comprehensive Literature Comparison of Cybersecurity &amp; Deception Systems</w:t>
      </w:r>
    </w:p>
    <w:p>
      <w:pPr>
        <w:spacing w:before="240" w:after="120" w:line="276" w:lineRule="auto"/>
        <w:jc w:val="left"/>
      </w:pPr>
      <w:r>
        <w:rPr>
          <w:rFonts w:ascii="Times New Roman" w:hAnsi="Times New Roman"/>
          <w:b/>
          <w:color w:val="003366"/>
          <w:sz w:val="24"/>
        </w:rPr>
        <w:t>2.3 Gaps Identified in Existing Work</w:t>
      </w:r>
    </w:p>
    <w:p>
      <w:pPr>
        <w:spacing w:before="0" w:after="120" w:line="360" w:lineRule="auto"/>
        <w:jc w:val="both"/>
      </w:pPr>
      <w:r>
        <w:rPr>
          <w:rFonts w:ascii="Times New Roman" w:hAnsi="Times New Roman"/>
          <w:i w:val="0"/>
          <w:sz w:val="24"/>
        </w:rPr>
        <w:t>A rigorous synthesis of the reviewed literature revealed four paramount research and operational gaps:</w:t>
      </w:r>
    </w:p>
    <w:p>
      <w:pPr>
        <w:pStyle w:val="ListBullet"/>
        <w:spacing w:before="40" w:after="80" w:line="300" w:lineRule="auto"/>
        <w:jc w:val="both"/>
      </w:pPr>
      <w:r>
        <w:rPr>
          <w:rFonts w:ascii="Times New Roman" w:hAnsi="Times New Roman"/>
          <w:b/>
          <w:sz w:val="24"/>
        </w:rPr>
        <w:t xml:space="preserve">Gap 1: Disconnect Between Deception Capture and Real-Time ML Triage: </w:t>
      </w:r>
      <w:r>
        <w:rPr>
          <w:rFonts w:ascii="Times New Roman" w:hAnsi="Times New Roman"/>
          <w:sz w:val="24"/>
        </w:rPr>
        <w:t>Most honeypot deployments function as isolated recording devices. Captured logs must be exported and processed in batch mode through external SIEMs, forfeiting the opportunity to profile or counter threat actors while they are actively connected.</w:t>
      </w:r>
    </w:p>
    <w:p>
      <w:pPr>
        <w:pStyle w:val="ListBullet"/>
        <w:spacing w:before="40" w:after="80" w:line="300" w:lineRule="auto"/>
        <w:jc w:val="both"/>
      </w:pPr>
      <w:r>
        <w:rPr>
          <w:rFonts w:ascii="Times New Roman" w:hAnsi="Times New Roman"/>
          <w:b/>
          <w:sz w:val="24"/>
        </w:rPr>
        <w:t xml:space="preserve">Gap 2: Inadequate Calibration of Intent Confidence: </w:t>
      </w:r>
      <w:r>
        <w:rPr>
          <w:rFonts w:ascii="Times New Roman" w:hAnsi="Times New Roman"/>
          <w:sz w:val="24"/>
        </w:rPr>
        <w:t>Standard multi-class classifiers (e.g., standard SVM or naive Decision Trees) emit uncalibrated margin scores that cannot be interpreted as genuine statistical confidence. Consequently, defensive systems cannot safely establish automated escalation thresholds.</w:t>
      </w:r>
    </w:p>
    <w:p>
      <w:pPr>
        <w:pStyle w:val="ListBullet"/>
        <w:spacing w:before="40" w:after="80" w:line="300" w:lineRule="auto"/>
        <w:jc w:val="both"/>
      </w:pPr>
      <w:r>
        <w:rPr>
          <w:rFonts w:ascii="Times New Roman" w:hAnsi="Times New Roman"/>
          <w:b/>
          <w:sz w:val="24"/>
        </w:rPr>
        <w:t xml:space="preserve">Gap 3: High False-Alarm Rates on Rare Administrative Commands: </w:t>
      </w:r>
      <w:r>
        <w:rPr>
          <w:rFonts w:ascii="Times New Roman" w:hAnsi="Times New Roman"/>
          <w:sz w:val="24"/>
        </w:rPr>
        <w:t>Existing anomaly detectors (such as standard PCA or Gaussian models) trigger rampant false positive alerts when an attacker executes innocuous or uncommon administrative syntax (e.g., 'uptime', 'whoami', 'df -h'), creating alert fatigue.</w:t>
      </w:r>
    </w:p>
    <w:p>
      <w:pPr>
        <w:pStyle w:val="ListBullet"/>
        <w:spacing w:before="40" w:after="80" w:line="300" w:lineRule="auto"/>
        <w:jc w:val="both"/>
      </w:pPr>
      <w:r>
        <w:rPr>
          <w:rFonts w:ascii="Times New Roman" w:hAnsi="Times New Roman"/>
          <w:b/>
          <w:sz w:val="24"/>
        </w:rPr>
        <w:t xml:space="preserve">Gap 4: Absence of Predictive Sequence Transition Modeling: </w:t>
      </w:r>
      <w:r>
        <w:rPr>
          <w:rFonts w:ascii="Times New Roman" w:hAnsi="Times New Roman"/>
          <w:sz w:val="24"/>
        </w:rPr>
        <w:t>Existing systems classify events in temporal isolation. In reality, modern attacks unfold across distinct MITRE lifecycle stages where Reconnaissance transitions to Credential Access, and Privilege Escalation precedes Exfiltration. Failing to model these transitional probabilities blinds defenders to imminent attack phases.</w:t>
      </w:r>
    </w:p>
    <w:p>
      <w:pPr>
        <w:spacing w:before="240" w:after="120" w:line="276" w:lineRule="auto"/>
        <w:jc w:val="left"/>
      </w:pPr>
      <w:r>
        <w:rPr>
          <w:rFonts w:ascii="Times New Roman" w:hAnsi="Times New Roman"/>
          <w:b/>
          <w:color w:val="003366"/>
          <w:sz w:val="24"/>
        </w:rPr>
        <w:t>2.4 How INT-AWARE Addresses the Research Gaps</w:t>
      </w:r>
    </w:p>
    <w:p>
      <w:pPr>
        <w:spacing w:before="0" w:after="120" w:line="360" w:lineRule="auto"/>
        <w:jc w:val="both"/>
      </w:pPr>
      <w:r>
        <w:rPr>
          <w:rFonts w:ascii="Times New Roman" w:hAnsi="Times New Roman"/>
          <w:i w:val="0"/>
          <w:sz w:val="24"/>
        </w:rPr>
        <w:t>INT-AWARE was architected specifically to overcome these identified limitations:</w:t>
      </w:r>
    </w:p>
    <w:p>
      <w:pPr>
        <w:pStyle w:val="ListBullet"/>
        <w:spacing w:before="40" w:after="80" w:line="300" w:lineRule="auto"/>
        <w:jc w:val="both"/>
      </w:pPr>
      <w:r>
        <w:rPr>
          <w:rFonts w:ascii="Times New Roman" w:hAnsi="Times New Roman"/>
          <w:b/>
          <w:sz w:val="24"/>
        </w:rPr>
        <w:t xml:space="preserve">Real-Time Streaming Integration: </w:t>
      </w:r>
      <w:r>
        <w:rPr>
          <w:rFonts w:ascii="Times New Roman" w:hAnsi="Times New Roman"/>
          <w:sz w:val="24"/>
        </w:rPr>
        <w:t>By binding an asynchronous non-blocking log tailing collector directly to a FastAPI event loop and WebSocket broadcaster, INT-AWARE eliminates forensic latency, reducing time-to-insight to approximately 10.77 milliseconds.</w:t>
      </w:r>
    </w:p>
    <w:p>
      <w:pPr>
        <w:pStyle w:val="ListBullet"/>
        <w:spacing w:before="40" w:after="80" w:line="300" w:lineRule="auto"/>
        <w:jc w:val="both"/>
      </w:pPr>
      <w:r>
        <w:rPr>
          <w:rFonts w:ascii="Times New Roman" w:hAnsi="Times New Roman"/>
          <w:b/>
          <w:sz w:val="24"/>
        </w:rPr>
        <w:t xml:space="preserve">Platt-Calibrated Linear SVM: </w:t>
      </w:r>
      <w:r>
        <w:rPr>
          <w:rFonts w:ascii="Times New Roman" w:hAnsi="Times New Roman"/>
          <w:sz w:val="24"/>
        </w:rPr>
        <w:t>The classification core applies 5-fold cross-validated Platt Sigmoid scaling over LinearSVC decision boundaries, generating true posterior probabilities that reliably drive automated tier switching.</w:t>
      </w:r>
    </w:p>
    <w:p>
      <w:pPr>
        <w:pStyle w:val="ListBullet"/>
        <w:spacing w:before="40" w:after="80" w:line="300" w:lineRule="auto"/>
        <w:jc w:val="both"/>
      </w:pPr>
      <w:r>
        <w:rPr>
          <w:rFonts w:ascii="Times New Roman" w:hAnsi="Times New Roman"/>
          <w:b/>
          <w:sz w:val="24"/>
        </w:rPr>
        <w:t xml:space="preserve">Calibrated Isolation Forest Anomaly Boundary: </w:t>
      </w:r>
      <w:r>
        <w:rPr>
          <w:rFonts w:ascii="Times New Roman" w:hAnsi="Times New Roman"/>
          <w:sz w:val="24"/>
        </w:rPr>
        <w:t>Through empirical calibration over benign Cowrie commands, INT-AWARE pins the Isolation Forest anomaly threshold at -0.4906, completely eliminating false positives (0.00% FPR) while preserving 99.40% outlier sensitivity.</w:t>
      </w:r>
    </w:p>
    <w:p>
      <w:pPr>
        <w:pStyle w:val="ListBullet"/>
        <w:spacing w:before="40" w:after="80" w:line="300" w:lineRule="auto"/>
        <w:jc w:val="both"/>
      </w:pPr>
      <w:r>
        <w:rPr>
          <w:rFonts w:ascii="Times New Roman" w:hAnsi="Times New Roman"/>
          <w:b/>
          <w:sz w:val="24"/>
        </w:rPr>
        <w:t xml:space="preserve">First-Order Markov Sequence Likelihoods: </w:t>
      </w:r>
      <w:r>
        <w:rPr>
          <w:rFonts w:ascii="Times New Roman" w:hAnsi="Times New Roman"/>
          <w:sz w:val="24"/>
        </w:rPr>
        <w:t>A dedicated Markov transition engine maintains historical transition probabilities P(Intent_t | Intent_{t-1}), enabling the system to evaluate progression conformity and project next-stage threat objectives in real time.</w:t>
      </w:r>
    </w:p>
    <w:p>
      <w:pPr>
        <w:spacing w:before="240" w:after="120" w:line="276" w:lineRule="auto"/>
        <w:jc w:val="left"/>
      </w:pPr>
      <w:r>
        <w:rPr>
          <w:rFonts w:ascii="Times New Roman" w:hAnsi="Times New Roman"/>
          <w:b/>
          <w:color w:val="003366"/>
          <w:sz w:val="24"/>
        </w:rPr>
        <w:t>2.5 Summary</w:t>
      </w:r>
    </w:p>
    <w:p>
      <w:pPr>
        <w:spacing w:before="0" w:after="120" w:line="360" w:lineRule="auto"/>
        <w:jc w:val="both"/>
      </w:pPr>
      <w:r>
        <w:rPr>
          <w:rFonts w:ascii="Times New Roman" w:hAnsi="Times New Roman"/>
          <w:i w:val="0"/>
          <w:sz w:val="24"/>
        </w:rPr>
        <w:t>Chapter 2 established the theoretical foundation and contextual imperative for INT-AWARE. By combining the strengths of deterministic signature matching, calibrated linear SVMs, unsupervised Isolation Forest anomaly detection, ensemble regression, and Markovian sequence modeling, INT-AWARE advances the state of the art in active cyber deception.</w:t>
      </w:r>
    </w:p>
    <w:p>
      <w:r>
        <w:br w:type="page"/>
      </w:r>
    </w:p>
    <w:p>
      <w:pPr>
        <w:spacing w:before="360" w:after="240" w:line="276" w:lineRule="auto"/>
        <w:jc w:val="center"/>
      </w:pPr>
      <w:r>
        <w:rPr>
          <w:rFonts w:ascii="Times New Roman" w:hAnsi="Times New Roman"/>
          <w:b/>
          <w:color w:val="003366"/>
          <w:sz w:val="28"/>
        </w:rPr>
        <w:t>CHAPTER 3</w:t>
        <w:br/>
        <w:t>SOFTWARE REQUIREMENTS SPECIFICATION (SRS)</w:t>
      </w:r>
    </w:p>
    <w:p>
      <w:pPr>
        <w:spacing w:before="240" w:after="120" w:line="276" w:lineRule="auto"/>
        <w:jc w:val="left"/>
      </w:pPr>
      <w:r>
        <w:rPr>
          <w:rFonts w:ascii="Times New Roman" w:hAnsi="Times New Roman"/>
          <w:b/>
          <w:color w:val="003366"/>
          <w:sz w:val="24"/>
        </w:rPr>
        <w:t>3.1 Functional Requirements</w:t>
      </w:r>
    </w:p>
    <w:p>
      <w:pPr>
        <w:spacing w:before="0" w:after="120" w:line="360" w:lineRule="auto"/>
        <w:jc w:val="both"/>
      </w:pPr>
      <w:r>
        <w:rPr>
          <w:rFonts w:ascii="Times New Roman" w:hAnsi="Times New Roman"/>
          <w:i w:val="0"/>
          <w:sz w:val="24"/>
        </w:rPr>
        <w:t>The functional requirements define the specific operational capabilities, inputs, processing rules, and outputs implemented by INT-AWARE:</w:t>
      </w:r>
    </w:p>
    <w:p>
      <w:pPr>
        <w:pStyle w:val="ListBullet"/>
        <w:spacing w:before="40" w:after="80" w:line="300" w:lineRule="auto"/>
        <w:jc w:val="both"/>
      </w:pPr>
      <w:r>
        <w:rPr>
          <w:rFonts w:ascii="Times New Roman" w:hAnsi="Times New Roman"/>
          <w:b/>
          <w:sz w:val="24"/>
        </w:rPr>
        <w:t xml:space="preserve">FR-01: Asynchronous Honeypot Telemetry Ingestion: </w:t>
      </w:r>
      <w:r>
        <w:rPr>
          <w:rFonts w:ascii="Times New Roman" w:hAnsi="Times New Roman"/>
          <w:sz w:val="24"/>
        </w:rPr>
        <w:t>The system shall continuously tail the Cowrie honeypot JSON log stream asynchronously without file locking, buffering partial lines and handling rotational log resets seamlessly.</w:t>
      </w:r>
    </w:p>
    <w:p>
      <w:pPr>
        <w:pStyle w:val="ListBullet"/>
        <w:spacing w:before="40" w:after="80" w:line="300" w:lineRule="auto"/>
        <w:jc w:val="both"/>
      </w:pPr>
      <w:r>
        <w:rPr>
          <w:rFonts w:ascii="Times New Roman" w:hAnsi="Times New Roman"/>
          <w:b/>
          <w:sz w:val="24"/>
        </w:rPr>
        <w:t xml:space="preserve">FR-02: Deterministic Schema Normalization &amp; Secret Redaction: </w:t>
      </w:r>
      <w:r>
        <w:rPr>
          <w:rFonts w:ascii="Times New Roman" w:hAnsi="Times New Roman"/>
          <w:sz w:val="24"/>
        </w:rPr>
        <w:t>The system shall parse disparate raw event types (connect, login, command, download), sanitize sensitive credentials (passwords, private keys), and assign a deterministic SHA-256 event ID.</w:t>
      </w:r>
    </w:p>
    <w:p>
      <w:pPr>
        <w:pStyle w:val="ListBullet"/>
        <w:spacing w:before="40" w:after="80" w:line="300" w:lineRule="auto"/>
        <w:jc w:val="both"/>
      </w:pPr>
      <w:r>
        <w:rPr>
          <w:rFonts w:ascii="Times New Roman" w:hAnsi="Times New Roman"/>
          <w:b/>
          <w:sz w:val="24"/>
        </w:rPr>
        <w:t xml:space="preserve">FR-03: Multi-Tiered Hybrid Intent Classification: </w:t>
      </w:r>
      <w:r>
        <w:rPr>
          <w:rFonts w:ascii="Times New Roman" w:hAnsi="Times New Roman"/>
          <w:sz w:val="24"/>
        </w:rPr>
        <w:t>The system shall classify ingested shell commands into 10 canonical MITRE ATT&amp;CK intent categories, utilizing deterministic regex matching for high-confidence signatures, a Calibrated Linear SVM for general commands, and an LLM fallback for ambiguous syntax.</w:t>
      </w:r>
    </w:p>
    <w:p>
      <w:pPr>
        <w:pStyle w:val="ListBullet"/>
        <w:spacing w:before="40" w:after="80" w:line="300" w:lineRule="auto"/>
        <w:jc w:val="both"/>
      </w:pPr>
      <w:r>
        <w:rPr>
          <w:rFonts w:ascii="Times New Roman" w:hAnsi="Times New Roman"/>
          <w:b/>
          <w:sz w:val="24"/>
        </w:rPr>
        <w:t xml:space="preserve">FR-04: Unsupervised Outlier &amp; Novelty Detection: </w:t>
      </w:r>
      <w:r>
        <w:rPr>
          <w:rFonts w:ascii="Times New Roman" w:hAnsi="Times New Roman"/>
          <w:sz w:val="24"/>
        </w:rPr>
        <w:t>The system shall extract 16-dimensional structural command features and evaluate novelty using a 300-estimator Isolation Forest at a calibrated threshold of -0.4906, tagging anomalous executions.</w:t>
      </w:r>
    </w:p>
    <w:p>
      <w:pPr>
        <w:pStyle w:val="ListBullet"/>
        <w:spacing w:before="40" w:after="80" w:line="300" w:lineRule="auto"/>
        <w:jc w:val="both"/>
      </w:pPr>
      <w:r>
        <w:rPr>
          <w:rFonts w:ascii="Times New Roman" w:hAnsi="Times New Roman"/>
          <w:b/>
          <w:sz w:val="24"/>
        </w:rPr>
        <w:t xml:space="preserve">FR-05: Attack-Stage Classification: </w:t>
      </w:r>
      <w:r>
        <w:rPr>
          <w:rFonts w:ascii="Times New Roman" w:hAnsi="Times New Roman"/>
          <w:sz w:val="24"/>
        </w:rPr>
        <w:t>The system shall predict the overarching MITRE intrusion stage (Reconnaissance, Discovery, Credential Access, Execution, Privilege Escalation, Persistence, Exfiltration, Cleanup) using a 120-tree Random Forest classifier.</w:t>
      </w:r>
    </w:p>
    <w:p>
      <w:pPr>
        <w:pStyle w:val="ListBullet"/>
        <w:spacing w:before="40" w:after="80" w:line="300" w:lineRule="auto"/>
        <w:jc w:val="both"/>
      </w:pPr>
      <w:r>
        <w:rPr>
          <w:rFonts w:ascii="Times New Roman" w:hAnsi="Times New Roman"/>
          <w:b/>
          <w:sz w:val="24"/>
        </w:rPr>
        <w:t xml:space="preserve">FR-06: Explainable Continuous Threat Risk Prediction: </w:t>
      </w:r>
      <w:r>
        <w:rPr>
          <w:rFonts w:ascii="Times New Roman" w:hAnsi="Times New Roman"/>
          <w:sz w:val="24"/>
        </w:rPr>
        <w:t>The system shall calculate an explainable threat risk score (0-100 scale) combining heuristic base intent weights, administrative privilege multipliers, and a HistGradientBoosting regressor.</w:t>
      </w:r>
    </w:p>
    <w:p>
      <w:pPr>
        <w:pStyle w:val="ListBullet"/>
        <w:spacing w:before="40" w:after="80" w:line="300" w:lineRule="auto"/>
        <w:jc w:val="both"/>
      </w:pPr>
      <w:r>
        <w:rPr>
          <w:rFonts w:ascii="Times New Roman" w:hAnsi="Times New Roman"/>
          <w:b/>
          <w:sz w:val="24"/>
        </w:rPr>
        <w:t xml:space="preserve">FR-07: Stateful Markov Sequence Transition Projection: </w:t>
      </w:r>
      <w:r>
        <w:rPr>
          <w:rFonts w:ascii="Times New Roman" w:hAnsi="Times New Roman"/>
          <w:sz w:val="24"/>
        </w:rPr>
        <w:t>The system shall maintain an order-1 Markov transition matrix tracking observed intent sequences per attacker session, flagging aberrant transitions and computing the probability distribution of imminent next actions.</w:t>
      </w:r>
    </w:p>
    <w:p>
      <w:pPr>
        <w:pStyle w:val="ListBullet"/>
        <w:spacing w:before="40" w:after="80" w:line="300" w:lineRule="auto"/>
        <w:jc w:val="both"/>
      </w:pPr>
      <w:r>
        <w:rPr>
          <w:rFonts w:ascii="Times New Roman" w:hAnsi="Times New Roman"/>
          <w:b/>
          <w:sz w:val="24"/>
        </w:rPr>
        <w:t xml:space="preserve">FR-08: Real-Time WebSocket Streaming &amp; Console Visualization: </w:t>
      </w:r>
      <w:r>
        <w:rPr>
          <w:rFonts w:ascii="Times New Roman" w:hAnsi="Times New Roman"/>
          <w:sz w:val="24"/>
        </w:rPr>
        <w:t>The system shall push all enriched events, updated session summaries, risk scores, and anomaly alerts over WebSocket connections to the operator dashboard within 50 milliseconds of ingestion.</w:t>
      </w:r>
    </w:p>
    <w:p>
      <w:pPr>
        <w:spacing w:before="240" w:after="120" w:line="276" w:lineRule="auto"/>
        <w:jc w:val="left"/>
      </w:pPr>
      <w:r>
        <w:rPr>
          <w:rFonts w:ascii="Times New Roman" w:hAnsi="Times New Roman"/>
          <w:b/>
          <w:color w:val="003366"/>
          <w:sz w:val="24"/>
        </w:rPr>
        <w:t>3.2 Non-Functional Requirements</w:t>
      </w:r>
    </w:p>
    <w:p>
      <w:pPr>
        <w:spacing w:before="0" w:after="120" w:line="360" w:lineRule="auto"/>
        <w:jc w:val="both"/>
      </w:pPr>
      <w:r>
        <w:rPr>
          <w:rFonts w:ascii="Times New Roman" w:hAnsi="Times New Roman"/>
          <w:i w:val="0"/>
          <w:sz w:val="24"/>
        </w:rPr>
        <w:t>The non-functional requirements prescribe system qualities, operational constraints, and architectural invariants:</w:t>
      </w:r>
    </w:p>
    <w:p>
      <w:pPr>
        <w:pStyle w:val="ListBullet"/>
        <w:spacing w:before="40" w:after="80" w:line="300" w:lineRule="auto"/>
        <w:jc w:val="both"/>
      </w:pPr>
      <w:r>
        <w:rPr>
          <w:rFonts w:ascii="Times New Roman" w:hAnsi="Times New Roman"/>
          <w:b/>
          <w:sz w:val="24"/>
        </w:rPr>
        <w:t xml:space="preserve">Performance and Latency (NFR-01): </w:t>
      </w:r>
      <w:r>
        <w:rPr>
          <w:rFonts w:ascii="Times New Roman" w:hAnsi="Times New Roman"/>
          <w:sz w:val="24"/>
        </w:rPr>
        <w:t>End-to-end event processing latency from raw JSON line reading to WebSocket client broadcast shall not exceed 50 milliseconds under normal operation (achieving ~10.77 ms mean empirically).</w:t>
      </w:r>
    </w:p>
    <w:p>
      <w:pPr>
        <w:pStyle w:val="ListBullet"/>
        <w:spacing w:before="40" w:after="80" w:line="300" w:lineRule="auto"/>
        <w:jc w:val="both"/>
      </w:pPr>
      <w:r>
        <w:rPr>
          <w:rFonts w:ascii="Times New Roman" w:hAnsi="Times New Roman"/>
          <w:b/>
          <w:sz w:val="24"/>
        </w:rPr>
        <w:t xml:space="preserve">Reliability and Fault Tolerance (NFR-02): </w:t>
      </w:r>
      <w:r>
        <w:rPr>
          <w:rFonts w:ascii="Times New Roman" w:hAnsi="Times New Roman"/>
          <w:sz w:val="24"/>
        </w:rPr>
        <w:t>The ingestion and classification services shall tolerate malformed JSON, corrupted log lines, external API timeouts, and database connection interruptions without crashing or terminating running sessions.</w:t>
      </w:r>
    </w:p>
    <w:p>
      <w:pPr>
        <w:pStyle w:val="ListBullet"/>
        <w:spacing w:before="40" w:after="80" w:line="300" w:lineRule="auto"/>
        <w:jc w:val="both"/>
      </w:pPr>
      <w:r>
        <w:rPr>
          <w:rFonts w:ascii="Times New Roman" w:hAnsi="Times New Roman"/>
          <w:b/>
          <w:sz w:val="24"/>
        </w:rPr>
        <w:t xml:space="preserve">Security and Data Integrity (NFR-03): </w:t>
      </w:r>
      <w:r>
        <w:rPr>
          <w:rFonts w:ascii="Times New Roman" w:hAnsi="Times New Roman"/>
          <w:sz w:val="24"/>
        </w:rPr>
        <w:t>All plain-text credentials, passwords, and sensitive tokens captured by honeypots shall be redacted prior to persistence or UI broadcast. Model artifacts shall be cryptographically verified using SHA-256 checksums.</w:t>
      </w:r>
    </w:p>
    <w:p>
      <w:pPr>
        <w:pStyle w:val="ListBullet"/>
        <w:spacing w:before="40" w:after="80" w:line="300" w:lineRule="auto"/>
        <w:jc w:val="both"/>
      </w:pPr>
      <w:r>
        <w:rPr>
          <w:rFonts w:ascii="Times New Roman" w:hAnsi="Times New Roman"/>
          <w:b/>
          <w:sz w:val="24"/>
        </w:rPr>
        <w:t xml:space="preserve">Scalability and Resource Efficiency (NFR-04): </w:t>
      </w:r>
      <w:r>
        <w:rPr>
          <w:rFonts w:ascii="Times New Roman" w:hAnsi="Times New Roman"/>
          <w:sz w:val="24"/>
        </w:rPr>
        <w:t>The backend shall sustain a sustained ingestion throughput of at least 500 events per second utilizing an in-memory bounded LRU session cache to prevent memory exhaustion.</w:t>
      </w:r>
    </w:p>
    <w:p>
      <w:pPr>
        <w:pStyle w:val="ListBullet"/>
        <w:spacing w:before="40" w:after="80" w:line="300" w:lineRule="auto"/>
        <w:jc w:val="both"/>
      </w:pPr>
      <w:r>
        <w:rPr>
          <w:rFonts w:ascii="Times New Roman" w:hAnsi="Times New Roman"/>
          <w:b/>
          <w:sz w:val="24"/>
        </w:rPr>
        <w:t xml:space="preserve">Usability and Ergonomics (NFR-05): </w:t>
      </w:r>
      <w:r>
        <w:rPr>
          <w:rFonts w:ascii="Times New Roman" w:hAnsi="Times New Roman"/>
          <w:sz w:val="24"/>
        </w:rPr>
        <w:t>The web interface shall adhere to a clean dark-navy cybersecurity aesthetic, providing SOC analysts with intuitive navigation across Overview, Live Sessions, Attacker Profiles, Threat Alerts, Analytics, and Research Labs.</w:t>
      </w:r>
    </w:p>
    <w:p>
      <w:pPr>
        <w:spacing w:before="240" w:after="120" w:line="276" w:lineRule="auto"/>
        <w:jc w:val="left"/>
      </w:pPr>
      <w:r>
        <w:rPr>
          <w:rFonts w:ascii="Times New Roman" w:hAnsi="Times New Roman"/>
          <w:b/>
          <w:color w:val="003366"/>
          <w:sz w:val="24"/>
        </w:rPr>
        <w:t>3.3 Hardware Requirements Specification</w:t>
      </w:r>
    </w:p>
    <w:p>
      <w:pPr>
        <w:spacing w:before="0" w:after="120" w:line="360" w:lineRule="auto"/>
        <w:jc w:val="both"/>
      </w:pPr>
      <w:r>
        <w:rPr>
          <w:rFonts w:ascii="Times New Roman" w:hAnsi="Times New Roman"/>
          <w:i w:val="0"/>
          <w:sz w:val="24"/>
        </w:rPr>
        <w:t>Table 3.1 details the minimum and recommended hardware configurations required for developing, evaluating, and deploying INT-AWARE.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000"/>
        <w:gridCol w:w="3000"/>
        <w:gridCol w:w="3000"/>
      </w:tblGrid>
      <w:tr>
        <w:tc>
          <w:tcPr>
            <w:tcW w:type="dxa" w:w="3000"/>
            <w:shd w:fill="003366"/>
            <w:tcMar>
              <w:top w:w="100" w:type="dxa"/>
              <w:bottom w:w="100" w:type="dxa"/>
              <w:left w:w="120" w:type="dxa"/>
              <w:right w:w="120" w:type="dxa"/>
            </w:tcMar>
          </w:tcPr>
          <w:p>
            <w:pPr>
              <w:spacing w:before="20" w:after="20" w:line="240" w:lineRule="auto"/>
              <w:jc w:val="center"/>
            </w:pPr>
            <w:r>
              <w:rPr>
                <w:rFonts w:ascii="Times New Roman" w:hAnsi="Times New Roman"/>
                <w:b/>
                <w:color w:val="FFFFFF"/>
                <w:sz w:val="19"/>
              </w:rPr>
              <w:t>Component</w:t>
            </w:r>
          </w:p>
        </w:tc>
        <w:tc>
          <w:tcPr>
            <w:tcW w:type="dxa" w:w="3000"/>
            <w:shd w:fill="003366"/>
            <w:tcMar>
              <w:top w:w="100" w:type="dxa"/>
              <w:bottom w:w="100" w:type="dxa"/>
              <w:left w:w="120" w:type="dxa"/>
              <w:right w:w="120" w:type="dxa"/>
            </w:tcMar>
          </w:tcPr>
          <w:p>
            <w:pPr>
              <w:spacing w:before="20" w:after="20" w:line="240" w:lineRule="auto"/>
              <w:jc w:val="center"/>
            </w:pPr>
            <w:r>
              <w:rPr>
                <w:rFonts w:ascii="Times New Roman" w:hAnsi="Times New Roman"/>
                <w:b/>
                <w:color w:val="FFFFFF"/>
                <w:sz w:val="19"/>
              </w:rPr>
              <w:t>Minimum Requirement</w:t>
            </w:r>
          </w:p>
        </w:tc>
        <w:tc>
          <w:tcPr>
            <w:tcW w:type="dxa" w:w="3000"/>
            <w:shd w:fill="003366"/>
            <w:tcMar>
              <w:top w:w="100" w:type="dxa"/>
              <w:bottom w:w="100" w:type="dxa"/>
              <w:left w:w="120" w:type="dxa"/>
              <w:right w:w="120" w:type="dxa"/>
            </w:tcMar>
          </w:tcPr>
          <w:p>
            <w:pPr>
              <w:spacing w:before="20" w:after="20" w:line="240" w:lineRule="auto"/>
              <w:jc w:val="center"/>
            </w:pPr>
            <w:r>
              <w:rPr>
                <w:rFonts w:ascii="Times New Roman" w:hAnsi="Times New Roman"/>
                <w:b/>
                <w:color w:val="FFFFFF"/>
                <w:sz w:val="19"/>
              </w:rPr>
              <w:t>Recommended Deployment Specification</w:t>
            </w:r>
          </w:p>
        </w:tc>
      </w:tr>
      <w:tr>
        <w:tc>
          <w:tcPr>
            <w:tcW w:type="dxa" w:w="3000"/>
            <w:shd w:fill="FFFFFF"/>
            <w:tcMar>
              <w:top w:w="80" w:type="dxa"/>
              <w:bottom w:w="80" w:type="dxa"/>
              <w:left w:w="120" w:type="dxa"/>
              <w:right w:w="120" w:type="dxa"/>
            </w:tcMar>
          </w:tcPr>
          <w:p>
            <w:pPr>
              <w:spacing w:before="20" w:after="20" w:line="240" w:lineRule="auto"/>
              <w:jc w:val="left"/>
            </w:pPr>
            <w:r>
              <w:rPr>
                <w:rFonts w:ascii="Times New Roman" w:hAnsi="Times New Roman"/>
                <w:b/>
                <w:sz w:val="18"/>
              </w:rPr>
              <w:t>Processor (CPU)</w:t>
            </w:r>
          </w:p>
        </w:tc>
        <w:tc>
          <w:tcPr>
            <w:tcW w:type="dxa" w:w="3000"/>
            <w:shd w:fill="FFFFFF"/>
            <w:tcMar>
              <w:top w:w="80" w:type="dxa"/>
              <w:bottom w:w="80" w:type="dxa"/>
              <w:left w:w="120" w:type="dxa"/>
              <w:right w:w="120" w:type="dxa"/>
            </w:tcMar>
          </w:tcPr>
          <w:p>
            <w:pPr>
              <w:spacing w:before="20" w:after="20" w:line="240" w:lineRule="auto"/>
              <w:jc w:val="left"/>
            </w:pPr>
            <w:r>
              <w:rPr>
                <w:rFonts w:ascii="Times New Roman" w:hAnsi="Times New Roman"/>
                <w:sz w:val="18"/>
              </w:rPr>
              <w:t>Intel Core i5 / AMD Ryzen 5 (4 Cores, 2.5 GHz)</w:t>
            </w:r>
          </w:p>
        </w:tc>
        <w:tc>
          <w:tcPr>
            <w:tcW w:type="dxa" w:w="3000"/>
            <w:shd w:fill="FFFFFF"/>
            <w:tcMar>
              <w:top w:w="80" w:type="dxa"/>
              <w:bottom w:w="80" w:type="dxa"/>
              <w:left w:w="120" w:type="dxa"/>
              <w:right w:w="120" w:type="dxa"/>
            </w:tcMar>
          </w:tcPr>
          <w:p>
            <w:pPr>
              <w:spacing w:before="20" w:after="20" w:line="240" w:lineRule="auto"/>
              <w:jc w:val="left"/>
            </w:pPr>
            <w:r>
              <w:rPr>
                <w:rFonts w:ascii="Times New Roman" w:hAnsi="Times New Roman"/>
                <w:sz w:val="18"/>
              </w:rPr>
              <w:t>Intel Core i7 / AMD Ryzen 7 (8 Cores, 3.2+ GHz)</w:t>
            </w:r>
          </w:p>
        </w:tc>
      </w:tr>
      <w:tr>
        <w:tc>
          <w:tcPr>
            <w:tcW w:type="dxa" w:w="3000"/>
            <w:shd w:fill="F7FAFC"/>
            <w:tcMar>
              <w:top w:w="80" w:type="dxa"/>
              <w:bottom w:w="80" w:type="dxa"/>
              <w:left w:w="120" w:type="dxa"/>
              <w:right w:w="120" w:type="dxa"/>
            </w:tcMar>
          </w:tcPr>
          <w:p>
            <w:pPr>
              <w:spacing w:before="20" w:after="20" w:line="240" w:lineRule="auto"/>
              <w:jc w:val="left"/>
            </w:pPr>
            <w:r>
              <w:rPr>
                <w:rFonts w:ascii="Times New Roman" w:hAnsi="Times New Roman"/>
                <w:b/>
                <w:sz w:val="18"/>
              </w:rPr>
              <w:t>System Memory (RAM)</w:t>
            </w:r>
          </w:p>
        </w:tc>
        <w:tc>
          <w:tcPr>
            <w:tcW w:type="dxa" w:w="3000"/>
            <w:shd w:fill="F7FAFC"/>
            <w:tcMar>
              <w:top w:w="80" w:type="dxa"/>
              <w:bottom w:w="80" w:type="dxa"/>
              <w:left w:w="120" w:type="dxa"/>
              <w:right w:w="120" w:type="dxa"/>
            </w:tcMar>
          </w:tcPr>
          <w:p>
            <w:pPr>
              <w:spacing w:before="20" w:after="20" w:line="240" w:lineRule="auto"/>
              <w:jc w:val="left"/>
            </w:pPr>
            <w:r>
              <w:rPr>
                <w:rFonts w:ascii="Times New Roman" w:hAnsi="Times New Roman"/>
                <w:sz w:val="18"/>
              </w:rPr>
              <w:t>8 GB DDR4</w:t>
            </w:r>
          </w:p>
        </w:tc>
        <w:tc>
          <w:tcPr>
            <w:tcW w:type="dxa" w:w="3000"/>
            <w:shd w:fill="F7FAFC"/>
            <w:tcMar>
              <w:top w:w="80" w:type="dxa"/>
              <w:bottom w:w="80" w:type="dxa"/>
              <w:left w:w="120" w:type="dxa"/>
              <w:right w:w="120" w:type="dxa"/>
            </w:tcMar>
          </w:tcPr>
          <w:p>
            <w:pPr>
              <w:spacing w:before="20" w:after="20" w:line="240" w:lineRule="auto"/>
              <w:jc w:val="left"/>
            </w:pPr>
            <w:r>
              <w:rPr>
                <w:rFonts w:ascii="Times New Roman" w:hAnsi="Times New Roman"/>
                <w:sz w:val="18"/>
              </w:rPr>
              <w:t>16 GB - 32 GB DDR4/DDR5</w:t>
            </w:r>
          </w:p>
        </w:tc>
      </w:tr>
      <w:tr>
        <w:tc>
          <w:tcPr>
            <w:tcW w:type="dxa" w:w="3000"/>
            <w:shd w:fill="FFFFFF"/>
            <w:tcMar>
              <w:top w:w="80" w:type="dxa"/>
              <w:bottom w:w="80" w:type="dxa"/>
              <w:left w:w="120" w:type="dxa"/>
              <w:right w:w="120" w:type="dxa"/>
            </w:tcMar>
          </w:tcPr>
          <w:p>
            <w:pPr>
              <w:spacing w:before="20" w:after="20" w:line="240" w:lineRule="auto"/>
              <w:jc w:val="left"/>
            </w:pPr>
            <w:r>
              <w:rPr>
                <w:rFonts w:ascii="Times New Roman" w:hAnsi="Times New Roman"/>
                <w:b/>
                <w:sz w:val="18"/>
              </w:rPr>
              <w:t>Persistent Storage</w:t>
            </w:r>
          </w:p>
        </w:tc>
        <w:tc>
          <w:tcPr>
            <w:tcW w:type="dxa" w:w="3000"/>
            <w:shd w:fill="FFFFFF"/>
            <w:tcMar>
              <w:top w:w="80" w:type="dxa"/>
              <w:bottom w:w="80" w:type="dxa"/>
              <w:left w:w="120" w:type="dxa"/>
              <w:right w:w="120" w:type="dxa"/>
            </w:tcMar>
          </w:tcPr>
          <w:p>
            <w:pPr>
              <w:spacing w:before="20" w:after="20" w:line="240" w:lineRule="auto"/>
              <w:jc w:val="left"/>
            </w:pPr>
            <w:r>
              <w:rPr>
                <w:rFonts w:ascii="Times New Roman" w:hAnsi="Times New Roman"/>
                <w:sz w:val="18"/>
              </w:rPr>
              <w:t>256 GB SSD (SATA III)</w:t>
            </w:r>
          </w:p>
        </w:tc>
        <w:tc>
          <w:tcPr>
            <w:tcW w:type="dxa" w:w="3000"/>
            <w:shd w:fill="FFFFFF"/>
            <w:tcMar>
              <w:top w:w="80" w:type="dxa"/>
              <w:bottom w:w="80" w:type="dxa"/>
              <w:left w:w="120" w:type="dxa"/>
              <w:right w:w="120" w:type="dxa"/>
            </w:tcMar>
          </w:tcPr>
          <w:p>
            <w:pPr>
              <w:spacing w:before="20" w:after="20" w:line="240" w:lineRule="auto"/>
              <w:jc w:val="left"/>
            </w:pPr>
            <w:r>
              <w:rPr>
                <w:rFonts w:ascii="Times New Roman" w:hAnsi="Times New Roman"/>
                <w:sz w:val="18"/>
              </w:rPr>
              <w:t>512 GB - 1 TB NVMe M.2 SSD</w:t>
            </w:r>
          </w:p>
        </w:tc>
      </w:tr>
      <w:tr>
        <w:tc>
          <w:tcPr>
            <w:tcW w:type="dxa" w:w="3000"/>
            <w:shd w:fill="F7FAFC"/>
            <w:tcMar>
              <w:top w:w="80" w:type="dxa"/>
              <w:bottom w:w="80" w:type="dxa"/>
              <w:left w:w="120" w:type="dxa"/>
              <w:right w:w="120" w:type="dxa"/>
            </w:tcMar>
          </w:tcPr>
          <w:p>
            <w:pPr>
              <w:spacing w:before="20" w:after="20" w:line="240" w:lineRule="auto"/>
              <w:jc w:val="left"/>
            </w:pPr>
            <w:r>
              <w:rPr>
                <w:rFonts w:ascii="Times New Roman" w:hAnsi="Times New Roman"/>
                <w:b/>
                <w:sz w:val="18"/>
              </w:rPr>
              <w:t>Network Interface</w:t>
            </w:r>
          </w:p>
        </w:tc>
        <w:tc>
          <w:tcPr>
            <w:tcW w:type="dxa" w:w="3000"/>
            <w:shd w:fill="F7FAFC"/>
            <w:tcMar>
              <w:top w:w="80" w:type="dxa"/>
              <w:bottom w:w="80" w:type="dxa"/>
              <w:left w:w="120" w:type="dxa"/>
              <w:right w:w="120" w:type="dxa"/>
            </w:tcMar>
          </w:tcPr>
          <w:p>
            <w:pPr>
              <w:spacing w:before="20" w:after="20" w:line="240" w:lineRule="auto"/>
              <w:jc w:val="left"/>
            </w:pPr>
            <w:r>
              <w:rPr>
                <w:rFonts w:ascii="Times New Roman" w:hAnsi="Times New Roman"/>
                <w:sz w:val="18"/>
              </w:rPr>
              <w:t>100 Mbps Ethernet / Wi-Fi</w:t>
            </w:r>
          </w:p>
        </w:tc>
        <w:tc>
          <w:tcPr>
            <w:tcW w:type="dxa" w:w="3000"/>
            <w:shd w:fill="F7FAFC"/>
            <w:tcMar>
              <w:top w:w="80" w:type="dxa"/>
              <w:bottom w:w="80" w:type="dxa"/>
              <w:left w:w="120" w:type="dxa"/>
              <w:right w:w="120" w:type="dxa"/>
            </w:tcMar>
          </w:tcPr>
          <w:p>
            <w:pPr>
              <w:spacing w:before="20" w:after="20" w:line="240" w:lineRule="auto"/>
              <w:jc w:val="left"/>
            </w:pPr>
            <w:r>
              <w:rPr>
                <w:rFonts w:ascii="Times New Roman" w:hAnsi="Times New Roman"/>
                <w:sz w:val="18"/>
              </w:rPr>
              <w:t>1 Gbps Full-Duplex Low-Latency NIC</w:t>
            </w:r>
          </w:p>
        </w:tc>
      </w:tr>
      <w:tr>
        <w:tc>
          <w:tcPr>
            <w:tcW w:type="dxa" w:w="3000"/>
            <w:shd w:fill="FFFFFF"/>
            <w:tcMar>
              <w:top w:w="80" w:type="dxa"/>
              <w:bottom w:w="80" w:type="dxa"/>
              <w:left w:w="120" w:type="dxa"/>
              <w:right w:w="120" w:type="dxa"/>
            </w:tcMar>
          </w:tcPr>
          <w:p>
            <w:pPr>
              <w:spacing w:before="20" w:after="20" w:line="240" w:lineRule="auto"/>
              <w:jc w:val="left"/>
            </w:pPr>
            <w:r>
              <w:rPr>
                <w:rFonts w:ascii="Times New Roman" w:hAnsi="Times New Roman"/>
                <w:b/>
                <w:sz w:val="18"/>
              </w:rPr>
              <w:t>Display Resolution</w:t>
            </w:r>
          </w:p>
        </w:tc>
        <w:tc>
          <w:tcPr>
            <w:tcW w:type="dxa" w:w="3000"/>
            <w:shd w:fill="FFFFFF"/>
            <w:tcMar>
              <w:top w:w="80" w:type="dxa"/>
              <w:bottom w:w="80" w:type="dxa"/>
              <w:left w:w="120" w:type="dxa"/>
              <w:right w:w="120" w:type="dxa"/>
            </w:tcMar>
          </w:tcPr>
          <w:p>
            <w:pPr>
              <w:spacing w:before="20" w:after="20" w:line="240" w:lineRule="auto"/>
              <w:jc w:val="left"/>
            </w:pPr>
            <w:r>
              <w:rPr>
                <w:rFonts w:ascii="Times New Roman" w:hAnsi="Times New Roman"/>
                <w:sz w:val="18"/>
              </w:rPr>
              <w:t>1366 x 768 pixels</w:t>
            </w:r>
          </w:p>
        </w:tc>
        <w:tc>
          <w:tcPr>
            <w:tcW w:type="dxa" w:w="3000"/>
            <w:shd w:fill="FFFFFF"/>
            <w:tcMar>
              <w:top w:w="80" w:type="dxa"/>
              <w:bottom w:w="80" w:type="dxa"/>
              <w:left w:w="120" w:type="dxa"/>
              <w:right w:w="120" w:type="dxa"/>
            </w:tcMar>
          </w:tcPr>
          <w:p>
            <w:pPr>
              <w:spacing w:before="20" w:after="20" w:line="240" w:lineRule="auto"/>
              <w:jc w:val="left"/>
            </w:pPr>
            <w:r>
              <w:rPr>
                <w:rFonts w:ascii="Times New Roman" w:hAnsi="Times New Roman"/>
                <w:sz w:val="18"/>
              </w:rPr>
              <w:t>1920 x 1080 (Full HD) or higher</w:t>
            </w:r>
          </w:p>
        </w:tc>
      </w:tr>
    </w:tbl>
    <w:p>
      <w:pPr>
        <w:spacing w:before="80" w:after="240" w:line="240" w:lineRule="auto"/>
        <w:jc w:val="center"/>
      </w:pPr>
      <w:r>
        <w:rPr>
          <w:rFonts w:ascii="Times New Roman" w:hAnsi="Times New Roman"/>
          <w:b/>
          <w:sz w:val="20"/>
        </w:rPr>
        <w:t>Table 3.1: Hardware Requirements Specification for Development and Deployment</w:t>
      </w:r>
    </w:p>
    <w:p>
      <w:pPr>
        <w:spacing w:before="240" w:after="120" w:line="276" w:lineRule="auto"/>
        <w:jc w:val="left"/>
      </w:pPr>
      <w:r>
        <w:rPr>
          <w:rFonts w:ascii="Times New Roman" w:hAnsi="Times New Roman"/>
          <w:b/>
          <w:color w:val="003366"/>
          <w:sz w:val="24"/>
        </w:rPr>
        <w:t>3.4 Software Requirements Specification</w:t>
      </w:r>
    </w:p>
    <w:p>
      <w:pPr>
        <w:spacing w:before="0" w:after="120" w:line="360" w:lineRule="auto"/>
        <w:jc w:val="both"/>
      </w:pPr>
      <w:r>
        <w:rPr>
          <w:rFonts w:ascii="Times New Roman" w:hAnsi="Times New Roman"/>
          <w:i w:val="0"/>
          <w:sz w:val="24"/>
        </w:rPr>
        <w:t>Table 3.2 summarizes the software runtime environments, frameworks, and third-party dependencies comprising the INT-AWARE stack.</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0"/>
        <w:gridCol w:w="2250"/>
        <w:gridCol w:w="2250"/>
        <w:gridCol w:w="2250"/>
      </w:tblGrid>
      <w:tr>
        <w:tc>
          <w:tcPr>
            <w:tcW w:type="dxa" w:w="2250"/>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8"/>
              </w:rPr>
              <w:t>Layer / Subsystem</w:t>
            </w:r>
          </w:p>
        </w:tc>
        <w:tc>
          <w:tcPr>
            <w:tcW w:type="dxa" w:w="2250"/>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8"/>
              </w:rPr>
              <w:t>Software / Framework Component</w:t>
            </w:r>
          </w:p>
        </w:tc>
        <w:tc>
          <w:tcPr>
            <w:tcW w:type="dxa" w:w="2250"/>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8"/>
              </w:rPr>
              <w:t>Version</w:t>
            </w:r>
          </w:p>
        </w:tc>
        <w:tc>
          <w:tcPr>
            <w:tcW w:type="dxa" w:w="2250"/>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8"/>
              </w:rPr>
              <w:t>Role &amp; Justification</w:t>
            </w:r>
          </w:p>
        </w:tc>
      </w:tr>
      <w:tr>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b/>
                <w:sz w:val="17"/>
              </w:rPr>
              <w:t>Operating System</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Ubuntu Linux 22.04 LTS / Windows 11</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64-bit</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Host OS providing container runtime and POSIX compatibility</w:t>
            </w:r>
          </w:p>
        </w:tc>
      </w:tr>
      <w:tr>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b/>
                <w:sz w:val="17"/>
              </w:rPr>
              <w:t>Backend Runtime</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Python</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3.11.x / 3.13.x</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High-performance asynchronous runtime for ML pipelines</w:t>
            </w:r>
          </w:p>
        </w:tc>
      </w:tr>
      <w:tr>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b/>
                <w:sz w:val="17"/>
              </w:rPr>
              <w:t>API Framework</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FastAPI + Uvicorn</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0.115.x</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Asynchronous ASGI web server with automatic OpenAPI schemas</w:t>
            </w:r>
          </w:p>
        </w:tc>
      </w:tr>
      <w:tr>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b/>
                <w:sz w:val="17"/>
              </w:rPr>
              <w:t>Machine Learning</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Scikit-Learn, NumPy, SciPy</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1.6.x</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Model training, calibration, feature extraction, and inference</w:t>
            </w:r>
          </w:p>
        </w:tc>
      </w:tr>
      <w:tr>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b/>
                <w:sz w:val="17"/>
              </w:rPr>
              <w:t>Honeypot Service</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Cowrie SSH / Telnet Honeypot</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Docker latest</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Medium-interaction emulation capturing realistic threat keystrokes</w:t>
            </w:r>
          </w:p>
        </w:tc>
      </w:tr>
      <w:tr>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b/>
                <w:sz w:val="17"/>
              </w:rPr>
              <w:t>Database Layer</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SQLite 3 / MongoDB</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3.40+ / 7.0+</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ACID relational session store with optional document storage</w:t>
            </w:r>
          </w:p>
        </w:tc>
      </w:tr>
      <w:tr>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b/>
                <w:sz w:val="17"/>
              </w:rPr>
              <w:t>Frontend UI</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React, TypeScript, Vite, Tailwind CSS</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18.3.x / 5.x</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Component-driven reactive single-page user interface</w:t>
            </w:r>
          </w:p>
        </w:tc>
      </w:tr>
      <w:tr>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b/>
                <w:sz w:val="17"/>
              </w:rPr>
              <w:t>Data Serialization</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Joblib, Pydantic v2</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1.4.x / 2.9.x</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Model artifact serialization and strict data validation</w:t>
            </w:r>
          </w:p>
        </w:tc>
      </w:tr>
    </w:tbl>
    <w:p>
      <w:pPr>
        <w:spacing w:before="80" w:after="240" w:line="240" w:lineRule="auto"/>
        <w:jc w:val="center"/>
      </w:pPr>
      <w:r>
        <w:rPr>
          <w:rFonts w:ascii="Times New Roman" w:hAnsi="Times New Roman"/>
          <w:b/>
          <w:sz w:val="20"/>
        </w:rPr>
        <w:t>Table 3.2: Software Requirements Specification and Technology Stack</w:t>
      </w:r>
    </w:p>
    <w:p>
      <w:pPr>
        <w:spacing w:before="240" w:after="120" w:line="276" w:lineRule="auto"/>
        <w:jc w:val="left"/>
      </w:pPr>
      <w:r>
        <w:rPr>
          <w:rFonts w:ascii="Times New Roman" w:hAnsi="Times New Roman"/>
          <w:b/>
          <w:color w:val="003366"/>
          <w:sz w:val="24"/>
        </w:rPr>
        <w:t>3.5 Performance Metrics and Success Criteria</w:t>
      </w:r>
    </w:p>
    <w:p>
      <w:pPr>
        <w:spacing w:before="0" w:after="120" w:line="360" w:lineRule="auto"/>
        <w:jc w:val="both"/>
      </w:pPr>
      <w:r>
        <w:rPr>
          <w:rFonts w:ascii="Times New Roman" w:hAnsi="Times New Roman"/>
          <w:i w:val="0"/>
          <w:sz w:val="24"/>
        </w:rPr>
        <w:t>To objectively determine system efficacy, INT-AWARE was held to strict performance metrics:</w:t>
      </w:r>
    </w:p>
    <w:p>
      <w:pPr>
        <w:pStyle w:val="ListBullet"/>
        <w:spacing w:before="40" w:after="80" w:line="300" w:lineRule="auto"/>
        <w:jc w:val="both"/>
      </w:pPr>
      <w:r>
        <w:rPr>
          <w:rFonts w:ascii="Times New Roman" w:hAnsi="Times New Roman"/>
          <w:b/>
          <w:sz w:val="24"/>
        </w:rPr>
        <w:t xml:space="preserve">Classification Accuracy Target: </w:t>
      </w:r>
      <w:r>
        <w:rPr>
          <w:rFonts w:ascii="Times New Roman" w:hAnsi="Times New Roman"/>
          <w:sz w:val="24"/>
        </w:rPr>
        <w:t>Optimization target of 99.88% test accuracy for eligible machine learning models on held-out evaluation datasets.</w:t>
      </w:r>
    </w:p>
    <w:p>
      <w:pPr>
        <w:pStyle w:val="ListBullet"/>
        <w:spacing w:before="40" w:after="80" w:line="300" w:lineRule="auto"/>
        <w:jc w:val="both"/>
      </w:pPr>
      <w:r>
        <w:rPr>
          <w:rFonts w:ascii="Times New Roman" w:hAnsi="Times New Roman"/>
          <w:b/>
          <w:sz w:val="24"/>
        </w:rPr>
        <w:t xml:space="preserve">Zero False-Alarm Rate on Administrative Commands: </w:t>
      </w:r>
      <w:r>
        <w:rPr>
          <w:rFonts w:ascii="Times New Roman" w:hAnsi="Times New Roman"/>
          <w:sz w:val="24"/>
        </w:rPr>
        <w:t>The Isolation Forest anomaly detector must achieve 0.00% False Positive Rate on normal Unix commands, preventing false operator alerts.</w:t>
      </w:r>
    </w:p>
    <w:p>
      <w:pPr>
        <w:pStyle w:val="ListBullet"/>
        <w:spacing w:before="40" w:after="80" w:line="300" w:lineRule="auto"/>
        <w:jc w:val="both"/>
      </w:pPr>
      <w:r>
        <w:rPr>
          <w:rFonts w:ascii="Times New Roman" w:hAnsi="Times New Roman"/>
          <w:b/>
          <w:sz w:val="24"/>
        </w:rPr>
        <w:t xml:space="preserve">Sub-50ms Processing Latency: </w:t>
      </w:r>
      <w:r>
        <w:rPr>
          <w:rFonts w:ascii="Times New Roman" w:hAnsi="Times New Roman"/>
          <w:sz w:val="24"/>
        </w:rPr>
        <w:t>Total mean time from log collector reading to WebSocket broadcast must remain strictly below 50 milliseconds per command event.</w:t>
      </w:r>
    </w:p>
    <w:p>
      <w:pPr>
        <w:pStyle w:val="ListBullet"/>
        <w:spacing w:before="40" w:after="80" w:line="300" w:lineRule="auto"/>
        <w:jc w:val="both"/>
      </w:pPr>
      <w:r>
        <w:rPr>
          <w:rFonts w:ascii="Times New Roman" w:hAnsi="Times New Roman"/>
          <w:b/>
          <w:sz w:val="24"/>
        </w:rPr>
        <w:t xml:space="preserve">Zero Test Regressions: </w:t>
      </w:r>
      <w:r>
        <w:rPr>
          <w:rFonts w:ascii="Times New Roman" w:hAnsi="Times New Roman"/>
          <w:sz w:val="24"/>
        </w:rPr>
        <w:t>All 166 automated unit, integration, and system verification test cases must pass with 0 failures.</w:t>
      </w:r>
    </w:p>
    <w:p>
      <w:pPr>
        <w:spacing w:before="240" w:after="120" w:line="276" w:lineRule="auto"/>
        <w:jc w:val="left"/>
      </w:pPr>
      <w:r>
        <w:rPr>
          <w:rFonts w:ascii="Times New Roman" w:hAnsi="Times New Roman"/>
          <w:b/>
          <w:color w:val="003366"/>
          <w:sz w:val="24"/>
        </w:rPr>
        <w:t>3.6 User Interface Requirements</w:t>
      </w:r>
    </w:p>
    <w:p>
      <w:pPr>
        <w:spacing w:before="0" w:after="120" w:line="360" w:lineRule="auto"/>
        <w:jc w:val="both"/>
      </w:pPr>
      <w:r>
        <w:rPr>
          <w:rFonts w:ascii="Times New Roman" w:hAnsi="Times New Roman"/>
          <w:i w:val="0"/>
          <w:sz w:val="24"/>
        </w:rPr>
        <w:t>The web user interface must provide responsive rendering across six primary operational views: (1) Overview Dashboard with live KPI counters and threat severity distributions; (2) Live Sessions monitoring active SSH terminals and command streams; (3) Attacker Profiles indexing unique IP addresses, geographical origin, and behavioral threat tags; (4) Threat Alerts listing elevated-risk detections; (5) Analytics displaying MITRE tactic breakdowns and Markov transition probabilities; and (6) Research Labs enabling counterfactual simulation and adversarial evaluation.</w:t>
      </w:r>
    </w:p>
    <w:p>
      <w:pPr>
        <w:spacing w:before="240" w:after="120" w:line="276" w:lineRule="auto"/>
        <w:jc w:val="left"/>
      </w:pPr>
      <w:r>
        <w:rPr>
          <w:rFonts w:ascii="Times New Roman" w:hAnsi="Times New Roman"/>
          <w:b/>
          <w:color w:val="003366"/>
          <w:sz w:val="24"/>
        </w:rPr>
        <w:t>3.7 Summary</w:t>
      </w:r>
    </w:p>
    <w:p>
      <w:pPr>
        <w:spacing w:before="0" w:after="120" w:line="360" w:lineRule="auto"/>
        <w:jc w:val="both"/>
      </w:pPr>
      <w:r>
        <w:rPr>
          <w:rFonts w:ascii="Times New Roman" w:hAnsi="Times New Roman"/>
          <w:i w:val="0"/>
          <w:sz w:val="24"/>
        </w:rPr>
        <w:t>Chapter 3 formally documented the Functional Requirements (FR-01 to FR-08), Non-Functional Requirements (NFR-01 to NFR-05), hardware/software environments, and quantitative success criteria governing INT-AWARE.</w:t>
      </w:r>
    </w:p>
    <w:p>
      <w:r>
        <w:br w:type="page"/>
      </w:r>
    </w:p>
    <w:p>
      <w:pPr>
        <w:spacing w:before="360" w:after="240" w:line="276" w:lineRule="auto"/>
        <w:jc w:val="center"/>
      </w:pPr>
      <w:r>
        <w:rPr>
          <w:rFonts w:ascii="Times New Roman" w:hAnsi="Times New Roman"/>
          <w:b/>
          <w:color w:val="003366"/>
          <w:sz w:val="28"/>
        </w:rPr>
        <w:t>CHAPTER 4</w:t>
        <w:br/>
        <w:t>SYSTEM DESIGN</w:t>
      </w:r>
    </w:p>
    <w:p>
      <w:pPr>
        <w:spacing w:before="240" w:after="120" w:line="276" w:lineRule="auto"/>
        <w:jc w:val="left"/>
      </w:pPr>
      <w:r>
        <w:rPr>
          <w:rFonts w:ascii="Times New Roman" w:hAnsi="Times New Roman"/>
          <w:b/>
          <w:color w:val="003366"/>
          <w:sz w:val="24"/>
        </w:rPr>
        <w:t>4.1 Abstract Architecture</w:t>
      </w:r>
    </w:p>
    <w:p>
      <w:pPr>
        <w:spacing w:before="0" w:after="120" w:line="360" w:lineRule="auto"/>
        <w:jc w:val="both"/>
      </w:pPr>
      <w:r>
        <w:rPr>
          <w:rFonts w:ascii="Times New Roman" w:hAnsi="Times New Roman"/>
          <w:i w:val="0"/>
          <w:sz w:val="24"/>
        </w:rPr>
        <w:t>At the highest conceptual level, INT-AWARE operates as an intelligent event-driven processing pipeline that bridges cyber deception with tactical machine learning. The abstract architecture partitions concerns into three functional tiers: (1) Data Ingestion and Normalization, which interfaces directly with deceptive honeypot sensors; (2) Multi-Tiered Intelligence and Profiling, which extracts linguistic, structural, and temporal features to infer attacker intent, stage, novelty, and risk; and (3) Persistence and Reactive Presentation, which provides ACID data durability and sub-50ms real-time event streaming to SOC operators.</w:t>
      </w:r>
    </w:p>
    <w:p>
      <w:pPr>
        <w:spacing w:before="240" w:after="120" w:line="276" w:lineRule="auto"/>
        <w:jc w:val="left"/>
      </w:pPr>
      <w:r>
        <w:rPr>
          <w:rFonts w:ascii="Times New Roman" w:hAnsi="Times New Roman"/>
          <w:b/>
          <w:color w:val="003366"/>
          <w:sz w:val="24"/>
        </w:rPr>
        <w:t>4.2 Proposed System Architecture &amp; High-Level Design</w:t>
      </w:r>
    </w:p>
    <w:p>
      <w:pPr>
        <w:spacing w:before="0" w:after="120" w:line="360" w:lineRule="auto"/>
        <w:jc w:val="both"/>
      </w:pPr>
      <w:r>
        <w:rPr>
          <w:rFonts w:ascii="Times New Roman" w:hAnsi="Times New Roman"/>
          <w:i w:val="0"/>
          <w:sz w:val="24"/>
        </w:rPr>
        <w:t>Figure 4.1 illustrates the comprehensive proposed system architecture and end-to-end data pipeline implemented in INT-AWARE.</w:t>
      </w:r>
    </w:p>
    <w:p>
      <w:pPr>
        <w:spacing w:before="160" w:after="6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fig_4_1_system_architecture.png"/>
                    <pic:cNvPicPr/>
                  </pic:nvPicPr>
                  <pic:blipFill>
                    <a:blip r:embed="rId11"/>
                    <a:stretch>
                      <a:fillRect/>
                    </a:stretch>
                  </pic:blipFill>
                  <pic:spPr>
                    <a:xfrm>
                      <a:off x="0" y="0"/>
                      <a:ext cx="5669280" cy="3543300"/>
                    </a:xfrm>
                    <a:prstGeom prst="rect"/>
                  </pic:spPr>
                </pic:pic>
              </a:graphicData>
            </a:graphic>
          </wp:inline>
        </w:drawing>
      </w:r>
    </w:p>
    <w:p>
      <w:pPr>
        <w:spacing w:before="40" w:after="200" w:line="240" w:lineRule="auto"/>
        <w:jc w:val="center"/>
      </w:pPr>
      <w:r>
        <w:rPr>
          <w:rFonts w:ascii="Times New Roman" w:hAnsi="Times New Roman"/>
          <w:b/>
          <w:color w:val="003366"/>
          <w:sz w:val="20"/>
        </w:rPr>
        <w:t>Figure 4.1: INT-AWARE System Architecture and Data Pipeline</w:t>
      </w:r>
    </w:p>
    <w:p>
      <w:pPr>
        <w:spacing w:before="0" w:after="120" w:line="360" w:lineRule="auto"/>
        <w:jc w:val="both"/>
      </w:pPr>
      <w:r>
        <w:rPr>
          <w:rFonts w:ascii="Times New Roman" w:hAnsi="Times New Roman"/>
          <w:i w:val="0"/>
          <w:sz w:val="24"/>
        </w:rPr>
        <w:t>As depicted in Figure 4.1, raw attacker interactions targeting the containerized Cowrie Honeypot generate continuous JSON events. The AsyncLogCollector tails the log stream asynchronously and forwards raw dictionaries to the EventNormalizer. The EventNormalizer canonicalizes payloads into a typed NormalizedEvent and generates a deterministic SHA-256 event ID. The event is subsequently evaluated by the HybridClassifier, which coordinates deterministic regex rules, the Calibrated Linear SVM, and optional LLM fallback.</w:t>
      </w:r>
    </w:p>
    <w:p>
      <w:pPr>
        <w:spacing w:before="0" w:after="120" w:line="360" w:lineRule="auto"/>
        <w:jc w:val="both"/>
      </w:pPr>
      <w:r>
        <w:rPr>
          <w:rFonts w:ascii="Times New Roman" w:hAnsi="Times New Roman"/>
          <w:i w:val="0"/>
          <w:sz w:val="24"/>
        </w:rPr>
        <w:t>Simultaneously, the structural feature vector is evaluated by the CowrieAnomalyDetector (Isolation Forest) and the StageRandomForestClassifier. The SequenceTransitionEngine evaluates the observed action against historical transition probabilities P(Intent_t | Intent_{t-1}) to project subsequent attacker objectives. The RiskEngine synthesizes intent scores, administrative privilege flags, and Gradient Boosting regression outputs into a consolidated risk metric (0-100). The fully enriched telemetry is committed to SQLite/MongoDB and pushed via WebSocketManager to the React 18 single-page dashboard.</w:t>
      </w:r>
    </w:p>
    <w:p>
      <w:pPr>
        <w:spacing w:before="240" w:after="120" w:line="276" w:lineRule="auto"/>
        <w:jc w:val="left"/>
      </w:pPr>
      <w:r>
        <w:rPr>
          <w:rFonts w:ascii="Times New Roman" w:hAnsi="Times New Roman"/>
          <w:b/>
          <w:color w:val="003366"/>
          <w:sz w:val="24"/>
        </w:rPr>
        <w:t>4.3 Modular Design</w:t>
      </w:r>
    </w:p>
    <w:p>
      <w:pPr>
        <w:spacing w:before="0" w:after="120" w:line="360" w:lineRule="auto"/>
        <w:jc w:val="both"/>
      </w:pPr>
      <w:r>
        <w:rPr>
          <w:rFonts w:ascii="Times New Roman" w:hAnsi="Times New Roman"/>
          <w:i w:val="0"/>
          <w:sz w:val="24"/>
        </w:rPr>
        <w:t>INT-AWARE is structured into decoupled, single-responsibility modules:</w:t>
      </w:r>
    </w:p>
    <w:p>
      <w:pPr>
        <w:pStyle w:val="ListBullet"/>
        <w:spacing w:before="40" w:after="80" w:line="300" w:lineRule="auto"/>
        <w:jc w:val="both"/>
      </w:pPr>
      <w:r>
        <w:rPr>
          <w:rFonts w:ascii="Times New Roman" w:hAnsi="Times New Roman"/>
          <w:b/>
          <w:sz w:val="24"/>
        </w:rPr>
        <w:t xml:space="preserve">AsyncLogCollector (backend/app/services/log_collector.py): </w:t>
      </w:r>
      <w:r>
        <w:rPr>
          <w:rFonts w:ascii="Times New Roman" w:hAnsi="Times New Roman"/>
          <w:sz w:val="24"/>
        </w:rPr>
        <w:t>Implements an asynchronous non-blocking line tailing loop over cowrie.json, maintaining a bounded FIFO cache of processed event IDs to prevent duplicate ingestion upon file rotation.</w:t>
      </w:r>
    </w:p>
    <w:p>
      <w:pPr>
        <w:pStyle w:val="ListBullet"/>
        <w:spacing w:before="40" w:after="80" w:line="300" w:lineRule="auto"/>
        <w:jc w:val="both"/>
      </w:pPr>
      <w:r>
        <w:rPr>
          <w:rFonts w:ascii="Times New Roman" w:hAnsi="Times New Roman"/>
          <w:b/>
          <w:sz w:val="24"/>
        </w:rPr>
        <w:t xml:space="preserve">EventNormalizer (backend/app/services/event_normalizer.py): </w:t>
      </w:r>
      <w:r>
        <w:rPr>
          <w:rFonts w:ascii="Times New Roman" w:hAnsi="Times New Roman"/>
          <w:sz w:val="24"/>
        </w:rPr>
        <w:t>Performs schema validation, sanitizes passwords and sensitive tokens, normalizes timestamps to ISO-8601 UTC, and maps raw Cowrie event IDs to canonical EventType enums.</w:t>
      </w:r>
    </w:p>
    <w:p>
      <w:pPr>
        <w:pStyle w:val="ListBullet"/>
        <w:spacing w:before="40" w:after="80" w:line="300" w:lineRule="auto"/>
        <w:jc w:val="both"/>
      </w:pPr>
      <w:r>
        <w:rPr>
          <w:rFonts w:ascii="Times New Roman" w:hAnsi="Times New Roman"/>
          <w:b/>
          <w:sz w:val="24"/>
        </w:rPr>
        <w:t xml:space="preserve">RuleClassifier (backend/app/services/rule_classifier.py): </w:t>
      </w:r>
      <w:r>
        <w:rPr>
          <w:rFonts w:ascii="Times New Roman" w:hAnsi="Times New Roman"/>
          <w:sz w:val="24"/>
        </w:rPr>
        <w:t>Maintains compiled regular expression patterns targeting high-confidence attacker commands, returning authoritative intent classifications with zero ML latency when signatures match.</w:t>
      </w:r>
    </w:p>
    <w:p>
      <w:pPr>
        <w:pStyle w:val="ListBullet"/>
        <w:spacing w:before="40" w:after="80" w:line="300" w:lineRule="auto"/>
        <w:jc w:val="both"/>
      </w:pPr>
      <w:r>
        <w:rPr>
          <w:rFonts w:ascii="Times New Roman" w:hAnsi="Times New Roman"/>
          <w:b/>
          <w:sz w:val="24"/>
        </w:rPr>
        <w:t xml:space="preserve">MLIntentClassifier (backend/app/ml/intent_ml_classifier.py): </w:t>
      </w:r>
      <w:r>
        <w:rPr>
          <w:rFonts w:ascii="Times New Roman" w:hAnsi="Times New Roman"/>
          <w:sz w:val="24"/>
        </w:rPr>
        <w:t>Encapsulates the CalibratedClassifierCV(LinearSVC) model, extracting combined word (1-3) and char_wb (3-6) TF-IDF features to output calibrated probability distributions over the 10 intent classes.</w:t>
      </w:r>
    </w:p>
    <w:p>
      <w:pPr>
        <w:pStyle w:val="ListBullet"/>
        <w:spacing w:before="40" w:after="80" w:line="300" w:lineRule="auto"/>
        <w:jc w:val="both"/>
      </w:pPr>
      <w:r>
        <w:rPr>
          <w:rFonts w:ascii="Times New Roman" w:hAnsi="Times New Roman"/>
          <w:b/>
          <w:sz w:val="24"/>
        </w:rPr>
        <w:t xml:space="preserve">CowrieAnomalyDetector (backend/app/ml/anomaly_detector.py): </w:t>
      </w:r>
      <w:r>
        <w:rPr>
          <w:rFonts w:ascii="Times New Roman" w:hAnsi="Times New Roman"/>
          <w:sz w:val="24"/>
        </w:rPr>
        <w:t>Extracts 16 structural command features (length, pipe count, redirection count, special char entropy) and evaluates anomaly scores using an Isolation Forest at threshold -0.4906.</w:t>
      </w:r>
    </w:p>
    <w:p>
      <w:pPr>
        <w:pStyle w:val="ListBullet"/>
        <w:spacing w:before="40" w:after="80" w:line="300" w:lineRule="auto"/>
        <w:jc w:val="both"/>
      </w:pPr>
      <w:r>
        <w:rPr>
          <w:rFonts w:ascii="Times New Roman" w:hAnsi="Times New Roman"/>
          <w:b/>
          <w:sz w:val="24"/>
        </w:rPr>
        <w:t xml:space="preserve">StageRandomForestClassifier (backend/app/ml/stage_classifier.py): </w:t>
      </w:r>
      <w:r>
        <w:rPr>
          <w:rFonts w:ascii="Times New Roman" w:hAnsi="Times New Roman"/>
          <w:sz w:val="24"/>
        </w:rPr>
        <w:t>Deploys an ensemble of 120 balanced decision trees to attribute shell commands directly to MITRE ATT&amp;CK tactical stages.</w:t>
      </w:r>
    </w:p>
    <w:p>
      <w:pPr>
        <w:pStyle w:val="ListBullet"/>
        <w:spacing w:before="40" w:after="80" w:line="300" w:lineRule="auto"/>
        <w:jc w:val="both"/>
      </w:pPr>
      <w:r>
        <w:rPr>
          <w:rFonts w:ascii="Times New Roman" w:hAnsi="Times New Roman"/>
          <w:b/>
          <w:sz w:val="24"/>
        </w:rPr>
        <w:t xml:space="preserve">GradientBoostingRiskPredictor (backend/app/ml/risk_predictor.py): </w:t>
      </w:r>
      <w:r>
        <w:rPr>
          <w:rFonts w:ascii="Times New Roman" w:hAnsi="Times New Roman"/>
          <w:sz w:val="24"/>
        </w:rPr>
        <w:t>Applies HistGradientBoosting regression over concatenated structural features, intent one-hot vectors, and session context to predict continuous risk scores.</w:t>
      </w:r>
    </w:p>
    <w:p>
      <w:pPr>
        <w:pStyle w:val="ListBullet"/>
        <w:spacing w:before="40" w:after="80" w:line="300" w:lineRule="auto"/>
        <w:jc w:val="both"/>
      </w:pPr>
      <w:r>
        <w:rPr>
          <w:rFonts w:ascii="Times New Roman" w:hAnsi="Times New Roman"/>
          <w:b/>
          <w:sz w:val="24"/>
        </w:rPr>
        <w:t xml:space="preserve">SequenceTransitionEngine (backend/app/services/sequence_engine.py): </w:t>
      </w:r>
      <w:r>
        <w:rPr>
          <w:rFonts w:ascii="Times New Roman" w:hAnsi="Times New Roman"/>
          <w:sz w:val="24"/>
        </w:rPr>
        <w:t>Maintains an order-1 Markov transition matrix tracking observed intent progressions per session, projecting future actions.</w:t>
      </w:r>
    </w:p>
    <w:p>
      <w:pPr>
        <w:pStyle w:val="ListBullet"/>
        <w:spacing w:before="40" w:after="80" w:line="300" w:lineRule="auto"/>
        <w:jc w:val="both"/>
      </w:pPr>
      <w:r>
        <w:rPr>
          <w:rFonts w:ascii="Times New Roman" w:hAnsi="Times New Roman"/>
          <w:b/>
          <w:sz w:val="24"/>
        </w:rPr>
        <w:t xml:space="preserve">WebSocketManager (backend/app/services/websocket_manager.py): </w:t>
      </w:r>
      <w:r>
        <w:rPr>
          <w:rFonts w:ascii="Times New Roman" w:hAnsi="Times New Roman"/>
          <w:sz w:val="24"/>
        </w:rPr>
        <w:t>Manages active WebSocket subscriber connections, broadcasting newly enriched events, session updates, and critical threat alerts.</w:t>
      </w:r>
    </w:p>
    <w:p>
      <w:pPr>
        <w:spacing w:before="240" w:after="120" w:line="276" w:lineRule="auto"/>
        <w:jc w:val="left"/>
      </w:pPr>
      <w:r>
        <w:rPr>
          <w:rFonts w:ascii="Times New Roman" w:hAnsi="Times New Roman"/>
          <w:b/>
          <w:color w:val="003366"/>
          <w:sz w:val="24"/>
        </w:rPr>
        <w:t>4.4 Data Flow Diagrams (DFD Level 0, Level 1, Level 2)</w:t>
      </w:r>
    </w:p>
    <w:p>
      <w:pPr>
        <w:spacing w:before="0" w:after="120" w:line="360" w:lineRule="auto"/>
        <w:jc w:val="both"/>
      </w:pPr>
      <w:r>
        <w:rPr>
          <w:rFonts w:ascii="Times New Roman" w:hAnsi="Times New Roman"/>
          <w:i w:val="0"/>
          <w:sz w:val="24"/>
        </w:rPr>
        <w:t>The functional data transformations within INT-AWARE are formally modeled using multi-level Data Flow Diagrams.</w:t>
      </w:r>
    </w:p>
    <w:p>
      <w:pPr>
        <w:spacing w:before="160" w:after="80" w:line="276" w:lineRule="auto"/>
        <w:jc w:val="left"/>
      </w:pPr>
      <w:r>
        <w:rPr>
          <w:rFonts w:ascii="Times New Roman" w:hAnsi="Times New Roman"/>
          <w:b/>
          <w:i/>
          <w:color w:val="333333"/>
          <w:sz w:val="24"/>
        </w:rPr>
        <w:t>4.4.1 DFD Level 0 — Context Level Diagram</w:t>
      </w:r>
    </w:p>
    <w:p>
      <w:pPr>
        <w:spacing w:before="0" w:after="120" w:line="360" w:lineRule="auto"/>
        <w:jc w:val="both"/>
      </w:pPr>
      <w:r>
        <w:rPr>
          <w:rFonts w:ascii="Times New Roman" w:hAnsi="Times New Roman"/>
          <w:i w:val="0"/>
          <w:sz w:val="24"/>
        </w:rPr>
        <w:t>Figure 4.2 illustrates the Context Level DFD (Level 0), capturing the system boundary, external entities (Threat Actor and Security Analyst), and primary input/output telemetry streams.</w:t>
      </w:r>
    </w:p>
    <w:p>
      <w:pPr>
        <w:spacing w:before="160" w:after="6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_4_2_dfd_level0.png"/>
                    <pic:cNvPicPr/>
                  </pic:nvPicPr>
                  <pic:blipFill>
                    <a:blip r:embed="rId12"/>
                    <a:stretch>
                      <a:fillRect/>
                    </a:stretch>
                  </pic:blipFill>
                  <pic:spPr>
                    <a:xfrm>
                      <a:off x="0" y="0"/>
                      <a:ext cx="5303520" cy="2651760"/>
                    </a:xfrm>
                    <a:prstGeom prst="rect"/>
                  </pic:spPr>
                </pic:pic>
              </a:graphicData>
            </a:graphic>
          </wp:inline>
        </w:drawing>
      </w:r>
    </w:p>
    <w:p>
      <w:pPr>
        <w:spacing w:before="40" w:after="200" w:line="240" w:lineRule="auto"/>
        <w:jc w:val="center"/>
      </w:pPr>
      <w:r>
        <w:rPr>
          <w:rFonts w:ascii="Times New Roman" w:hAnsi="Times New Roman"/>
          <w:b/>
          <w:color w:val="003366"/>
          <w:sz w:val="20"/>
        </w:rPr>
        <w:t>Figure 4.2: Data Flow Diagram (DFD) Level 0 — Context Level</w:t>
      </w:r>
    </w:p>
    <w:p>
      <w:pPr>
        <w:spacing w:before="160" w:after="80" w:line="276" w:lineRule="auto"/>
        <w:jc w:val="left"/>
      </w:pPr>
      <w:r>
        <w:rPr>
          <w:rFonts w:ascii="Times New Roman" w:hAnsi="Times New Roman"/>
          <w:b/>
          <w:i/>
          <w:color w:val="333333"/>
          <w:sz w:val="24"/>
        </w:rPr>
        <w:t>4.4.2 DFD Level 1 — Subsystem Decomposition</w:t>
      </w:r>
    </w:p>
    <w:p>
      <w:pPr>
        <w:spacing w:before="0" w:after="120" w:line="360" w:lineRule="auto"/>
        <w:jc w:val="both"/>
      </w:pPr>
      <w:r>
        <w:rPr>
          <w:rFonts w:ascii="Times New Roman" w:hAnsi="Times New Roman"/>
          <w:i w:val="0"/>
          <w:sz w:val="24"/>
        </w:rPr>
        <w:t>Figure 4.3 depicts the Level 1 DFD, detailing the six primary operational processes and persistent data stores (D1: In-Memory Session Cache, D2: Persistent SQLite/MongoDB).</w:t>
      </w:r>
    </w:p>
    <w:p>
      <w:pPr>
        <w:spacing w:before="160" w:after="60"/>
        <w:jc w:val="center"/>
      </w:pPr>
      <w:r>
        <w:drawing>
          <wp:inline xmlns:a="http://schemas.openxmlformats.org/drawingml/2006/main" xmlns:pic="http://schemas.openxmlformats.org/drawingml/2006/picture">
            <wp:extent cx="5486400" cy="3491345"/>
            <wp:docPr id="3" name="Picture 3"/>
            <wp:cNvGraphicFramePr>
              <a:graphicFrameLocks noChangeAspect="1"/>
            </wp:cNvGraphicFramePr>
            <a:graphic>
              <a:graphicData uri="http://schemas.openxmlformats.org/drawingml/2006/picture">
                <pic:pic>
                  <pic:nvPicPr>
                    <pic:cNvPr id="0" name="fig_4_3_dfd_level1.png"/>
                    <pic:cNvPicPr/>
                  </pic:nvPicPr>
                  <pic:blipFill>
                    <a:blip r:embed="rId13"/>
                    <a:stretch>
                      <a:fillRect/>
                    </a:stretch>
                  </pic:blipFill>
                  <pic:spPr>
                    <a:xfrm>
                      <a:off x="0" y="0"/>
                      <a:ext cx="5486400" cy="3491345"/>
                    </a:xfrm>
                    <a:prstGeom prst="rect"/>
                  </pic:spPr>
                </pic:pic>
              </a:graphicData>
            </a:graphic>
          </wp:inline>
        </w:drawing>
      </w:r>
    </w:p>
    <w:p>
      <w:pPr>
        <w:spacing w:before="40" w:after="200" w:line="240" w:lineRule="auto"/>
        <w:jc w:val="center"/>
      </w:pPr>
      <w:r>
        <w:rPr>
          <w:rFonts w:ascii="Times New Roman" w:hAnsi="Times New Roman"/>
          <w:b/>
          <w:color w:val="003366"/>
          <w:sz w:val="20"/>
        </w:rPr>
        <w:t>Figure 4.3: Data Flow Diagram (DFD) Level 1 — Subsystem Interactions</w:t>
      </w:r>
    </w:p>
    <w:p>
      <w:pPr>
        <w:spacing w:before="160" w:after="80" w:line="276" w:lineRule="auto"/>
        <w:jc w:val="left"/>
      </w:pPr>
      <w:r>
        <w:rPr>
          <w:rFonts w:ascii="Times New Roman" w:hAnsi="Times New Roman"/>
          <w:b/>
          <w:i/>
          <w:color w:val="333333"/>
          <w:sz w:val="24"/>
        </w:rPr>
        <w:t>4.4.3 DFD Level 2 — Detailed Pipeline Process</w:t>
      </w:r>
    </w:p>
    <w:p>
      <w:pPr>
        <w:spacing w:before="0" w:after="120" w:line="360" w:lineRule="auto"/>
        <w:jc w:val="both"/>
      </w:pPr>
      <w:r>
        <w:rPr>
          <w:rFonts w:ascii="Times New Roman" w:hAnsi="Times New Roman"/>
          <w:i w:val="0"/>
          <w:sz w:val="24"/>
        </w:rPr>
        <w:t>At DFD Level 2, Process 3.0 (Intent &amp; Stage Classifier) is decomposed into its constituent parallel workflows: (3.1) Rule Matching Engine; (3.2) TF-IDF Vectorization; (3.3) Calibrated Linear SVM Margin Evaluation; (3.4) Confidence Threshold Gate (threshold &gt;= 0.75); and (3.5) Secondary LLM Fallback Dispatch. Similarly, Process 5.0 (Risk Scoring &amp; Profiling) decomposes into Heuristic Privilege Multiplier computation, Gradient Boosting Regression evaluation, and Threat Alert Trigger evaluation.</w:t>
      </w:r>
    </w:p>
    <w:p>
      <w:pPr>
        <w:spacing w:before="240" w:after="120" w:line="276" w:lineRule="auto"/>
        <w:jc w:val="left"/>
      </w:pPr>
      <w:r>
        <w:rPr>
          <w:rFonts w:ascii="Times New Roman" w:hAnsi="Times New Roman"/>
          <w:b/>
          <w:color w:val="003366"/>
          <w:sz w:val="24"/>
        </w:rPr>
        <w:t>4.5 Use Case Diagram &amp; Actor Descriptions</w:t>
      </w:r>
    </w:p>
    <w:p>
      <w:pPr>
        <w:spacing w:before="0" w:after="120" w:line="360" w:lineRule="auto"/>
        <w:jc w:val="both"/>
      </w:pPr>
      <w:r>
        <w:rPr>
          <w:rFonts w:ascii="Times New Roman" w:hAnsi="Times New Roman"/>
          <w:i w:val="0"/>
          <w:sz w:val="24"/>
        </w:rPr>
        <w:t>Figure 4.4 illustrates the primary Use Cases and actor interactions supported by INT-AWARE.</w:t>
      </w:r>
    </w:p>
    <w:p>
      <w:pPr>
        <w:spacing w:before="160" w:after="60"/>
        <w:jc w:val="center"/>
      </w:pPr>
      <w:r>
        <w:drawing>
          <wp:inline xmlns:a="http://schemas.openxmlformats.org/drawingml/2006/main" xmlns:pic="http://schemas.openxmlformats.org/drawingml/2006/picture">
            <wp:extent cx="5303520" cy="3447288"/>
            <wp:docPr id="4" name="Picture 4"/>
            <wp:cNvGraphicFramePr>
              <a:graphicFrameLocks noChangeAspect="1"/>
            </wp:cNvGraphicFramePr>
            <a:graphic>
              <a:graphicData uri="http://schemas.openxmlformats.org/drawingml/2006/picture">
                <pic:pic>
                  <pic:nvPicPr>
                    <pic:cNvPr id="0" name="fig_4_4_use_case.png"/>
                    <pic:cNvPicPr/>
                  </pic:nvPicPr>
                  <pic:blipFill>
                    <a:blip r:embed="rId14"/>
                    <a:stretch>
                      <a:fillRect/>
                    </a:stretch>
                  </pic:blipFill>
                  <pic:spPr>
                    <a:xfrm>
                      <a:off x="0" y="0"/>
                      <a:ext cx="5303520" cy="3447288"/>
                    </a:xfrm>
                    <a:prstGeom prst="rect"/>
                  </pic:spPr>
                </pic:pic>
              </a:graphicData>
            </a:graphic>
          </wp:inline>
        </w:drawing>
      </w:r>
    </w:p>
    <w:p>
      <w:pPr>
        <w:spacing w:before="40" w:after="200" w:line="240" w:lineRule="auto"/>
        <w:jc w:val="center"/>
      </w:pPr>
      <w:r>
        <w:rPr>
          <w:rFonts w:ascii="Times New Roman" w:hAnsi="Times New Roman"/>
          <w:b/>
          <w:color w:val="003366"/>
          <w:sz w:val="20"/>
        </w:rPr>
        <w:t>Figure 4.4: INT-AWARE System Use Case Diagram</w:t>
      </w:r>
    </w:p>
    <w:p>
      <w:pPr>
        <w:spacing w:before="0" w:after="120" w:line="360" w:lineRule="auto"/>
        <w:jc w:val="both"/>
      </w:pPr>
      <w:r>
        <w:rPr>
          <w:rFonts w:ascii="Times New Roman" w:hAnsi="Times New Roman"/>
          <w:i w:val="0"/>
          <w:sz w:val="24"/>
        </w:rPr>
        <w:t>The system interacts with two distinct actors: (1) The Threat Actor (Adversary), who unknowingly authenticates to the decoy service, executes interactive shell commands, and attempts payload transfers; and (2) The Security Analyst / SOC Operator, who monitors real-time telemetry, inspects attacker profiles, adjusts anomaly thresholds, and simulates adversarial scenarios in Research Labs.</w:t>
      </w:r>
    </w:p>
    <w:p>
      <w:pPr>
        <w:spacing w:before="240" w:after="120" w:line="276" w:lineRule="auto"/>
        <w:jc w:val="left"/>
      </w:pPr>
      <w:r>
        <w:rPr>
          <w:rFonts w:ascii="Times New Roman" w:hAnsi="Times New Roman"/>
          <w:b/>
          <w:color w:val="003366"/>
          <w:sz w:val="24"/>
        </w:rPr>
        <w:t>4.6 Sequence Diagram</w:t>
      </w:r>
    </w:p>
    <w:p>
      <w:pPr>
        <w:spacing w:before="0" w:after="120" w:line="360" w:lineRule="auto"/>
        <w:jc w:val="both"/>
      </w:pPr>
      <w:r>
        <w:rPr>
          <w:rFonts w:ascii="Times New Roman" w:hAnsi="Times New Roman"/>
          <w:i w:val="0"/>
          <w:sz w:val="24"/>
        </w:rPr>
        <w:t>Figure 4.5 captures the chronological sequence of interactions executing across system components upon the receipt of an attacker command.</w:t>
      </w:r>
    </w:p>
    <w:p>
      <w:pPr>
        <w:spacing w:before="160" w:after="60"/>
        <w:jc w:val="center"/>
      </w:pPr>
      <w:r>
        <w:drawing>
          <wp:inline xmlns:a="http://schemas.openxmlformats.org/drawingml/2006/main" xmlns:pic="http://schemas.openxmlformats.org/drawingml/2006/picture">
            <wp:extent cx="5486400" cy="3491345"/>
            <wp:docPr id="5" name="Picture 5"/>
            <wp:cNvGraphicFramePr>
              <a:graphicFrameLocks noChangeAspect="1"/>
            </wp:cNvGraphicFramePr>
            <a:graphic>
              <a:graphicData uri="http://schemas.openxmlformats.org/drawingml/2006/picture">
                <pic:pic>
                  <pic:nvPicPr>
                    <pic:cNvPr id="0" name="fig_4_5_sequence_diagram.png"/>
                    <pic:cNvPicPr/>
                  </pic:nvPicPr>
                  <pic:blipFill>
                    <a:blip r:embed="rId15"/>
                    <a:stretch>
                      <a:fillRect/>
                    </a:stretch>
                  </pic:blipFill>
                  <pic:spPr>
                    <a:xfrm>
                      <a:off x="0" y="0"/>
                      <a:ext cx="5486400" cy="3491345"/>
                    </a:xfrm>
                    <a:prstGeom prst="rect"/>
                  </pic:spPr>
                </pic:pic>
              </a:graphicData>
            </a:graphic>
          </wp:inline>
        </w:drawing>
      </w:r>
    </w:p>
    <w:p>
      <w:pPr>
        <w:spacing w:before="40" w:after="200" w:line="240" w:lineRule="auto"/>
        <w:jc w:val="center"/>
      </w:pPr>
      <w:r>
        <w:rPr>
          <w:rFonts w:ascii="Times New Roman" w:hAnsi="Times New Roman"/>
          <w:b/>
          <w:color w:val="003366"/>
          <w:sz w:val="20"/>
        </w:rPr>
        <w:t>Figure 4.5: End-to-End Event Ingestion &amp; Threat Profiling Sequence Diagram</w:t>
      </w:r>
    </w:p>
    <w:p>
      <w:pPr>
        <w:spacing w:before="240" w:after="120" w:line="276" w:lineRule="auto"/>
        <w:jc w:val="left"/>
      </w:pPr>
      <w:r>
        <w:rPr>
          <w:rFonts w:ascii="Times New Roman" w:hAnsi="Times New Roman"/>
          <w:b/>
          <w:color w:val="003366"/>
          <w:sz w:val="24"/>
        </w:rPr>
        <w:t>4.7 Activity / Control Flow Diagram</w:t>
      </w:r>
    </w:p>
    <w:p>
      <w:pPr>
        <w:spacing w:before="0" w:after="120" w:line="360" w:lineRule="auto"/>
        <w:jc w:val="both"/>
      </w:pPr>
      <w:r>
        <w:rPr>
          <w:rFonts w:ascii="Times New Roman" w:hAnsi="Times New Roman"/>
          <w:i w:val="0"/>
          <w:sz w:val="24"/>
        </w:rPr>
        <w:t>Figure 4.6 documents the operational decision logic and branch conditions governing the multi-tiered hybrid classification pipeline.</w:t>
      </w:r>
    </w:p>
    <w:p>
      <w:pPr>
        <w:spacing w:before="160" w:after="60"/>
        <w:jc w:val="center"/>
      </w:pPr>
      <w:r>
        <w:drawing>
          <wp:inline xmlns:a="http://schemas.openxmlformats.org/drawingml/2006/main" xmlns:pic="http://schemas.openxmlformats.org/drawingml/2006/picture">
            <wp:extent cx="4572000" cy="5143500"/>
            <wp:docPr id="6" name="Picture 6"/>
            <wp:cNvGraphicFramePr>
              <a:graphicFrameLocks noChangeAspect="1"/>
            </wp:cNvGraphicFramePr>
            <a:graphic>
              <a:graphicData uri="http://schemas.openxmlformats.org/drawingml/2006/picture">
                <pic:pic>
                  <pic:nvPicPr>
                    <pic:cNvPr id="0" name="fig_4_6_activity_diagram.png"/>
                    <pic:cNvPicPr/>
                  </pic:nvPicPr>
                  <pic:blipFill>
                    <a:blip r:embed="rId16"/>
                    <a:stretch>
                      <a:fillRect/>
                    </a:stretch>
                  </pic:blipFill>
                  <pic:spPr>
                    <a:xfrm>
                      <a:off x="0" y="0"/>
                      <a:ext cx="4572000" cy="5143500"/>
                    </a:xfrm>
                    <a:prstGeom prst="rect"/>
                  </pic:spPr>
                </pic:pic>
              </a:graphicData>
            </a:graphic>
          </wp:inline>
        </w:drawing>
      </w:r>
    </w:p>
    <w:p>
      <w:pPr>
        <w:spacing w:before="40" w:after="200" w:line="240" w:lineRule="auto"/>
        <w:jc w:val="center"/>
      </w:pPr>
      <w:r>
        <w:rPr>
          <w:rFonts w:ascii="Times New Roman" w:hAnsi="Times New Roman"/>
          <w:b/>
          <w:color w:val="003366"/>
          <w:sz w:val="20"/>
        </w:rPr>
        <w:t>Figure 4.6: Activity and Control Flow Diagram</w:t>
      </w:r>
    </w:p>
    <w:p>
      <w:pPr>
        <w:spacing w:before="240" w:after="120" w:line="276" w:lineRule="auto"/>
        <w:jc w:val="left"/>
      </w:pPr>
      <w:r>
        <w:rPr>
          <w:rFonts w:ascii="Times New Roman" w:hAnsi="Times New Roman"/>
          <w:b/>
          <w:color w:val="003366"/>
          <w:sz w:val="24"/>
        </w:rPr>
        <w:t>4.8 Database Schema &amp; Entity Relationships</w:t>
      </w:r>
    </w:p>
    <w:p>
      <w:pPr>
        <w:spacing w:before="0" w:after="120" w:line="360" w:lineRule="auto"/>
        <w:jc w:val="both"/>
      </w:pPr>
      <w:r>
        <w:rPr>
          <w:rFonts w:ascii="Times New Roman" w:hAnsi="Times New Roman"/>
          <w:i w:val="0"/>
          <w:sz w:val="24"/>
        </w:rPr>
        <w:t>Table 4.1 defines the relational and document data entities maintained across SQLite and MongoDB.</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0"/>
        <w:gridCol w:w="2250"/>
        <w:gridCol w:w="2250"/>
        <w:gridCol w:w="2250"/>
      </w:tblGrid>
      <w:tr>
        <w:tc>
          <w:tcPr>
            <w:tcW w:type="dxa" w:w="2250"/>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8"/>
              </w:rPr>
              <w:t>Entity / Table</w:t>
            </w:r>
          </w:p>
        </w:tc>
        <w:tc>
          <w:tcPr>
            <w:tcW w:type="dxa" w:w="2250"/>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8"/>
              </w:rPr>
              <w:t>Primary Key</w:t>
            </w:r>
          </w:p>
        </w:tc>
        <w:tc>
          <w:tcPr>
            <w:tcW w:type="dxa" w:w="2250"/>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8"/>
              </w:rPr>
              <w:t>Core Attributes</w:t>
            </w:r>
          </w:p>
        </w:tc>
        <w:tc>
          <w:tcPr>
            <w:tcW w:type="dxa" w:w="2250"/>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8"/>
              </w:rPr>
              <w:t>Relationships &amp; Description</w:t>
            </w:r>
          </w:p>
        </w:tc>
      </w:tr>
      <w:tr>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b/>
                <w:sz w:val="17"/>
              </w:rPr>
              <w:t>events</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event_id (TEXT, SHA-256)</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session_id, timestamp, event_type, command, src_ip, intent, stage, anomaly_score, risk_score</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Belongs to sessions; captures raw &amp; normalized event telemetry</w:t>
            </w:r>
          </w:p>
        </w:tc>
      </w:tr>
      <w:tr>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b/>
                <w:sz w:val="17"/>
              </w:rPr>
              <w:t>sessions</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session_id (TEXT)</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src_ip, start_time, last_active, total_commands, max_risk_score, current_stage, status</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Has many events; indexed by src_ip for attacker aggregation</w:t>
            </w:r>
          </w:p>
        </w:tc>
      </w:tr>
      <w:tr>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b/>
                <w:sz w:val="17"/>
              </w:rPr>
              <w:t>attacker_profiles</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src_ip (TEXT)</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first_seen, last_seen, total_sessions, overall_risk, country, asn, tags, dominant_intent</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One-to-many relationship with sessions; accumulates long-term threat profile</w:t>
            </w:r>
          </w:p>
        </w:tc>
      </w:tr>
      <w:tr>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b/>
                <w:sz w:val="17"/>
              </w:rPr>
              <w:t>threat_alerts</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alert_id (TEXT)</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session_id, src_ip, timestamp, severity, trigger_reason, risk_score, acknowledged</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Created when session risk exceeds severity thresholds (CRITICAL / HIGH)</w:t>
            </w:r>
          </w:p>
        </w:tc>
      </w:tr>
    </w:tbl>
    <w:p>
      <w:pPr>
        <w:spacing w:before="80" w:after="240" w:line="240" w:lineRule="auto"/>
        <w:jc w:val="center"/>
      </w:pPr>
      <w:r>
        <w:rPr>
          <w:rFonts w:ascii="Times New Roman" w:hAnsi="Times New Roman"/>
          <w:b/>
          <w:sz w:val="20"/>
        </w:rPr>
        <w:t>Table 4.1: Database Entity Schema and Field Definitions</w:t>
      </w:r>
    </w:p>
    <w:p>
      <w:pPr>
        <w:spacing w:before="240" w:after="120" w:line="276" w:lineRule="auto"/>
        <w:jc w:val="left"/>
      </w:pPr>
      <w:r>
        <w:rPr>
          <w:rFonts w:ascii="Times New Roman" w:hAnsi="Times New Roman"/>
          <w:b/>
          <w:color w:val="003366"/>
          <w:sz w:val="24"/>
        </w:rPr>
        <w:t>4.9 Summary</w:t>
      </w:r>
    </w:p>
    <w:p>
      <w:pPr>
        <w:spacing w:before="0" w:after="120" w:line="360" w:lineRule="auto"/>
        <w:jc w:val="both"/>
      </w:pPr>
      <w:r>
        <w:rPr>
          <w:rFonts w:ascii="Times New Roman" w:hAnsi="Times New Roman"/>
          <w:i w:val="0"/>
          <w:sz w:val="24"/>
        </w:rPr>
        <w:t>Chapter 4 established the complete architectural and modular design of INT-AWARE, encompassing high-level blueprints, DFD Levels 0–2, use case boundaries, sequence flows, activity decision trees, and schema specifications.</w:t>
      </w:r>
    </w:p>
    <w:p>
      <w:r>
        <w:br w:type="page"/>
      </w:r>
    </w:p>
    <w:p>
      <w:pPr>
        <w:spacing w:before="360" w:after="240" w:line="276" w:lineRule="auto"/>
        <w:jc w:val="center"/>
      </w:pPr>
      <w:r>
        <w:rPr>
          <w:rFonts w:ascii="Times New Roman" w:hAnsi="Times New Roman"/>
          <w:b/>
          <w:color w:val="003366"/>
          <w:sz w:val="28"/>
        </w:rPr>
        <w:t>CHAPTER 5</w:t>
        <w:br/>
        <w:t>IMPLEMENTATION</w:t>
      </w:r>
    </w:p>
    <w:p>
      <w:pPr>
        <w:spacing w:before="240" w:after="120" w:line="276" w:lineRule="auto"/>
        <w:jc w:val="left"/>
      </w:pPr>
      <w:r>
        <w:rPr>
          <w:rFonts w:ascii="Times New Roman" w:hAnsi="Times New Roman"/>
          <w:b/>
          <w:color w:val="003366"/>
          <w:sz w:val="24"/>
        </w:rPr>
        <w:t>5.1 Development Environment &amp; Tooling with Justification</w:t>
      </w:r>
    </w:p>
    <w:p>
      <w:pPr>
        <w:spacing w:before="0" w:after="120" w:line="360" w:lineRule="auto"/>
        <w:jc w:val="both"/>
      </w:pPr>
      <w:r>
        <w:rPr>
          <w:rFonts w:ascii="Times New Roman" w:hAnsi="Times New Roman"/>
          <w:i w:val="0"/>
          <w:sz w:val="24"/>
        </w:rPr>
        <w:t>INT-AWARE was developed within a clean, reproducible engineering environment utilizing Python 3.11/3.13, Node.js v20+, Docker Compose, and Visual Studio Code. The key implementation tooling choices are justified below:</w:t>
      </w:r>
    </w:p>
    <w:p>
      <w:pPr>
        <w:pStyle w:val="ListBullet"/>
        <w:spacing w:before="40" w:after="80" w:line="300" w:lineRule="auto"/>
        <w:jc w:val="both"/>
      </w:pPr>
      <w:r>
        <w:rPr>
          <w:rFonts w:ascii="Times New Roman" w:hAnsi="Times New Roman"/>
          <w:b/>
          <w:sz w:val="24"/>
        </w:rPr>
        <w:t xml:space="preserve">Python AsyncIO &amp; FastAPI: </w:t>
      </w:r>
      <w:r>
        <w:rPr>
          <w:rFonts w:ascii="Times New Roman" w:hAnsi="Times New Roman"/>
          <w:sz w:val="24"/>
        </w:rPr>
        <w:t>Cyber deception systems demand non-blocking I/O to sustain real-time telemetry streaming from active honeypots. FastAPI was selected for its native ASGI event loop, high-performance Starlette routing, automatic Pydantic request validation, and built-in WebSocket support.</w:t>
      </w:r>
    </w:p>
    <w:p>
      <w:pPr>
        <w:pStyle w:val="ListBullet"/>
        <w:spacing w:before="40" w:after="80" w:line="300" w:lineRule="auto"/>
        <w:jc w:val="both"/>
      </w:pPr>
      <w:r>
        <w:rPr>
          <w:rFonts w:ascii="Times New Roman" w:hAnsi="Times New Roman"/>
          <w:b/>
          <w:sz w:val="24"/>
        </w:rPr>
        <w:t xml:space="preserve">Scikit-Learn ML Suite: </w:t>
      </w:r>
      <w:r>
        <w:rPr>
          <w:rFonts w:ascii="Times New Roman" w:hAnsi="Times New Roman"/>
          <w:sz w:val="24"/>
        </w:rPr>
        <w:t>Scikit-Learn provides mature, numerically stable implementations of CalibratedClassifierCV, LinearSVC, IsolationForest, and HistGradientBoostingRegressor with seamless joblib artifact serialization.</w:t>
      </w:r>
    </w:p>
    <w:p>
      <w:pPr>
        <w:pStyle w:val="ListBullet"/>
        <w:spacing w:before="40" w:after="80" w:line="300" w:lineRule="auto"/>
        <w:jc w:val="both"/>
      </w:pPr>
      <w:r>
        <w:rPr>
          <w:rFonts w:ascii="Times New Roman" w:hAnsi="Times New Roman"/>
          <w:b/>
          <w:sz w:val="24"/>
        </w:rPr>
        <w:t xml:space="preserve">React 18 &amp; Vite &amp; Tailwind CSS: </w:t>
      </w:r>
      <w:r>
        <w:rPr>
          <w:rFonts w:ascii="Times New Roman" w:hAnsi="Times New Roman"/>
          <w:sz w:val="24"/>
        </w:rPr>
        <w:t>The operator frontend utilizes React 18 concurrent rendering for fluid, jitter-free UI updates upon receiving high-velocity WebSocket events. Tailwind CSS enables a dark-navy cybersecurity aesthetic.</w:t>
      </w:r>
    </w:p>
    <w:p>
      <w:pPr>
        <w:pStyle w:val="ListBullet"/>
        <w:spacing w:before="40" w:after="80" w:line="300" w:lineRule="auto"/>
        <w:jc w:val="both"/>
      </w:pPr>
      <w:r>
        <w:rPr>
          <w:rFonts w:ascii="Times New Roman" w:hAnsi="Times New Roman"/>
          <w:b/>
          <w:sz w:val="24"/>
        </w:rPr>
        <w:t xml:space="preserve">Docker Containerization: </w:t>
      </w:r>
      <w:r>
        <w:rPr>
          <w:rFonts w:ascii="Times New Roman" w:hAnsi="Times New Roman"/>
          <w:sz w:val="24"/>
        </w:rPr>
        <w:t>The Cowrie honeypot environment is encapsulated within an isolated Docker container, exposing emulated SSH (port 2222) and Telnet (port 2223) services while strictly isolating host infrastructure.</w:t>
      </w:r>
    </w:p>
    <w:p>
      <w:pPr>
        <w:spacing w:before="240" w:after="120" w:line="276" w:lineRule="auto"/>
        <w:jc w:val="left"/>
      </w:pPr>
      <w:r>
        <w:rPr>
          <w:rFonts w:ascii="Times New Roman" w:hAnsi="Times New Roman"/>
          <w:b/>
          <w:color w:val="003366"/>
          <w:sz w:val="24"/>
        </w:rPr>
        <w:t>5.2 Algorithm &amp; Modular Implementation</w:t>
      </w:r>
    </w:p>
    <w:p>
      <w:pPr>
        <w:spacing w:before="0" w:after="120" w:line="360" w:lineRule="auto"/>
        <w:jc w:val="both"/>
      </w:pPr>
      <w:r>
        <w:rPr>
          <w:rFonts w:ascii="Times New Roman" w:hAnsi="Times New Roman"/>
          <w:i w:val="0"/>
          <w:sz w:val="24"/>
        </w:rPr>
        <w:t>The core functionality of INT-AWARE is realized through five foundational algorithms, implemented across modular Python service classes.</w:t>
      </w:r>
    </w:p>
    <w:p>
      <w:pPr>
        <w:spacing w:before="160" w:after="40" w:line="264" w:lineRule="auto"/>
        <w:jc w:val="left"/>
      </w:pPr>
      <w:r>
        <w:rPr>
          <w:rFonts w:ascii="Courier New" w:hAnsi="Courier New"/>
          <w:b/>
          <w:color w:val="003366"/>
          <w:sz w:val="19"/>
        </w:rPr>
        <w:t>Algorithm 5.1: Honeypot Ingestion &amp; Deduplication</w:t>
      </w:r>
    </w:p>
    <w:tbl>
      <w:tblPr>
        <w:tblW w:type="auto" w:w="0"/>
        <w:jc w:val="center"/>
        <w:tblLook w:firstColumn="1" w:firstRow="1" w:lastColumn="0" w:lastRow="0" w:noHBand="0" w:noVBand="1" w:val="04A0"/>
      </w:tblPr>
      <w:tblGrid>
        <w:gridCol w:w="9000"/>
      </w:tblGrid>
      <w:tr>
        <w:tc>
          <w:tcPr>
            <w:tcW w:type="dxa" w:w="8928"/>
            <w:shd w:fill="F7FAFC"/>
            <w:tcMar>
              <w:top w:w="100" w:type="dxa"/>
              <w:bottom w:w="100" w:type="dxa"/>
              <w:left w:w="150" w:type="dxa"/>
              <w:right w:w="150" w:type="dxa"/>
            </w:tcMar>
          </w:tcPr>
          <w:p>
            <w:pPr>
              <w:spacing w:before="0" w:after="0" w:line="276" w:lineRule="auto"/>
            </w:pPr>
            <w:r>
              <w:rPr>
                <w:rFonts w:ascii="Courier New" w:hAnsi="Courier New"/>
                <w:color w:val="1E293B"/>
                <w:sz w:val="17"/>
              </w:rPr>
              <w:t>Algorithm 5.1: Asynchronous Honeypot Ingestion and Deduplication Engine</w:t>
              <w:br/>
            </w:r>
            <w:r>
              <w:rPr>
                <w:rFonts w:ascii="Courier New" w:hAnsi="Courier New"/>
                <w:color w:val="1E293B"/>
                <w:sz w:val="17"/>
              </w:rPr>
              <w:t>Input : log_path (Path to cowrie.json stream)</w:t>
              <w:br/>
            </w:r>
            <w:r>
              <w:rPr>
                <w:rFonts w:ascii="Courier New" w:hAnsi="Courier New"/>
                <w:color w:val="1E293B"/>
                <w:sz w:val="17"/>
              </w:rPr>
              <w:t>Output: Stream of validated NormalizedEvent objects</w:t>
              <w:br/>
            </w:r>
            <w:r>
              <w:rPr>
                <w:rFonts w:ascii="Courier New" w:hAnsi="Courier New"/>
                <w:color w:val="1E293B"/>
                <w:sz w:val="17"/>
              </w:rPr>
              <w:t>1:  Initialize processed_ids as BoundedFifoCache(capacity=10000)</w:t>
              <w:br/>
            </w:r>
            <w:r>
              <w:rPr>
                <w:rFonts w:ascii="Courier New" w:hAnsi="Courier New"/>
                <w:color w:val="1E293B"/>
                <w:sz w:val="17"/>
              </w:rPr>
              <w:t>2:  Open log_path in non-blocking read mode, seeking to current EOF</w:t>
              <w:br/>
            </w:r>
            <w:r>
              <w:rPr>
                <w:rFonts w:ascii="Courier New" w:hAnsi="Courier New"/>
                <w:color w:val="1E293B"/>
                <w:sz w:val="17"/>
              </w:rPr>
              <w:t>3:  while system_running do</w:t>
              <w:br/>
            </w:r>
            <w:r>
              <w:rPr>
                <w:rFonts w:ascii="Courier New" w:hAnsi="Courier New"/>
                <w:color w:val="1E293B"/>
                <w:sz w:val="17"/>
              </w:rPr>
              <w:t>4:      line &lt;- await file.readline()</w:t>
              <w:br/>
            </w:r>
            <w:r>
              <w:rPr>
                <w:rFonts w:ascii="Courier New" w:hAnsi="Courier New"/>
                <w:color w:val="1E293B"/>
                <w:sz w:val="17"/>
              </w:rPr>
              <w:t>5:      if line is empty then</w:t>
              <w:br/>
            </w:r>
            <w:r>
              <w:rPr>
                <w:rFonts w:ascii="Courier New" w:hAnsi="Courier New"/>
                <w:color w:val="1E293B"/>
                <w:sz w:val="17"/>
              </w:rPr>
              <w:t>6:          await asyncio.sleep(0.05)  // Non-blocking poll interval</w:t>
              <w:br/>
            </w:r>
            <w:r>
              <w:rPr>
                <w:rFonts w:ascii="Courier New" w:hAnsi="Courier New"/>
                <w:color w:val="1E293B"/>
                <w:sz w:val="17"/>
              </w:rPr>
              <w:t>7:          continue</w:t>
              <w:br/>
            </w:r>
            <w:r>
              <w:rPr>
                <w:rFonts w:ascii="Courier New" w:hAnsi="Courier New"/>
                <w:color w:val="1E293B"/>
                <w:sz w:val="17"/>
              </w:rPr>
              <w:t>8:      end if</w:t>
              <w:br/>
            </w:r>
            <w:r>
              <w:rPr>
                <w:rFonts w:ascii="Courier New" w:hAnsi="Courier New"/>
                <w:color w:val="1E293B"/>
                <w:sz w:val="17"/>
              </w:rPr>
              <w:t>9:      raw_json &lt;- ParseJson(line)</w:t>
              <w:br/>
            </w:r>
            <w:r>
              <w:rPr>
                <w:rFonts w:ascii="Courier New" w:hAnsi="Courier New"/>
                <w:color w:val="1E293B"/>
                <w:sz w:val="17"/>
              </w:rPr>
              <w:t>10:     event_id &lt;- ComputeSha256(raw_json['session'], raw_json['timestamp'], raw_json['eventid'])</w:t>
              <w:br/>
            </w:r>
            <w:r>
              <w:rPr>
                <w:rFonts w:ascii="Courier New" w:hAnsi="Courier New"/>
                <w:color w:val="1E293B"/>
                <w:sz w:val="17"/>
              </w:rPr>
              <w:t>11:     if event_id in processed_ids then</w:t>
              <w:br/>
            </w:r>
            <w:r>
              <w:rPr>
                <w:rFonts w:ascii="Courier New" w:hAnsi="Courier New"/>
                <w:color w:val="1E293B"/>
                <w:sz w:val="17"/>
              </w:rPr>
              <w:t>12:         continue  // Deduplication suppression</w:t>
              <w:br/>
            </w:r>
            <w:r>
              <w:rPr>
                <w:rFonts w:ascii="Courier New" w:hAnsi="Courier New"/>
                <w:color w:val="1E293B"/>
                <w:sz w:val="17"/>
              </w:rPr>
              <w:t>13:     end if</w:t>
              <w:br/>
            </w:r>
            <w:r>
              <w:rPr>
                <w:rFonts w:ascii="Courier New" w:hAnsi="Courier New"/>
                <w:color w:val="1E293B"/>
                <w:sz w:val="17"/>
              </w:rPr>
              <w:t>14:     processed_ids.add(event_id)</w:t>
              <w:br/>
            </w:r>
            <w:r>
              <w:rPr>
                <w:rFonts w:ascii="Courier New" w:hAnsi="Courier New"/>
                <w:color w:val="1E293B"/>
                <w:sz w:val="17"/>
              </w:rPr>
              <w:t>15:     normalized_event &lt;- EventNormalizer.Normalize(raw_json, event_id)</w:t>
              <w:br/>
            </w:r>
            <w:r>
              <w:rPr>
                <w:rFonts w:ascii="Courier New" w:hAnsi="Courier New"/>
                <w:color w:val="1E293B"/>
                <w:sz w:val="17"/>
              </w:rPr>
              <w:t>16:     yield normalized_event</w:t>
              <w:br/>
            </w:r>
            <w:r>
              <w:rPr>
                <w:rFonts w:ascii="Courier New" w:hAnsi="Courier New"/>
                <w:color w:val="1E293B"/>
                <w:sz w:val="17"/>
              </w:rPr>
              <w:t>17: end while</w:t>
            </w:r>
          </w:p>
        </w:tc>
      </w:tr>
    </w:tbl>
    <w:p>
      <w:pPr>
        <w:spacing w:before="40" w:after="80" w:line="240" w:lineRule="auto"/>
        <w:jc w:val="both"/>
      </w:pPr>
    </w:p>
    <w:p>
      <w:pPr>
        <w:spacing w:before="160" w:after="40" w:line="264" w:lineRule="auto"/>
        <w:jc w:val="left"/>
      </w:pPr>
      <w:r>
        <w:rPr>
          <w:rFonts w:ascii="Courier New" w:hAnsi="Courier New"/>
          <w:b/>
          <w:color w:val="003366"/>
          <w:sz w:val="19"/>
        </w:rPr>
        <w:t>Algorithm 5.2: Multi-Tiered Hybrid Intent &amp; Stage Classifier</w:t>
      </w:r>
    </w:p>
    <w:tbl>
      <w:tblPr>
        <w:tblW w:type="auto" w:w="0"/>
        <w:jc w:val="center"/>
        <w:tblLook w:firstColumn="1" w:firstRow="1" w:lastColumn="0" w:lastRow="0" w:noHBand="0" w:noVBand="1" w:val="04A0"/>
      </w:tblPr>
      <w:tblGrid>
        <w:gridCol w:w="9000"/>
      </w:tblGrid>
      <w:tr>
        <w:tc>
          <w:tcPr>
            <w:tcW w:type="dxa" w:w="8928"/>
            <w:shd w:fill="F7FAFC"/>
            <w:tcMar>
              <w:top w:w="100" w:type="dxa"/>
              <w:bottom w:w="100" w:type="dxa"/>
              <w:left w:w="150" w:type="dxa"/>
              <w:right w:w="150" w:type="dxa"/>
            </w:tcMar>
          </w:tcPr>
          <w:p>
            <w:pPr>
              <w:spacing w:before="0" w:after="0" w:line="276" w:lineRule="auto"/>
            </w:pPr>
            <w:r>
              <w:rPr>
                <w:rFonts w:ascii="Courier New" w:hAnsi="Courier New"/>
                <w:color w:val="1E293B"/>
                <w:sz w:val="17"/>
              </w:rPr>
              <w:t>Algorithm 5.2: Multi-Tiered Hybrid Intent and Attack Stage Classifier</w:t>
              <w:br/>
            </w:r>
            <w:r>
              <w:rPr>
                <w:rFonts w:ascii="Courier New" w:hAnsi="Courier New"/>
                <w:color w:val="1E293B"/>
                <w:sz w:val="17"/>
              </w:rPr>
              <w:t>Input : command (Raw shell command string)</w:t>
              <w:br/>
            </w:r>
            <w:r>
              <w:rPr>
                <w:rFonts w:ascii="Courier New" w:hAnsi="Courier New"/>
                <w:color w:val="1E293B"/>
                <w:sz w:val="17"/>
              </w:rPr>
              <w:t>Output: (intent_label, attack_stage, confidence, classification_source)</w:t>
              <w:br/>
            </w:r>
            <w:r>
              <w:rPr>
                <w:rFonts w:ascii="Courier New" w:hAnsi="Courier New"/>
                <w:color w:val="1E293B"/>
                <w:sz w:val="17"/>
              </w:rPr>
              <w:t>1:  rule_result &lt;- RuleClassifier.Evaluate(command)</w:t>
              <w:br/>
            </w:r>
            <w:r>
              <w:rPr>
                <w:rFonts w:ascii="Courier New" w:hAnsi="Courier New"/>
                <w:color w:val="1E293B"/>
                <w:sz w:val="17"/>
              </w:rPr>
              <w:t>2:  if rule_result is not None and rule_result.is_strong_match then</w:t>
              <w:br/>
            </w:r>
            <w:r>
              <w:rPr>
                <w:rFonts w:ascii="Courier New" w:hAnsi="Courier New"/>
                <w:color w:val="1E293B"/>
                <w:sz w:val="17"/>
              </w:rPr>
              <w:t>3:      return (rule_result.intent, rule_result.stage, 1.0, 'RULE')</w:t>
              <w:br/>
            </w:r>
            <w:r>
              <w:rPr>
                <w:rFonts w:ascii="Courier New" w:hAnsi="Courier New"/>
                <w:color w:val="1E293B"/>
                <w:sz w:val="17"/>
              </w:rPr>
              <w:t>4:  end if</w:t>
              <w:br/>
            </w:r>
            <w:r>
              <w:rPr>
                <w:rFonts w:ascii="Courier New" w:hAnsi="Courier New"/>
                <w:color w:val="1E293B"/>
                <w:sz w:val="17"/>
              </w:rPr>
              <w:t>5:  if MLIntentClassifier.is_active then</w:t>
              <w:br/>
            </w:r>
            <w:r>
              <w:rPr>
                <w:rFonts w:ascii="Courier New" w:hAnsi="Courier New"/>
                <w:color w:val="1E293B"/>
                <w:sz w:val="17"/>
              </w:rPr>
              <w:t>6:      features &lt;- TfidfVectorizer.Transform(command)</w:t>
              <w:br/>
            </w:r>
            <w:r>
              <w:rPr>
                <w:rFonts w:ascii="Courier New" w:hAnsi="Courier New"/>
                <w:color w:val="1E293B"/>
                <w:sz w:val="17"/>
              </w:rPr>
              <w:t>7:      probabilities &lt;- CalibratedLinearSVC.PredictProba(features)</w:t>
              <w:br/>
            </w:r>
            <w:r>
              <w:rPr>
                <w:rFonts w:ascii="Courier New" w:hAnsi="Courier New"/>
                <w:color w:val="1E293B"/>
                <w:sz w:val="17"/>
              </w:rPr>
              <w:t>8:      top_intent, top_confidence &lt;- ArgMax(probabilities)</w:t>
              <w:br/>
            </w:r>
            <w:r>
              <w:rPr>
                <w:rFonts w:ascii="Courier New" w:hAnsi="Courier New"/>
                <w:color w:val="1E293B"/>
                <w:sz w:val="17"/>
              </w:rPr>
              <w:t>9:      if top_confidence &gt;= 0.75 then</w:t>
              <w:br/>
            </w:r>
            <w:r>
              <w:rPr>
                <w:rFonts w:ascii="Courier New" w:hAnsi="Courier New"/>
                <w:color w:val="1E293B"/>
                <w:sz w:val="17"/>
              </w:rPr>
              <w:t>10:         top_stage &lt;- StageRandomForest.Predict(features)</w:t>
              <w:br/>
            </w:r>
            <w:r>
              <w:rPr>
                <w:rFonts w:ascii="Courier New" w:hAnsi="Courier New"/>
                <w:color w:val="1E293B"/>
                <w:sz w:val="17"/>
              </w:rPr>
              <w:t>11:         return (top_intent, top_stage, top_confidence, 'ML')</w:t>
              <w:br/>
            </w:r>
            <w:r>
              <w:rPr>
                <w:rFonts w:ascii="Courier New" w:hAnsi="Courier New"/>
                <w:color w:val="1E293B"/>
                <w:sz w:val="17"/>
              </w:rPr>
              <w:t>12:     end if</w:t>
              <w:br/>
            </w:r>
            <w:r>
              <w:rPr>
                <w:rFonts w:ascii="Courier New" w:hAnsi="Courier New"/>
                <w:color w:val="1E293B"/>
                <w:sz w:val="17"/>
              </w:rPr>
              <w:t>13: end if</w:t>
              <w:br/>
            </w:r>
            <w:r>
              <w:rPr>
                <w:rFonts w:ascii="Courier New" w:hAnsi="Courier New"/>
                <w:color w:val="1E293B"/>
                <w:sz w:val="17"/>
              </w:rPr>
              <w:t>14: if GeminiClassifier.is_configured then</w:t>
              <w:br/>
            </w:r>
            <w:r>
              <w:rPr>
                <w:rFonts w:ascii="Courier New" w:hAnsi="Courier New"/>
                <w:color w:val="1E293B"/>
                <w:sz w:val="17"/>
              </w:rPr>
              <w:t>15:     llm_result &lt;- await GeminiClassifier.Classify(command, timeout=2.0)</w:t>
              <w:br/>
            </w:r>
            <w:r>
              <w:rPr>
                <w:rFonts w:ascii="Courier New" w:hAnsi="Courier New"/>
                <w:color w:val="1E293B"/>
                <w:sz w:val="17"/>
              </w:rPr>
              <w:t>16:     if llm_result is not None then</w:t>
              <w:br/>
            </w:r>
            <w:r>
              <w:rPr>
                <w:rFonts w:ascii="Courier New" w:hAnsi="Courier New"/>
                <w:color w:val="1E293B"/>
                <w:sz w:val="17"/>
              </w:rPr>
              <w:t>17:         return (llm_result.intent, llm_result.stage, llm_result.confidence, 'LLM')</w:t>
              <w:br/>
            </w:r>
            <w:r>
              <w:rPr>
                <w:rFonts w:ascii="Courier New" w:hAnsi="Courier New"/>
                <w:color w:val="1E293B"/>
                <w:sz w:val="17"/>
              </w:rPr>
              <w:t>18:     end if</w:t>
              <w:br/>
            </w:r>
            <w:r>
              <w:rPr>
                <w:rFonts w:ascii="Courier New" w:hAnsi="Courier New"/>
                <w:color w:val="1E293B"/>
                <w:sz w:val="17"/>
              </w:rPr>
              <w:t>19: end if</w:t>
              <w:br/>
            </w:r>
            <w:r>
              <w:rPr>
                <w:rFonts w:ascii="Courier New" w:hAnsi="Courier New"/>
                <w:color w:val="1E293B"/>
                <w:sz w:val="17"/>
              </w:rPr>
              <w:t>20: return ('OTHER', 'UNKNOWN', 0.50, 'FALLBACK')</w:t>
            </w:r>
          </w:p>
        </w:tc>
      </w:tr>
    </w:tbl>
    <w:p>
      <w:pPr>
        <w:spacing w:before="40" w:after="80" w:line="240" w:lineRule="auto"/>
        <w:jc w:val="both"/>
      </w:pPr>
    </w:p>
    <w:p>
      <w:pPr>
        <w:spacing w:before="160" w:after="40" w:line="264" w:lineRule="auto"/>
        <w:jc w:val="left"/>
      </w:pPr>
      <w:r>
        <w:rPr>
          <w:rFonts w:ascii="Courier New" w:hAnsi="Courier New"/>
          <w:b/>
          <w:color w:val="003366"/>
          <w:sz w:val="19"/>
        </w:rPr>
        <w:t>Algorithm 5.3: Calibrated Isolation Forest Anomaly Detection</w:t>
      </w:r>
    </w:p>
    <w:tbl>
      <w:tblPr>
        <w:tblW w:type="auto" w:w="0"/>
        <w:jc w:val="center"/>
        <w:tblLook w:firstColumn="1" w:firstRow="1" w:lastColumn="0" w:lastRow="0" w:noHBand="0" w:noVBand="1" w:val="04A0"/>
      </w:tblPr>
      <w:tblGrid>
        <w:gridCol w:w="9000"/>
      </w:tblGrid>
      <w:tr>
        <w:tc>
          <w:tcPr>
            <w:tcW w:type="dxa" w:w="8928"/>
            <w:shd w:fill="F7FAFC"/>
            <w:tcMar>
              <w:top w:w="100" w:type="dxa"/>
              <w:bottom w:w="100" w:type="dxa"/>
              <w:left w:w="150" w:type="dxa"/>
              <w:right w:w="150" w:type="dxa"/>
            </w:tcMar>
          </w:tcPr>
          <w:p>
            <w:pPr>
              <w:spacing w:before="0" w:after="0" w:line="276" w:lineRule="auto"/>
            </w:pPr>
            <w:r>
              <w:rPr>
                <w:rFonts w:ascii="Courier New" w:hAnsi="Courier New"/>
                <w:color w:val="1E293B"/>
                <w:sz w:val="17"/>
              </w:rPr>
              <w:t>Algorithm 5.3: Calibrated Density Isolation Forest Anomaly Detection</w:t>
              <w:br/>
            </w:r>
            <w:r>
              <w:rPr>
                <w:rFonts w:ascii="Courier New" w:hAnsi="Courier New"/>
                <w:color w:val="1E293B"/>
                <w:sz w:val="17"/>
              </w:rPr>
              <w:t>Input : command (Shell command string), threshold theta = -0.4906</w:t>
              <w:br/>
            </w:r>
            <w:r>
              <w:rPr>
                <w:rFonts w:ascii="Courier New" w:hAnsi="Courier New"/>
                <w:color w:val="1E293B"/>
                <w:sz w:val="17"/>
              </w:rPr>
              <w:t>Output: (is_anomaly: Boolean, anomaly_score: Float)</w:t>
              <w:br/>
            </w:r>
            <w:r>
              <w:rPr>
                <w:rFonts w:ascii="Courier New" w:hAnsi="Courier New"/>
                <w:color w:val="1E293B"/>
                <w:sz w:val="17"/>
              </w:rPr>
              <w:t>1:  phi &lt;- ExtractDenseStructuralFeatures(command)</w:t>
              <w:br/>
            </w:r>
            <w:r>
              <w:rPr>
                <w:rFonts w:ascii="Courier New" w:hAnsi="Courier New"/>
                <w:color w:val="1E293B"/>
                <w:sz w:val="17"/>
              </w:rPr>
              <w:t xml:space="preserve">    // phi contains: length, token_count, pipe_count, redirection_count,</w:t>
              <w:br/>
            </w:r>
            <w:r>
              <w:rPr>
                <w:rFonts w:ascii="Courier New" w:hAnsi="Courier New"/>
                <w:color w:val="1E293B"/>
                <w:sz w:val="17"/>
              </w:rPr>
              <w:t xml:space="preserve">    // hex_chars, base64_entropy, sudo_flag, sensitive_path_matches</w:t>
              <w:br/>
            </w:r>
            <w:r>
              <w:rPr>
                <w:rFonts w:ascii="Courier New" w:hAnsi="Courier New"/>
                <w:color w:val="1E293B"/>
                <w:sz w:val="17"/>
              </w:rPr>
              <w:t>2:  raw_score &lt;- IsolationForest.DecisionFunction([phi])[0]</w:t>
              <w:br/>
            </w:r>
            <w:r>
              <w:rPr>
                <w:rFonts w:ascii="Courier New" w:hAnsi="Courier New"/>
                <w:color w:val="1E293B"/>
                <w:sz w:val="17"/>
              </w:rPr>
              <w:t>3:  is_anomaly &lt;- (raw_score &lt; theta)</w:t>
              <w:br/>
            </w:r>
            <w:r>
              <w:rPr>
                <w:rFonts w:ascii="Courier New" w:hAnsi="Courier New"/>
                <w:color w:val="1E293B"/>
                <w:sz w:val="17"/>
              </w:rPr>
              <w:t>4:  normalized_anomaly_metric &lt;- Clamp((theta - raw_score) / Abs(theta), 0.0, 1.0)</w:t>
              <w:br/>
            </w:r>
            <w:r>
              <w:rPr>
                <w:rFonts w:ascii="Courier New" w:hAnsi="Courier New"/>
                <w:color w:val="1E293B"/>
                <w:sz w:val="17"/>
              </w:rPr>
              <w:t>5:  return (is_anomaly, normalized_anomaly_metric)</w:t>
            </w:r>
          </w:p>
        </w:tc>
      </w:tr>
    </w:tbl>
    <w:p>
      <w:pPr>
        <w:spacing w:before="40" w:after="80" w:line="240" w:lineRule="auto"/>
        <w:jc w:val="both"/>
      </w:pPr>
    </w:p>
    <w:p>
      <w:pPr>
        <w:spacing w:before="160" w:after="40" w:line="264" w:lineRule="auto"/>
        <w:jc w:val="left"/>
      </w:pPr>
      <w:r>
        <w:rPr>
          <w:rFonts w:ascii="Courier New" w:hAnsi="Courier New"/>
          <w:b/>
          <w:color w:val="003366"/>
          <w:sz w:val="19"/>
        </w:rPr>
        <w:t>Algorithm 5.4: Explainable Heuristic &amp; Gradient Boosting Risk Scoring</w:t>
      </w:r>
    </w:p>
    <w:tbl>
      <w:tblPr>
        <w:tblW w:type="auto" w:w="0"/>
        <w:jc w:val="center"/>
        <w:tblLook w:firstColumn="1" w:firstRow="1" w:lastColumn="0" w:lastRow="0" w:noHBand="0" w:noVBand="1" w:val="04A0"/>
      </w:tblPr>
      <w:tblGrid>
        <w:gridCol w:w="9000"/>
      </w:tblGrid>
      <w:tr>
        <w:tc>
          <w:tcPr>
            <w:tcW w:type="dxa" w:w="8928"/>
            <w:shd w:fill="F7FAFC"/>
            <w:tcMar>
              <w:top w:w="100" w:type="dxa"/>
              <w:bottom w:w="100" w:type="dxa"/>
              <w:left w:w="150" w:type="dxa"/>
              <w:right w:w="150" w:type="dxa"/>
            </w:tcMar>
          </w:tcPr>
          <w:p>
            <w:pPr>
              <w:spacing w:before="0" w:after="0" w:line="276" w:lineRule="auto"/>
            </w:pPr>
            <w:r>
              <w:rPr>
                <w:rFonts w:ascii="Courier New" w:hAnsi="Courier New"/>
                <w:color w:val="1E293B"/>
                <w:sz w:val="17"/>
              </w:rPr>
              <w:t>Algorithm 5.4: Explainable Heuristic &amp; Gradient Boosting Risk Scoring</w:t>
              <w:br/>
            </w:r>
            <w:r>
              <w:rPr>
                <w:rFonts w:ascii="Courier New" w:hAnsi="Courier New"/>
                <w:color w:val="1E293B"/>
                <w:sz w:val="17"/>
              </w:rPr>
              <w:t>Input : event (NormalizedEvent), session_history (List of prior session events)</w:t>
              <w:br/>
            </w:r>
            <w:r>
              <w:rPr>
                <w:rFonts w:ascii="Courier New" w:hAnsi="Courier New"/>
                <w:color w:val="1E293B"/>
                <w:sz w:val="17"/>
              </w:rPr>
              <w:t>Output: consolidated_risk_score (Float in range [0, 100]), severity_tier</w:t>
              <w:br/>
            </w:r>
            <w:r>
              <w:rPr>
                <w:rFonts w:ascii="Courier New" w:hAnsi="Courier New"/>
                <w:color w:val="1E293B"/>
                <w:sz w:val="17"/>
              </w:rPr>
              <w:t>1:  base_weight &lt;- INTENT_RISK_MAP[event.intent]  // E.g., PRIV_ESC=85, RECON=30</w:t>
              <w:br/>
            </w:r>
            <w:r>
              <w:rPr>
                <w:rFonts w:ascii="Courier New" w:hAnsi="Courier New"/>
                <w:color w:val="1E293B"/>
                <w:sz w:val="17"/>
              </w:rPr>
              <w:t>2:  priv_multiplier &lt;- 1.35 if ('sudo' in event.command or 'uid=0' in event.command) else 1.0</w:t>
              <w:br/>
            </w:r>
            <w:r>
              <w:rPr>
                <w:rFonts w:ascii="Courier New" w:hAnsi="Courier New"/>
                <w:color w:val="1E293B"/>
                <w:sz w:val="17"/>
              </w:rPr>
              <w:t>3:  structural_vec &lt;- ExtractStructuralFeatures(event.command)</w:t>
              <w:br/>
            </w:r>
            <w:r>
              <w:rPr>
                <w:rFonts w:ascii="Courier New" w:hAnsi="Courier New"/>
                <w:color w:val="1E293B"/>
                <w:sz w:val="17"/>
              </w:rPr>
              <w:t>4:  intent_onehot &lt;- OneHotEncode(event.intent, classes=10)</w:t>
              <w:br/>
            </w:r>
            <w:r>
              <w:rPr>
                <w:rFonts w:ascii="Courier New" w:hAnsi="Courier New"/>
                <w:color w:val="1E293B"/>
                <w:sz w:val="17"/>
              </w:rPr>
              <w:t>5:  context_vec &lt;- [Len(session_history), session.unique_ips, session.failed_logins]</w:t>
              <w:br/>
            </w:r>
            <w:r>
              <w:rPr>
                <w:rFonts w:ascii="Courier New" w:hAnsi="Courier New"/>
                <w:color w:val="1E293B"/>
                <w:sz w:val="17"/>
              </w:rPr>
              <w:t>6:  feature_union &lt;- Concatenate(structural_vec, intent_onehot, context_vec)</w:t>
              <w:br/>
            </w:r>
            <w:r>
              <w:rPr>
                <w:rFonts w:ascii="Courier New" w:hAnsi="Courier New"/>
                <w:color w:val="1E293B"/>
                <w:sz w:val="17"/>
              </w:rPr>
              <w:t>7:  ml_predicted_risk &lt;- HistGradientBoostingRegressor.Predict([feature_union])[0]</w:t>
              <w:br/>
            </w:r>
            <w:r>
              <w:rPr>
                <w:rFonts w:ascii="Courier New" w:hAnsi="Courier New"/>
                <w:color w:val="1E293B"/>
                <w:sz w:val="17"/>
              </w:rPr>
              <w:t>8:  raw_combined_score &lt;- 0.40 * (base_weight * priv_multiplier) + 0.60 * ml_predicted_risk</w:t>
              <w:br/>
            </w:r>
            <w:r>
              <w:rPr>
                <w:rFonts w:ascii="Courier New" w:hAnsi="Courier New"/>
                <w:color w:val="1E293B"/>
                <w:sz w:val="17"/>
              </w:rPr>
              <w:t>9:  consolidated_risk &lt;- Clamp(raw_combined_score, 0.0, 100.0)</w:t>
              <w:br/>
            </w:r>
            <w:r>
              <w:rPr>
                <w:rFonts w:ascii="Courier New" w:hAnsi="Courier New"/>
                <w:color w:val="1E293B"/>
                <w:sz w:val="17"/>
              </w:rPr>
              <w:t>10: severity &lt;- 'CRITICAL' if consolidated_risk &gt;= 80 else</w:t>
              <w:br/>
            </w:r>
            <w:r>
              <w:rPr>
                <w:rFonts w:ascii="Courier New" w:hAnsi="Courier New"/>
                <w:color w:val="1E293B"/>
                <w:sz w:val="17"/>
              </w:rPr>
              <w:t xml:space="preserve">                ('HIGH' if consolidated_risk &gt;= 60 else</w:t>
              <w:br/>
            </w:r>
            <w:r>
              <w:rPr>
                <w:rFonts w:ascii="Courier New" w:hAnsi="Courier New"/>
                <w:color w:val="1E293B"/>
                <w:sz w:val="17"/>
              </w:rPr>
              <w:t xml:space="preserve">                ('MEDIUM' if consolidated_risk &gt;= 35 else 'LOW'))</w:t>
              <w:br/>
            </w:r>
            <w:r>
              <w:rPr>
                <w:rFonts w:ascii="Courier New" w:hAnsi="Courier New"/>
                <w:color w:val="1E293B"/>
                <w:sz w:val="17"/>
              </w:rPr>
              <w:t>11: return (consolidated_risk, severity)</w:t>
            </w:r>
          </w:p>
        </w:tc>
      </w:tr>
    </w:tbl>
    <w:p>
      <w:pPr>
        <w:spacing w:before="40" w:after="80" w:line="240" w:lineRule="auto"/>
        <w:jc w:val="both"/>
      </w:pPr>
    </w:p>
    <w:p>
      <w:pPr>
        <w:spacing w:before="160" w:after="40" w:line="264" w:lineRule="auto"/>
        <w:jc w:val="left"/>
      </w:pPr>
      <w:r>
        <w:rPr>
          <w:rFonts w:ascii="Courier New" w:hAnsi="Courier New"/>
          <w:b/>
          <w:color w:val="003366"/>
          <w:sz w:val="19"/>
        </w:rPr>
        <w:t>Algorithm 5.5: Markov Sequence Transition Likelihood Projection</w:t>
      </w:r>
    </w:p>
    <w:tbl>
      <w:tblPr>
        <w:tblW w:type="auto" w:w="0"/>
        <w:jc w:val="center"/>
        <w:tblLook w:firstColumn="1" w:firstRow="1" w:lastColumn="0" w:lastRow="0" w:noHBand="0" w:noVBand="1" w:val="04A0"/>
      </w:tblPr>
      <w:tblGrid>
        <w:gridCol w:w="9000"/>
      </w:tblGrid>
      <w:tr>
        <w:tc>
          <w:tcPr>
            <w:tcW w:type="dxa" w:w="8928"/>
            <w:shd w:fill="F7FAFC"/>
            <w:tcMar>
              <w:top w:w="100" w:type="dxa"/>
              <w:bottom w:w="100" w:type="dxa"/>
              <w:left w:w="150" w:type="dxa"/>
              <w:right w:w="150" w:type="dxa"/>
            </w:tcMar>
          </w:tcPr>
          <w:p>
            <w:pPr>
              <w:spacing w:before="0" w:after="0" w:line="276" w:lineRule="auto"/>
            </w:pPr>
            <w:r>
              <w:rPr>
                <w:rFonts w:ascii="Courier New" w:hAnsi="Courier New"/>
                <w:color w:val="1E293B"/>
                <w:sz w:val="17"/>
              </w:rPr>
              <w:t>Algorithm 5.5: Markov Sequence Transition Likelihood Projection</w:t>
              <w:br/>
            </w:r>
            <w:r>
              <w:rPr>
                <w:rFonts w:ascii="Courier New" w:hAnsi="Courier New"/>
                <w:color w:val="1E293B"/>
                <w:sz w:val="17"/>
              </w:rPr>
              <w:t>Input : current_intent (Intent at time t), previous_intent (Intent at time t-1)</w:t>
              <w:br/>
            </w:r>
            <w:r>
              <w:rPr>
                <w:rFonts w:ascii="Courier New" w:hAnsi="Courier New"/>
                <w:color w:val="1E293B"/>
                <w:sz w:val="17"/>
              </w:rPr>
              <w:t>Output: (transition_probability, is_aberrant, projected_next_intents)</w:t>
              <w:br/>
            </w:r>
            <w:r>
              <w:rPr>
                <w:rFonts w:ascii="Courier New" w:hAnsi="Courier New"/>
                <w:color w:val="1E293B"/>
                <w:sz w:val="17"/>
              </w:rPr>
              <w:t>1:  if previous_intent is None then</w:t>
              <w:br/>
            </w:r>
            <w:r>
              <w:rPr>
                <w:rFonts w:ascii="Courier New" w:hAnsi="Courier New"/>
                <w:color w:val="1E293B"/>
                <w:sz w:val="17"/>
              </w:rPr>
              <w:t>2:      return (1.0, False, TransitionMatrix[current_intent].Top(3))</w:t>
              <w:br/>
            </w:r>
            <w:r>
              <w:rPr>
                <w:rFonts w:ascii="Courier New" w:hAnsi="Courier New"/>
                <w:color w:val="1E293B"/>
                <w:sz w:val="17"/>
              </w:rPr>
              <w:t>3:  end if</w:t>
              <w:br/>
            </w:r>
            <w:r>
              <w:rPr>
                <w:rFonts w:ascii="Courier New" w:hAnsi="Courier New"/>
                <w:color w:val="1E293B"/>
                <w:sz w:val="17"/>
              </w:rPr>
              <w:t>4:  prob &lt;- TransitionMatrix[previous_intent][current_intent]</w:t>
              <w:br/>
            </w:r>
            <w:r>
              <w:rPr>
                <w:rFonts w:ascii="Courier New" w:hAnsi="Courier New"/>
                <w:color w:val="1E293B"/>
                <w:sz w:val="17"/>
              </w:rPr>
              <w:t>5:  is_aberrant &lt;- (prob &lt; 0.05)  // Statistically unobserved sequence jump</w:t>
              <w:br/>
            </w:r>
            <w:r>
              <w:rPr>
                <w:rFonts w:ascii="Courier New" w:hAnsi="Courier New"/>
                <w:color w:val="1E293B"/>
                <w:sz w:val="17"/>
              </w:rPr>
              <w:t>6:  projected_intents &lt;- TransitionMatrix[current_intent].SortedByLikelihood()</w:t>
              <w:br/>
            </w:r>
            <w:r>
              <w:rPr>
                <w:rFonts w:ascii="Courier New" w:hAnsi="Courier New"/>
                <w:color w:val="1E293B"/>
                <w:sz w:val="17"/>
              </w:rPr>
              <w:t>7:  return (prob, is_aberrant, projected_intents)</w:t>
            </w:r>
          </w:p>
        </w:tc>
      </w:tr>
    </w:tbl>
    <w:p>
      <w:pPr>
        <w:spacing w:before="40" w:after="80" w:line="240" w:lineRule="auto"/>
        <w:jc w:val="both"/>
      </w:pPr>
    </w:p>
    <w:p>
      <w:pPr>
        <w:spacing w:before="240" w:after="120" w:line="276" w:lineRule="auto"/>
        <w:jc w:val="left"/>
      </w:pPr>
      <w:r>
        <w:rPr>
          <w:rFonts w:ascii="Times New Roman" w:hAnsi="Times New Roman"/>
          <w:b/>
          <w:color w:val="003366"/>
          <w:sz w:val="24"/>
        </w:rPr>
        <w:t>5.3 Coding Conventions, Architecture Patterns &amp; Code Organization</w:t>
      </w:r>
    </w:p>
    <w:p>
      <w:pPr>
        <w:spacing w:before="0" w:after="120" w:line="360" w:lineRule="auto"/>
        <w:jc w:val="both"/>
      </w:pPr>
      <w:r>
        <w:rPr>
          <w:rFonts w:ascii="Times New Roman" w:hAnsi="Times New Roman"/>
          <w:i w:val="0"/>
          <w:sz w:val="24"/>
        </w:rPr>
        <w:t>The codebase adheres to rigorous PEP-8 Python and Airbnb TypeScript coding standards. Key architectural design patterns employed include Repository &amp; Service separation, Publish-Subscribe event broadcasting, and the Strategy pattern for multi-tiered ML fallback.</w:t>
      </w:r>
    </w:p>
    <w:p>
      <w:pPr>
        <w:spacing w:before="0" w:after="120" w:line="360" w:lineRule="auto"/>
        <w:jc w:val="both"/>
      </w:pPr>
      <w:r>
        <w:rPr>
          <w:rFonts w:ascii="Times New Roman" w:hAnsi="Times New Roman"/>
          <w:i w:val="0"/>
          <w:sz w:val="24"/>
        </w:rPr>
        <w:t>Table 5.1 provides an overview of the core implementation modules and their directory layout.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0"/>
        <w:gridCol w:w="2250"/>
        <w:gridCol w:w="2250"/>
        <w:gridCol w:w="2250"/>
      </w:tblGrid>
      <w:tr>
        <w:tc>
          <w:tcPr>
            <w:tcW w:type="dxa" w:w="2250"/>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7"/>
              </w:rPr>
              <w:t>Module Path</w:t>
            </w:r>
          </w:p>
        </w:tc>
        <w:tc>
          <w:tcPr>
            <w:tcW w:type="dxa" w:w="2250"/>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7"/>
              </w:rPr>
              <w:t>Language</w:t>
            </w:r>
          </w:p>
        </w:tc>
        <w:tc>
          <w:tcPr>
            <w:tcW w:type="dxa" w:w="2250"/>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7"/>
              </w:rPr>
              <w:t>Key Classes / Functions</w:t>
            </w:r>
          </w:p>
        </w:tc>
        <w:tc>
          <w:tcPr>
            <w:tcW w:type="dxa" w:w="2250"/>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7"/>
              </w:rPr>
              <w:t>Architectural Role</w:t>
            </w:r>
          </w:p>
        </w:tc>
      </w:tr>
      <w:tr>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backend/app/services/log_collector.py</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Python</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AsyncLogCollector, tail_log()</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Asynchronous non-blocking file reader and event deduplicator</w:t>
            </w:r>
          </w:p>
        </w:tc>
      </w:tr>
      <w:tr>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b/>
                <w:sz w:val="16"/>
              </w:rPr>
              <w:t>backend/app/services/event_normalizer.py</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Python</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EventNormalizer, normalize_cowrie_event()</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Payload sanitization, field mapping, and deterministic SHA-256 ID generation</w:t>
            </w:r>
          </w:p>
        </w:tc>
      </w:tr>
      <w:tr>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backend/app/services/hybrid_classifier.py</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Python</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HybridClassifier, classify_command()</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Multi-tiered coordinator dispatching rules, LinearSVC, and LLM fallback</w:t>
            </w:r>
          </w:p>
        </w:tc>
      </w:tr>
      <w:tr>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b/>
                <w:sz w:val="16"/>
              </w:rPr>
              <w:t>backend/app/ml/intent_ml_classifier.py</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Python</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MLIntentClassifier, predict()</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Calibrated LinearSVC wrapper with character/word n-gram vectorizer</w:t>
            </w:r>
          </w:p>
        </w:tc>
      </w:tr>
      <w:tr>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backend/app/ml/anomaly_detector.py</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Python</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CowrieAnomalyDetector, predict_anomaly()</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Isolation Forest density scorer operating at calibrated threshold -0.4906</w:t>
            </w:r>
          </w:p>
        </w:tc>
      </w:tr>
      <w:tr>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b/>
                <w:sz w:val="16"/>
              </w:rPr>
              <w:t>backend/app/ml/stage_classifier.py</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Python</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StageRandomForestClassifier, predict()</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120-tree Random Forest attributing commands to MITRE ATT&amp;CK stages</w:t>
            </w:r>
          </w:p>
        </w:tc>
      </w:tr>
      <w:tr>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backend/app/ml/risk_predictor.py</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Python</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GradientBoostingRiskPredictor, predict_risk()</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HistGradientBoosting regression model computing continuous risk scores</w:t>
            </w:r>
          </w:p>
        </w:tc>
      </w:tr>
      <w:tr>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b/>
                <w:sz w:val="16"/>
              </w:rPr>
              <w:t>backend/app/services/sequence_engine.py</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Python</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SequenceTransitionEngine</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Stateful first-order Markov chain modeling transition probabilities</w:t>
            </w:r>
          </w:p>
        </w:tc>
      </w:tr>
      <w:tr>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backend/app/services/risk_engine.py</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Python</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RiskEngine, calculate_risk()</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Synthesizes heuristic privilege weights with ML regression outputs</w:t>
            </w:r>
          </w:p>
        </w:tc>
      </w:tr>
      <w:tr>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b/>
                <w:sz w:val="16"/>
              </w:rPr>
              <w:t>backend/app/services/websocket_manager.py</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Python</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WebSocketManager, broadcast_event()</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Sub-50ms reactive event streaming to connected web clients</w:t>
            </w:r>
          </w:p>
        </w:tc>
      </w:tr>
      <w:tr>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frontend/src/pages/Overview.tsx</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TypeScript</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OverviewComponent</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Operational KPI counters, severity distributions, and live event feed</w:t>
            </w:r>
          </w:p>
        </w:tc>
      </w:tr>
      <w:tr>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b/>
                <w:sz w:val="16"/>
              </w:rPr>
              <w:t>frontend/src/pages/LiveSessions.tsx</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TypeScript</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LiveSessionsComponent</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Interactive terminal session monitor with real-time command inspection</w:t>
            </w:r>
          </w:p>
        </w:tc>
      </w:tr>
      <w:tr>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frontend/src/pages/AttackerProfiles.tsx</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TypeScript</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AttackerProfilesComponent</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Aggregated threat actor cards, IP geolocation, and behavioral tags</w:t>
            </w:r>
          </w:p>
        </w:tc>
      </w:tr>
    </w:tbl>
    <w:p>
      <w:pPr>
        <w:spacing w:before="80" w:after="240" w:line="240" w:lineRule="auto"/>
        <w:jc w:val="center"/>
      </w:pPr>
      <w:r>
        <w:rPr>
          <w:rFonts w:ascii="Times New Roman" w:hAnsi="Times New Roman"/>
          <w:b/>
          <w:sz w:val="20"/>
        </w:rPr>
        <w:t>Table 5.1: Core Source Code Modules and Architectural Responsibilities</w:t>
      </w:r>
    </w:p>
    <w:p>
      <w:pPr>
        <w:spacing w:before="240" w:after="120" w:line="276" w:lineRule="auto"/>
        <w:jc w:val="left"/>
      </w:pPr>
      <w:r>
        <w:rPr>
          <w:rFonts w:ascii="Times New Roman" w:hAnsi="Times New Roman"/>
          <w:b/>
          <w:color w:val="003366"/>
          <w:sz w:val="24"/>
        </w:rPr>
        <w:t>5.4 Front-End Implementation &amp; Visual Components</w:t>
      </w:r>
    </w:p>
    <w:p>
      <w:pPr>
        <w:spacing w:before="0" w:after="120" w:line="360" w:lineRule="auto"/>
        <w:jc w:val="both"/>
      </w:pPr>
      <w:r>
        <w:rPr>
          <w:rFonts w:ascii="Times New Roman" w:hAnsi="Times New Roman"/>
          <w:i w:val="0"/>
          <w:sz w:val="24"/>
        </w:rPr>
        <w:t>The operator frontend is designed in React 18 with TypeScript and Tailwind CSS, providing security analysts with intuitive real-time visibility into active honeypots, session keystrokes, and attacker threat intelligence. The visual layout and component implementations are detailed below.</w:t>
      </w:r>
    </w:p>
    <w:p>
      <w:pPr>
        <w:spacing w:before="160" w:after="80" w:line="276" w:lineRule="auto"/>
        <w:jc w:val="left"/>
      </w:pPr>
      <w:r>
        <w:rPr>
          <w:rFonts w:ascii="Times New Roman" w:hAnsi="Times New Roman"/>
          <w:b/>
          <w:i/>
          <w:color w:val="333333"/>
          <w:sz w:val="24"/>
        </w:rPr>
        <w:t>5.4.1 Overview Console &amp; Live Ingestion Dashboard</w:t>
      </w:r>
    </w:p>
    <w:p>
      <w:pPr>
        <w:spacing w:before="0" w:after="120" w:line="360" w:lineRule="auto"/>
        <w:jc w:val="both"/>
      </w:pPr>
      <w:r>
        <w:rPr>
          <w:rFonts w:ascii="Times New Roman" w:hAnsi="Times New Roman"/>
          <w:i w:val="0"/>
          <w:sz w:val="24"/>
        </w:rPr>
        <w:t>Figure 5.1 depicts the real-time operational Overview Dashboard. The dashboard renders live telemetry metrics including active attacker sessions, total parsed commands, critical threat alerts, and the verified ML pipeline status (99.88% target). A dynamic bar chart visualizes the distribution of attacker activities across MITRE ATT&amp;CK stages, while an active WebSocket feed displays incoming commands with source IP addresses, classified intent tags, and computed risk scores.</w:t>
      </w:r>
    </w:p>
    <w:p>
      <w:pPr>
        <w:spacing w:before="160" w:after="60"/>
        <w:jc w:val="center"/>
      </w:pPr>
      <w:r>
        <w:drawing>
          <wp:inline xmlns:a="http://schemas.openxmlformats.org/drawingml/2006/main" xmlns:pic="http://schemas.openxmlformats.org/drawingml/2006/picture">
            <wp:extent cx="5669280" cy="3504646"/>
            <wp:docPr id="7" name="Picture 7"/>
            <wp:cNvGraphicFramePr>
              <a:graphicFrameLocks noChangeAspect="1"/>
            </wp:cNvGraphicFramePr>
            <a:graphic>
              <a:graphicData uri="http://schemas.openxmlformats.org/drawingml/2006/picture">
                <pic:pic>
                  <pic:nvPicPr>
                    <pic:cNvPr id="0" name="fig_5_1_ui_overview_dashboard.png"/>
                    <pic:cNvPicPr/>
                  </pic:nvPicPr>
                  <pic:blipFill>
                    <a:blip r:embed="rId17"/>
                    <a:stretch>
                      <a:fillRect/>
                    </a:stretch>
                  </pic:blipFill>
                  <pic:spPr>
                    <a:xfrm>
                      <a:off x="0" y="0"/>
                      <a:ext cx="5669280" cy="3504646"/>
                    </a:xfrm>
                    <a:prstGeom prst="rect"/>
                  </pic:spPr>
                </pic:pic>
              </a:graphicData>
            </a:graphic>
          </wp:inline>
        </w:drawing>
      </w:r>
    </w:p>
    <w:p>
      <w:pPr>
        <w:spacing w:before="40" w:after="200" w:line="240" w:lineRule="auto"/>
        <w:jc w:val="center"/>
      </w:pPr>
      <w:r>
        <w:rPr>
          <w:rFonts w:ascii="Times New Roman" w:hAnsi="Times New Roman"/>
          <w:b/>
          <w:color w:val="003366"/>
          <w:sz w:val="20"/>
        </w:rPr>
        <w:t>Figure 5.1: Real-Time Operator Overview Console &amp; Ingestion Feed</w:t>
      </w:r>
    </w:p>
    <w:p>
      <w:pPr>
        <w:spacing w:before="160" w:after="80" w:line="276" w:lineRule="auto"/>
        <w:jc w:val="left"/>
      </w:pPr>
      <w:r>
        <w:rPr>
          <w:rFonts w:ascii="Times New Roman" w:hAnsi="Times New Roman"/>
          <w:b/>
          <w:i/>
          <w:color w:val="333333"/>
          <w:sz w:val="24"/>
        </w:rPr>
        <w:t>5.4.2 Attacker Threat Profiles Explorer</w:t>
      </w:r>
    </w:p>
    <w:p>
      <w:pPr>
        <w:spacing w:before="0" w:after="120" w:line="360" w:lineRule="auto"/>
        <w:jc w:val="both"/>
      </w:pPr>
      <w:r>
        <w:rPr>
          <w:rFonts w:ascii="Times New Roman" w:hAnsi="Times New Roman"/>
          <w:i w:val="0"/>
          <w:sz w:val="24"/>
        </w:rPr>
        <w:t>Figure 5.2 illustrates the Attacker Profiles interface. Telemetry is automatically correlated by unique source IP address, presenting comprehensive threat actor cards. Each card displays geolocation metadata (Country, Autonomous System Number), an aggregated risk badge (LOW, MEDIUM, HIGH, CRITICAL), behavioral classification tags (e.g., 'Credential Sprayer', 'Privilege Seeker', 'Malware Dropper'), and a chronological command trail detailing session history.</w:t>
      </w:r>
    </w:p>
    <w:p>
      <w:pPr>
        <w:spacing w:before="160" w:after="60"/>
        <w:jc w:val="center"/>
      </w:pPr>
      <w:r>
        <w:drawing>
          <wp:inline xmlns:a="http://schemas.openxmlformats.org/drawingml/2006/main" xmlns:pic="http://schemas.openxmlformats.org/drawingml/2006/picture">
            <wp:extent cx="5669280" cy="3514954"/>
            <wp:docPr id="8" name="Picture 8"/>
            <wp:cNvGraphicFramePr>
              <a:graphicFrameLocks noChangeAspect="1"/>
            </wp:cNvGraphicFramePr>
            <a:graphic>
              <a:graphicData uri="http://schemas.openxmlformats.org/drawingml/2006/picture">
                <pic:pic>
                  <pic:nvPicPr>
                    <pic:cNvPr id="0" name="fig_5_2_ui_attacker_profiles.png"/>
                    <pic:cNvPicPr/>
                  </pic:nvPicPr>
                  <pic:blipFill>
                    <a:blip r:embed="rId18"/>
                    <a:stretch>
                      <a:fillRect/>
                    </a:stretch>
                  </pic:blipFill>
                  <pic:spPr>
                    <a:xfrm>
                      <a:off x="0" y="0"/>
                      <a:ext cx="5669280" cy="3514954"/>
                    </a:xfrm>
                    <a:prstGeom prst="rect"/>
                  </pic:spPr>
                </pic:pic>
              </a:graphicData>
            </a:graphic>
          </wp:inline>
        </w:drawing>
      </w:r>
    </w:p>
    <w:p>
      <w:pPr>
        <w:spacing w:before="40" w:after="200" w:line="240" w:lineRule="auto"/>
        <w:jc w:val="center"/>
      </w:pPr>
      <w:r>
        <w:rPr>
          <w:rFonts w:ascii="Times New Roman" w:hAnsi="Times New Roman"/>
          <w:b/>
          <w:color w:val="003366"/>
          <w:sz w:val="20"/>
        </w:rPr>
        <w:t>Figure 5.2: Attacker Threat Profiles &amp; Behavioral Signatures Explorer</w:t>
      </w:r>
    </w:p>
    <w:p>
      <w:pPr>
        <w:spacing w:before="160" w:after="80" w:line="276" w:lineRule="auto"/>
        <w:jc w:val="left"/>
      </w:pPr>
      <w:r>
        <w:rPr>
          <w:rFonts w:ascii="Times New Roman" w:hAnsi="Times New Roman"/>
          <w:b/>
          <w:i/>
          <w:color w:val="333333"/>
          <w:sz w:val="24"/>
        </w:rPr>
        <w:t>5.4.3 Analytics &amp; Markov Sequence Inspector</w:t>
      </w:r>
    </w:p>
    <w:p>
      <w:pPr>
        <w:spacing w:before="0" w:after="120" w:line="360" w:lineRule="auto"/>
        <w:jc w:val="both"/>
      </w:pPr>
      <w:r>
        <w:rPr>
          <w:rFonts w:ascii="Times New Roman" w:hAnsi="Times New Roman"/>
          <w:i w:val="0"/>
          <w:sz w:val="24"/>
        </w:rPr>
        <w:t>Figure 5.3 presents the Analytics view displaying the interactive 10x10 Markov Sequence Transition Likelihood Matrix P(Intent_t | Intent_{t-1}). The heatmap enables analysts to visualize empirical progression patterns across cyber attack lifecycles and detect anomalous state transitions that deviate from standard intrusion paths.</w:t>
      </w:r>
    </w:p>
    <w:p>
      <w:pPr>
        <w:spacing w:before="160" w:after="60"/>
        <w:jc w:val="center"/>
      </w:pPr>
      <w:r>
        <w:drawing>
          <wp:inline xmlns:a="http://schemas.openxmlformats.org/drawingml/2006/main" xmlns:pic="http://schemas.openxmlformats.org/drawingml/2006/picture">
            <wp:extent cx="5029200" cy="4141694"/>
            <wp:docPr id="9" name="Picture 9"/>
            <wp:cNvGraphicFramePr>
              <a:graphicFrameLocks noChangeAspect="1"/>
            </wp:cNvGraphicFramePr>
            <a:graphic>
              <a:graphicData uri="http://schemas.openxmlformats.org/drawingml/2006/picture">
                <pic:pic>
                  <pic:nvPicPr>
                    <pic:cNvPr id="0" name="fig_5_3_ui_analytics_markov.png"/>
                    <pic:cNvPicPr/>
                  </pic:nvPicPr>
                  <pic:blipFill>
                    <a:blip r:embed="rId19"/>
                    <a:stretch>
                      <a:fillRect/>
                    </a:stretch>
                  </pic:blipFill>
                  <pic:spPr>
                    <a:xfrm>
                      <a:off x="0" y="0"/>
                      <a:ext cx="5029200" cy="4141694"/>
                    </a:xfrm>
                    <a:prstGeom prst="rect"/>
                  </pic:spPr>
                </pic:pic>
              </a:graphicData>
            </a:graphic>
          </wp:inline>
        </w:drawing>
      </w:r>
    </w:p>
    <w:p>
      <w:pPr>
        <w:spacing w:before="40" w:after="200" w:line="240" w:lineRule="auto"/>
        <w:jc w:val="center"/>
      </w:pPr>
      <w:r>
        <w:rPr>
          <w:rFonts w:ascii="Times New Roman" w:hAnsi="Times New Roman"/>
          <w:b/>
          <w:color w:val="003366"/>
          <w:sz w:val="20"/>
        </w:rPr>
        <w:t>Figure 5.3: Markov Sequence Transition Likelihood Matrix P(Intent_t | Intent_{t-1})</w:t>
      </w:r>
    </w:p>
    <w:p>
      <w:pPr>
        <w:spacing w:before="240" w:after="120" w:line="276" w:lineRule="auto"/>
        <w:jc w:val="left"/>
      </w:pPr>
      <w:r>
        <w:rPr>
          <w:rFonts w:ascii="Times New Roman" w:hAnsi="Times New Roman"/>
          <w:b/>
          <w:color w:val="003366"/>
          <w:sz w:val="24"/>
        </w:rPr>
        <w:t>5.5 Summary</w:t>
      </w:r>
    </w:p>
    <w:p>
      <w:pPr>
        <w:spacing w:before="0" w:after="120" w:line="360" w:lineRule="auto"/>
        <w:jc w:val="both"/>
      </w:pPr>
      <w:r>
        <w:rPr>
          <w:rFonts w:ascii="Times New Roman" w:hAnsi="Times New Roman"/>
          <w:i w:val="0"/>
          <w:sz w:val="24"/>
        </w:rPr>
        <w:t>Chapter 5 documented the complete implementation of INT-AWARE, presenting formal pseudocodes for Algorithms 5.1 through 5.5, the modular Python/TypeScript codebase, and rich visual renderings of the operator user interface across Figures 5.1 to 5.3.</w:t>
      </w:r>
    </w:p>
    <w:p>
      <w:r>
        <w:br w:type="page"/>
      </w:r>
    </w:p>
    <w:p>
      <w:pPr>
        <w:spacing w:before="360" w:after="240" w:line="276" w:lineRule="auto"/>
        <w:jc w:val="center"/>
      </w:pPr>
      <w:r>
        <w:rPr>
          <w:rFonts w:ascii="Times New Roman" w:hAnsi="Times New Roman"/>
          <w:b/>
          <w:color w:val="003366"/>
          <w:sz w:val="28"/>
        </w:rPr>
        <w:t>CHAPTER 6</w:t>
        <w:br/>
        <w:t>RESULTS AND DISCUSSION</w:t>
      </w:r>
    </w:p>
    <w:p>
      <w:pPr>
        <w:spacing w:before="240" w:after="120" w:line="276" w:lineRule="auto"/>
        <w:jc w:val="left"/>
      </w:pPr>
      <w:r>
        <w:rPr>
          <w:rFonts w:ascii="Times New Roman" w:hAnsi="Times New Roman"/>
          <w:b/>
          <w:color w:val="003366"/>
          <w:sz w:val="24"/>
        </w:rPr>
        <w:t>6.1 Experimental Setup &amp; Evaluation Datasets</w:t>
      </w:r>
    </w:p>
    <w:p>
      <w:pPr>
        <w:spacing w:before="0" w:after="120" w:line="360" w:lineRule="auto"/>
        <w:jc w:val="both"/>
      </w:pPr>
      <w:r>
        <w:rPr>
          <w:rFonts w:ascii="Times New Roman" w:hAnsi="Times New Roman"/>
          <w:i w:val="0"/>
          <w:sz w:val="24"/>
        </w:rPr>
        <w:t>To rigorously benchmark INT-AWARE without data leakage, all machine learning models were trained, validated, and evaluated on verified cybersecurity datasets. The primary evaluation corpus comprises 6,870 canonical Linux shell command interactions derived from active Cowrie SSH honeypots and public honeypot repositories, stratified into an 80% training partition (5,496 samples) and a completely untouched 20% held-out test partition (1,374 samples). The dataset encompasses 10 canonical MITRE ATT&amp;CK intent categories: Reconnaissance (e.g., uname, lscpu), Discovery (e.g., ls, find, netstat), Credential Access (e.g., cat /etc/shadow, hydra), Execution (e.g., ./malware, bash -c), Privilege Escalation (e.g., sudo -i, pkexec), Persistence (e.g., crontab -e, useradd), Exploitation (e.g., dirtycow, cve-2021-4034), Exfiltration (e.g., curl -d @data, scp), Cleanup (e.g., rm -rf, history -c), and Other/Benign administrative operations.</w:t>
      </w:r>
    </w:p>
    <w:p>
      <w:pPr>
        <w:spacing w:before="240" w:after="120" w:line="276" w:lineRule="auto"/>
        <w:jc w:val="left"/>
      </w:pPr>
      <w:r>
        <w:rPr>
          <w:rFonts w:ascii="Times New Roman" w:hAnsi="Times New Roman"/>
          <w:b/>
          <w:color w:val="003366"/>
          <w:sz w:val="24"/>
        </w:rPr>
        <w:t>6.2 Automated Test Suite Execution Results (166 Tests)</w:t>
      </w:r>
    </w:p>
    <w:p>
      <w:pPr>
        <w:spacing w:before="0" w:after="120" w:line="360" w:lineRule="auto"/>
        <w:jc w:val="both"/>
      </w:pPr>
      <w:r>
        <w:rPr>
          <w:rFonts w:ascii="Times New Roman" w:hAnsi="Times New Roman"/>
          <w:i w:val="0"/>
          <w:sz w:val="24"/>
        </w:rPr>
        <w:t>To verify system integrity, fault tolerance, and regression-free operation across the entire codebase, an exhaustive automated test suite comprising 166 individual verification test cases was executed via Pytest. Figure 6.1 displays the actual terminal execution output confirming that all 166 test cases passed with zero failures in 21.31 seconds.</w:t>
      </w:r>
    </w:p>
    <w:p>
      <w:pPr>
        <w:spacing w:before="160" w:after="60"/>
        <w:jc w:val="center"/>
      </w:pPr>
      <w:r>
        <w:drawing>
          <wp:inline xmlns:a="http://schemas.openxmlformats.org/drawingml/2006/main" xmlns:pic="http://schemas.openxmlformats.org/drawingml/2006/picture">
            <wp:extent cx="5669280" cy="3685032"/>
            <wp:docPr id="10" name="Picture 10"/>
            <wp:cNvGraphicFramePr>
              <a:graphicFrameLocks noChangeAspect="1"/>
            </wp:cNvGraphicFramePr>
            <a:graphic>
              <a:graphicData uri="http://schemas.openxmlformats.org/drawingml/2006/picture">
                <pic:pic>
                  <pic:nvPicPr>
                    <pic:cNvPr id="0" name="fig_6_6_terminal_pytest_results.png"/>
                    <pic:cNvPicPr/>
                  </pic:nvPicPr>
                  <pic:blipFill>
                    <a:blip r:embed="rId20"/>
                    <a:stretch>
                      <a:fillRect/>
                    </a:stretch>
                  </pic:blipFill>
                  <pic:spPr>
                    <a:xfrm>
                      <a:off x="0" y="0"/>
                      <a:ext cx="5669280" cy="3685032"/>
                    </a:xfrm>
                    <a:prstGeom prst="rect"/>
                  </pic:spPr>
                </pic:pic>
              </a:graphicData>
            </a:graphic>
          </wp:inline>
        </w:drawing>
      </w:r>
    </w:p>
    <w:p>
      <w:pPr>
        <w:spacing w:before="40" w:after="200" w:line="240" w:lineRule="auto"/>
        <w:jc w:val="center"/>
      </w:pPr>
      <w:r>
        <w:rPr>
          <w:rFonts w:ascii="Times New Roman" w:hAnsi="Times New Roman"/>
          <w:b/>
          <w:color w:val="003366"/>
          <w:sz w:val="20"/>
        </w:rPr>
        <w:t>Figure 6.1: Automated Pytest Suite Execution Results (166 Passed in 21.31s)</w:t>
      </w:r>
    </w:p>
    <w:p>
      <w:pPr>
        <w:spacing w:before="240" w:after="120" w:line="276" w:lineRule="auto"/>
        <w:jc w:val="left"/>
      </w:pPr>
      <w:r>
        <w:rPr>
          <w:rFonts w:ascii="Times New Roman" w:hAnsi="Times New Roman"/>
          <w:b/>
          <w:color w:val="003366"/>
          <w:sz w:val="24"/>
        </w:rPr>
        <w:t>6.3 System-Wide Multi-Model Verification Summary</w:t>
      </w:r>
    </w:p>
    <w:p>
      <w:pPr>
        <w:spacing w:before="0" w:after="120" w:line="360" w:lineRule="auto"/>
        <w:jc w:val="both"/>
      </w:pPr>
      <w:r>
        <w:rPr>
          <w:rFonts w:ascii="Times New Roman" w:hAnsi="Times New Roman"/>
          <w:i w:val="0"/>
          <w:sz w:val="24"/>
        </w:rPr>
        <w:t>Figure 6.2 presents the terminal output of the multi-model verification script (scripts/verify_all_5_models.py). The verification program systematically evaluates every machine learning model, anomaly detector, transition engine, drift monitor, and guardrail against untouched test splits and verifies artifact SHA-256 cryptographic hashes against the model registry.</w:t>
      </w:r>
    </w:p>
    <w:p>
      <w:pPr>
        <w:spacing w:before="160" w:after="60"/>
        <w:jc w:val="center"/>
      </w:pPr>
      <w:r>
        <w:drawing>
          <wp:inline xmlns:a="http://schemas.openxmlformats.org/drawingml/2006/main" xmlns:pic="http://schemas.openxmlformats.org/drawingml/2006/picture">
            <wp:extent cx="5669280" cy="3685032"/>
            <wp:docPr id="11" name="Picture 11"/>
            <wp:cNvGraphicFramePr>
              <a:graphicFrameLocks noChangeAspect="1"/>
            </wp:cNvGraphicFramePr>
            <a:graphic>
              <a:graphicData uri="http://schemas.openxmlformats.org/drawingml/2006/picture">
                <pic:pic>
                  <pic:nvPicPr>
                    <pic:cNvPr id="0" name="fig_6_7_terminal_verification_summary.png"/>
                    <pic:cNvPicPr/>
                  </pic:nvPicPr>
                  <pic:blipFill>
                    <a:blip r:embed="rId21"/>
                    <a:stretch>
                      <a:fillRect/>
                    </a:stretch>
                  </pic:blipFill>
                  <pic:spPr>
                    <a:xfrm>
                      <a:off x="0" y="0"/>
                      <a:ext cx="5669280" cy="3685032"/>
                    </a:xfrm>
                    <a:prstGeom prst="rect"/>
                  </pic:spPr>
                </pic:pic>
              </a:graphicData>
            </a:graphic>
          </wp:inline>
        </w:drawing>
      </w:r>
    </w:p>
    <w:p>
      <w:pPr>
        <w:spacing w:before="40" w:after="200" w:line="240" w:lineRule="auto"/>
        <w:jc w:val="center"/>
      </w:pPr>
      <w:r>
        <w:rPr>
          <w:rFonts w:ascii="Times New Roman" w:hAnsi="Times New Roman"/>
          <w:b/>
          <w:color w:val="003366"/>
          <w:sz w:val="20"/>
        </w:rPr>
        <w:t>Figure 6.2: System-Wide Multi-Model Verification &amp; Registry Check Terminal Output</w:t>
      </w:r>
    </w:p>
    <w:p>
      <w:pPr>
        <w:spacing w:before="240" w:after="120" w:line="276" w:lineRule="auto"/>
        <w:jc w:val="left"/>
      </w:pPr>
      <w:r>
        <w:rPr>
          <w:rFonts w:ascii="Times New Roman" w:hAnsi="Times New Roman"/>
          <w:b/>
          <w:color w:val="003366"/>
          <w:sz w:val="24"/>
        </w:rPr>
        <w:t>6.4 ML Model 1 Performance: Calibrated Linear SVM Intent Classifier</w:t>
      </w:r>
    </w:p>
    <w:p>
      <w:pPr>
        <w:spacing w:before="0" w:after="120" w:line="360" w:lineRule="auto"/>
        <w:jc w:val="both"/>
      </w:pPr>
      <w:r>
        <w:rPr>
          <w:rFonts w:ascii="Times New Roman" w:hAnsi="Times New Roman"/>
          <w:i w:val="0"/>
          <w:sz w:val="24"/>
        </w:rPr>
        <w:t>Figure 6.3 illustrates the comparative held-out test accuracy and Macro-F1 / reliability scores achieved across the core machine learning models in INT-AWARE.</w:t>
      </w:r>
    </w:p>
    <w:p>
      <w:pPr>
        <w:spacing w:before="160" w:after="60"/>
        <w:jc w:val="center"/>
      </w:pPr>
      <w:r>
        <w:drawing>
          <wp:inline xmlns:a="http://schemas.openxmlformats.org/drawingml/2006/main" xmlns:pic="http://schemas.openxmlformats.org/drawingml/2006/picture">
            <wp:extent cx="5303520" cy="2946400"/>
            <wp:docPr id="12" name="Picture 12"/>
            <wp:cNvGraphicFramePr>
              <a:graphicFrameLocks noChangeAspect="1"/>
            </wp:cNvGraphicFramePr>
            <a:graphic>
              <a:graphicData uri="http://schemas.openxmlformats.org/drawingml/2006/picture">
                <pic:pic>
                  <pic:nvPicPr>
                    <pic:cNvPr id="0" name="fig_6_1_model_accuracies.png"/>
                    <pic:cNvPicPr/>
                  </pic:nvPicPr>
                  <pic:blipFill>
                    <a:blip r:embed="rId22"/>
                    <a:stretch>
                      <a:fillRect/>
                    </a:stretch>
                  </pic:blipFill>
                  <pic:spPr>
                    <a:xfrm>
                      <a:off x="0" y="0"/>
                      <a:ext cx="5303520" cy="2946400"/>
                    </a:xfrm>
                    <a:prstGeom prst="rect"/>
                  </pic:spPr>
                </pic:pic>
              </a:graphicData>
            </a:graphic>
          </wp:inline>
        </w:drawing>
      </w:r>
    </w:p>
    <w:p>
      <w:pPr>
        <w:spacing w:before="40" w:after="200" w:line="240" w:lineRule="auto"/>
        <w:jc w:val="center"/>
      </w:pPr>
      <w:r>
        <w:rPr>
          <w:rFonts w:ascii="Times New Roman" w:hAnsi="Times New Roman"/>
          <w:b/>
          <w:color w:val="003366"/>
          <w:sz w:val="20"/>
        </w:rPr>
        <w:t>Figure 6.3: Held-out Test Accuracy and F1 Across Core ML Models</w:t>
      </w:r>
    </w:p>
    <w:p>
      <w:pPr>
        <w:spacing w:before="0" w:after="120" w:line="360" w:lineRule="auto"/>
        <w:jc w:val="both"/>
      </w:pPr>
      <w:r>
        <w:rPr>
          <w:rFonts w:ascii="Times New Roman" w:hAnsi="Times New Roman"/>
          <w:i w:val="0"/>
          <w:sz w:val="24"/>
        </w:rPr>
        <w:t>Table 6.1 summarizes the empirical performance metrics obtained across all four models on the held-out test sets.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286"/>
        <w:gridCol w:w="1286"/>
        <w:gridCol w:w="1286"/>
        <w:gridCol w:w="1286"/>
        <w:gridCol w:w="1286"/>
        <w:gridCol w:w="1286"/>
        <w:gridCol w:w="1286"/>
      </w:tblGrid>
      <w:tr>
        <w:tc>
          <w:tcPr>
            <w:tcW w:type="dxa" w:w="1286"/>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6"/>
              </w:rPr>
              <w:t>Model Identifier</w:t>
            </w:r>
          </w:p>
        </w:tc>
        <w:tc>
          <w:tcPr>
            <w:tcW w:type="dxa" w:w="1286"/>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6"/>
              </w:rPr>
              <w:t>Algorithm Family</w:t>
            </w:r>
          </w:p>
        </w:tc>
        <w:tc>
          <w:tcPr>
            <w:tcW w:type="dxa" w:w="1286"/>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6"/>
              </w:rPr>
              <w:t>Task / Objective</w:t>
            </w:r>
          </w:p>
        </w:tc>
        <w:tc>
          <w:tcPr>
            <w:tcW w:type="dxa" w:w="1286"/>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6"/>
              </w:rPr>
              <w:t>Held-out Test Metric</w:t>
            </w:r>
          </w:p>
        </w:tc>
        <w:tc>
          <w:tcPr>
            <w:tcW w:type="dxa" w:w="1286"/>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6"/>
              </w:rPr>
              <w:t>Macro-F1 / R²</w:t>
            </w:r>
          </w:p>
        </w:tc>
        <w:tc>
          <w:tcPr>
            <w:tcW w:type="dxa" w:w="1286"/>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6"/>
              </w:rPr>
              <w:t>Test Samples</w:t>
            </w:r>
          </w:p>
        </w:tc>
        <w:tc>
          <w:tcPr>
            <w:tcW w:type="dxa" w:w="1286"/>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6"/>
              </w:rPr>
              <w:t>Artifact Checksum (SHA-256)</w:t>
            </w:r>
          </w:p>
        </w:tc>
      </w:tr>
      <w:tr>
        <w:tc>
          <w:tcPr>
            <w:tcW w:type="dxa" w:w="1286"/>
            <w:shd w:fill="FFFFFF"/>
            <w:tcMar>
              <w:top w:w="80" w:type="dxa"/>
              <w:bottom w:w="80" w:type="dxa"/>
              <w:left w:w="80" w:type="dxa"/>
              <w:right w:w="80" w:type="dxa"/>
            </w:tcMar>
          </w:tcPr>
          <w:p>
            <w:pPr>
              <w:spacing w:before="20" w:after="20" w:line="240" w:lineRule="auto"/>
              <w:jc w:val="left"/>
            </w:pPr>
            <w:r>
              <w:rPr>
                <w:rFonts w:ascii="Times New Roman" w:hAnsi="Times New Roman"/>
                <w:b/>
                <w:sz w:val="15"/>
              </w:rPr>
              <w:t>intaware_linear_svc_calibrated_v1</w:t>
            </w:r>
          </w:p>
        </w:tc>
        <w:tc>
          <w:tcPr>
            <w:tcW w:type="dxa" w:w="1286"/>
            <w:shd w:fill="FFFFFF"/>
            <w:tcMar>
              <w:top w:w="80" w:type="dxa"/>
              <w:bottom w:w="80" w:type="dxa"/>
              <w:left w:w="80" w:type="dxa"/>
              <w:right w:w="80" w:type="dxa"/>
            </w:tcMar>
          </w:tcPr>
          <w:p>
            <w:pPr>
              <w:spacing w:before="20" w:after="20" w:line="240" w:lineRule="auto"/>
              <w:jc w:val="left"/>
            </w:pPr>
            <w:r>
              <w:rPr>
                <w:rFonts w:ascii="Times New Roman" w:hAnsi="Times New Roman"/>
                <w:sz w:val="15"/>
              </w:rPr>
              <w:t>CalibratedClassifierCV(LinearSVC)</w:t>
            </w:r>
          </w:p>
        </w:tc>
        <w:tc>
          <w:tcPr>
            <w:tcW w:type="dxa" w:w="1286"/>
            <w:shd w:fill="FFFFFF"/>
            <w:tcMar>
              <w:top w:w="80" w:type="dxa"/>
              <w:bottom w:w="80" w:type="dxa"/>
              <w:left w:w="80" w:type="dxa"/>
              <w:right w:w="80" w:type="dxa"/>
            </w:tcMar>
          </w:tcPr>
          <w:p>
            <w:pPr>
              <w:spacing w:before="20" w:after="20" w:line="240" w:lineRule="auto"/>
              <w:jc w:val="left"/>
            </w:pPr>
            <w:r>
              <w:rPr>
                <w:rFonts w:ascii="Times New Roman" w:hAnsi="Times New Roman"/>
                <w:sz w:val="15"/>
              </w:rPr>
              <w:t>10-Class Intent Classification</w:t>
            </w:r>
          </w:p>
        </w:tc>
        <w:tc>
          <w:tcPr>
            <w:tcW w:type="dxa" w:w="1286"/>
            <w:shd w:fill="FFFFFF"/>
            <w:tcMar>
              <w:top w:w="80" w:type="dxa"/>
              <w:bottom w:w="80" w:type="dxa"/>
              <w:left w:w="80" w:type="dxa"/>
              <w:right w:w="80" w:type="dxa"/>
            </w:tcMar>
          </w:tcPr>
          <w:p>
            <w:pPr>
              <w:spacing w:before="20" w:after="20" w:line="240" w:lineRule="auto"/>
              <w:jc w:val="left"/>
            </w:pPr>
            <w:r>
              <w:rPr>
                <w:rFonts w:ascii="Times New Roman" w:hAnsi="Times New Roman"/>
                <w:sz w:val="15"/>
              </w:rPr>
              <w:t>100.00% Accuracy</w:t>
            </w:r>
          </w:p>
        </w:tc>
        <w:tc>
          <w:tcPr>
            <w:tcW w:type="dxa" w:w="1286"/>
            <w:shd w:fill="FFFFFF"/>
            <w:tcMar>
              <w:top w:w="80" w:type="dxa"/>
              <w:bottom w:w="80" w:type="dxa"/>
              <w:left w:w="80" w:type="dxa"/>
              <w:right w:w="80" w:type="dxa"/>
            </w:tcMar>
          </w:tcPr>
          <w:p>
            <w:pPr>
              <w:spacing w:before="20" w:after="20" w:line="240" w:lineRule="auto"/>
              <w:jc w:val="left"/>
            </w:pPr>
            <w:r>
              <w:rPr>
                <w:rFonts w:ascii="Times New Roman" w:hAnsi="Times New Roman"/>
                <w:sz w:val="15"/>
              </w:rPr>
              <w:t>1.0000</w:t>
            </w:r>
          </w:p>
        </w:tc>
        <w:tc>
          <w:tcPr>
            <w:tcW w:type="dxa" w:w="1286"/>
            <w:shd w:fill="FFFFFF"/>
            <w:tcMar>
              <w:top w:w="80" w:type="dxa"/>
              <w:bottom w:w="80" w:type="dxa"/>
              <w:left w:w="80" w:type="dxa"/>
              <w:right w:w="80" w:type="dxa"/>
            </w:tcMar>
          </w:tcPr>
          <w:p>
            <w:pPr>
              <w:spacing w:before="20" w:after="20" w:line="240" w:lineRule="auto"/>
              <w:jc w:val="left"/>
            </w:pPr>
            <w:r>
              <w:rPr>
                <w:rFonts w:ascii="Times New Roman" w:hAnsi="Times New Roman"/>
                <w:sz w:val="15"/>
              </w:rPr>
              <w:t>1,374</w:t>
            </w:r>
          </w:p>
        </w:tc>
        <w:tc>
          <w:tcPr>
            <w:tcW w:type="dxa" w:w="1286"/>
            <w:shd w:fill="FFFFFF"/>
            <w:tcMar>
              <w:top w:w="80" w:type="dxa"/>
              <w:bottom w:w="80" w:type="dxa"/>
              <w:left w:w="80" w:type="dxa"/>
              <w:right w:w="80" w:type="dxa"/>
            </w:tcMar>
          </w:tcPr>
          <w:p>
            <w:pPr>
              <w:spacing w:before="20" w:after="20" w:line="240" w:lineRule="auto"/>
              <w:jc w:val="left"/>
            </w:pPr>
            <w:r>
              <w:rPr>
                <w:rFonts w:ascii="Times New Roman" w:hAnsi="Times New Roman"/>
                <w:sz w:val="15"/>
              </w:rPr>
              <w:t>fd3a5902...b3beed3</w:t>
            </w:r>
          </w:p>
        </w:tc>
      </w:tr>
      <w:tr>
        <w:tc>
          <w:tcPr>
            <w:tcW w:type="dxa" w:w="1286"/>
            <w:shd w:fill="F7FAFC"/>
            <w:tcMar>
              <w:top w:w="80" w:type="dxa"/>
              <w:bottom w:w="80" w:type="dxa"/>
              <w:left w:w="80" w:type="dxa"/>
              <w:right w:w="80" w:type="dxa"/>
            </w:tcMar>
          </w:tcPr>
          <w:p>
            <w:pPr>
              <w:spacing w:before="20" w:after="20" w:line="240" w:lineRule="auto"/>
              <w:jc w:val="left"/>
            </w:pPr>
            <w:r>
              <w:rPr>
                <w:rFonts w:ascii="Times New Roman" w:hAnsi="Times New Roman"/>
                <w:b/>
                <w:sz w:val="15"/>
              </w:rPr>
              <w:t>intaware_isolation_forest_v1</w:t>
            </w:r>
          </w:p>
        </w:tc>
        <w:tc>
          <w:tcPr>
            <w:tcW w:type="dxa" w:w="1286"/>
            <w:shd w:fill="F7FAFC"/>
            <w:tcMar>
              <w:top w:w="80" w:type="dxa"/>
              <w:bottom w:w="80" w:type="dxa"/>
              <w:left w:w="80" w:type="dxa"/>
              <w:right w:w="80" w:type="dxa"/>
            </w:tcMar>
          </w:tcPr>
          <w:p>
            <w:pPr>
              <w:spacing w:before="20" w:after="20" w:line="240" w:lineRule="auto"/>
              <w:jc w:val="left"/>
            </w:pPr>
            <w:r>
              <w:rPr>
                <w:rFonts w:ascii="Times New Roman" w:hAnsi="Times New Roman"/>
                <w:sz w:val="15"/>
              </w:rPr>
              <w:t>IsolationForest (300 trees)</w:t>
            </w:r>
          </w:p>
        </w:tc>
        <w:tc>
          <w:tcPr>
            <w:tcW w:type="dxa" w:w="1286"/>
            <w:shd w:fill="F7FAFC"/>
            <w:tcMar>
              <w:top w:w="80" w:type="dxa"/>
              <w:bottom w:w="80" w:type="dxa"/>
              <w:left w:w="80" w:type="dxa"/>
              <w:right w:w="80" w:type="dxa"/>
            </w:tcMar>
          </w:tcPr>
          <w:p>
            <w:pPr>
              <w:spacing w:before="20" w:after="20" w:line="240" w:lineRule="auto"/>
              <w:jc w:val="left"/>
            </w:pPr>
            <w:r>
              <w:rPr>
                <w:rFonts w:ascii="Times New Roman" w:hAnsi="Times New Roman"/>
                <w:sz w:val="15"/>
              </w:rPr>
              <w:t>Zero-Day Anomaly Detection</w:t>
            </w:r>
          </w:p>
        </w:tc>
        <w:tc>
          <w:tcPr>
            <w:tcW w:type="dxa" w:w="1286"/>
            <w:shd w:fill="F7FAFC"/>
            <w:tcMar>
              <w:top w:w="80" w:type="dxa"/>
              <w:bottom w:w="80" w:type="dxa"/>
              <w:left w:w="80" w:type="dxa"/>
              <w:right w:w="80" w:type="dxa"/>
            </w:tcMar>
          </w:tcPr>
          <w:p>
            <w:pPr>
              <w:spacing w:before="20" w:after="20" w:line="240" w:lineRule="auto"/>
              <w:jc w:val="left"/>
            </w:pPr>
            <w:r>
              <w:rPr>
                <w:rFonts w:ascii="Times New Roman" w:hAnsi="Times New Roman"/>
                <w:sz w:val="15"/>
              </w:rPr>
              <w:t>99.70% Accuracy (0.00% FPR)</w:t>
            </w:r>
          </w:p>
        </w:tc>
        <w:tc>
          <w:tcPr>
            <w:tcW w:type="dxa" w:w="1286"/>
            <w:shd w:fill="F7FAFC"/>
            <w:tcMar>
              <w:top w:w="80" w:type="dxa"/>
              <w:bottom w:w="80" w:type="dxa"/>
              <w:left w:w="80" w:type="dxa"/>
              <w:right w:w="80" w:type="dxa"/>
            </w:tcMar>
          </w:tcPr>
          <w:p>
            <w:pPr>
              <w:spacing w:before="20" w:after="20" w:line="240" w:lineRule="auto"/>
              <w:jc w:val="left"/>
            </w:pPr>
            <w:r>
              <w:rPr>
                <w:rFonts w:ascii="Times New Roman" w:hAnsi="Times New Roman"/>
                <w:sz w:val="15"/>
              </w:rPr>
              <w:t>0.9940 (Recall)</w:t>
            </w:r>
          </w:p>
        </w:tc>
        <w:tc>
          <w:tcPr>
            <w:tcW w:type="dxa" w:w="1286"/>
            <w:shd w:fill="F7FAFC"/>
            <w:tcMar>
              <w:top w:w="80" w:type="dxa"/>
              <w:bottom w:w="80" w:type="dxa"/>
              <w:left w:w="80" w:type="dxa"/>
              <w:right w:w="80" w:type="dxa"/>
            </w:tcMar>
          </w:tcPr>
          <w:p>
            <w:pPr>
              <w:spacing w:before="20" w:after="20" w:line="240" w:lineRule="auto"/>
              <w:jc w:val="left"/>
            </w:pPr>
            <w:r>
              <w:rPr>
                <w:rFonts w:ascii="Times New Roman" w:hAnsi="Times New Roman"/>
                <w:sz w:val="15"/>
              </w:rPr>
              <w:t>336</w:t>
            </w:r>
          </w:p>
        </w:tc>
        <w:tc>
          <w:tcPr>
            <w:tcW w:type="dxa" w:w="1286"/>
            <w:shd w:fill="F7FAFC"/>
            <w:tcMar>
              <w:top w:w="80" w:type="dxa"/>
              <w:bottom w:w="80" w:type="dxa"/>
              <w:left w:w="80" w:type="dxa"/>
              <w:right w:w="80" w:type="dxa"/>
            </w:tcMar>
          </w:tcPr>
          <w:p>
            <w:pPr>
              <w:spacing w:before="20" w:after="20" w:line="240" w:lineRule="auto"/>
              <w:jc w:val="left"/>
            </w:pPr>
            <w:r>
              <w:rPr>
                <w:rFonts w:ascii="Times New Roman" w:hAnsi="Times New Roman"/>
                <w:sz w:val="15"/>
              </w:rPr>
              <w:t>90f5a54f...b0ec39ca</w:t>
            </w:r>
          </w:p>
        </w:tc>
      </w:tr>
      <w:tr>
        <w:tc>
          <w:tcPr>
            <w:tcW w:type="dxa" w:w="1286"/>
            <w:shd w:fill="FFFFFF"/>
            <w:tcMar>
              <w:top w:w="80" w:type="dxa"/>
              <w:bottom w:w="80" w:type="dxa"/>
              <w:left w:w="80" w:type="dxa"/>
              <w:right w:w="80" w:type="dxa"/>
            </w:tcMar>
          </w:tcPr>
          <w:p>
            <w:pPr>
              <w:spacing w:before="20" w:after="20" w:line="240" w:lineRule="auto"/>
              <w:jc w:val="left"/>
            </w:pPr>
            <w:r>
              <w:rPr>
                <w:rFonts w:ascii="Times New Roman" w:hAnsi="Times New Roman"/>
                <w:b/>
                <w:sz w:val="15"/>
              </w:rPr>
              <w:t>intaware_stage_random_forest_v1</w:t>
            </w:r>
          </w:p>
        </w:tc>
        <w:tc>
          <w:tcPr>
            <w:tcW w:type="dxa" w:w="1286"/>
            <w:shd w:fill="FFFFFF"/>
            <w:tcMar>
              <w:top w:w="80" w:type="dxa"/>
              <w:bottom w:w="80" w:type="dxa"/>
              <w:left w:w="80" w:type="dxa"/>
              <w:right w:w="80" w:type="dxa"/>
            </w:tcMar>
          </w:tcPr>
          <w:p>
            <w:pPr>
              <w:spacing w:before="20" w:after="20" w:line="240" w:lineRule="auto"/>
              <w:jc w:val="left"/>
            </w:pPr>
            <w:r>
              <w:rPr>
                <w:rFonts w:ascii="Times New Roman" w:hAnsi="Times New Roman"/>
                <w:sz w:val="15"/>
              </w:rPr>
              <w:t>RandomForestClassifier (120 trees)</w:t>
            </w:r>
          </w:p>
        </w:tc>
        <w:tc>
          <w:tcPr>
            <w:tcW w:type="dxa" w:w="1286"/>
            <w:shd w:fill="FFFFFF"/>
            <w:tcMar>
              <w:top w:w="80" w:type="dxa"/>
              <w:bottom w:w="80" w:type="dxa"/>
              <w:left w:w="80" w:type="dxa"/>
              <w:right w:w="80" w:type="dxa"/>
            </w:tcMar>
          </w:tcPr>
          <w:p>
            <w:pPr>
              <w:spacing w:before="20" w:after="20" w:line="240" w:lineRule="auto"/>
              <w:jc w:val="left"/>
            </w:pPr>
            <w:r>
              <w:rPr>
                <w:rFonts w:ascii="Times New Roman" w:hAnsi="Times New Roman"/>
                <w:sz w:val="15"/>
              </w:rPr>
              <w:t>MITRE Stage Classification</w:t>
            </w:r>
          </w:p>
        </w:tc>
        <w:tc>
          <w:tcPr>
            <w:tcW w:type="dxa" w:w="1286"/>
            <w:shd w:fill="FFFFFF"/>
            <w:tcMar>
              <w:top w:w="80" w:type="dxa"/>
              <w:bottom w:w="80" w:type="dxa"/>
              <w:left w:w="80" w:type="dxa"/>
              <w:right w:w="80" w:type="dxa"/>
            </w:tcMar>
          </w:tcPr>
          <w:p>
            <w:pPr>
              <w:spacing w:before="20" w:after="20" w:line="240" w:lineRule="auto"/>
              <w:jc w:val="left"/>
            </w:pPr>
            <w:r>
              <w:rPr>
                <w:rFonts w:ascii="Times New Roman" w:hAnsi="Times New Roman"/>
                <w:sz w:val="15"/>
              </w:rPr>
              <w:t>99.27% Accuracy</w:t>
            </w:r>
          </w:p>
        </w:tc>
        <w:tc>
          <w:tcPr>
            <w:tcW w:type="dxa" w:w="1286"/>
            <w:shd w:fill="FFFFFF"/>
            <w:tcMar>
              <w:top w:w="80" w:type="dxa"/>
              <w:bottom w:w="80" w:type="dxa"/>
              <w:left w:w="80" w:type="dxa"/>
              <w:right w:w="80" w:type="dxa"/>
            </w:tcMar>
          </w:tcPr>
          <w:p>
            <w:pPr>
              <w:spacing w:before="20" w:after="20" w:line="240" w:lineRule="auto"/>
              <w:jc w:val="left"/>
            </w:pPr>
            <w:r>
              <w:rPr>
                <w:rFonts w:ascii="Times New Roman" w:hAnsi="Times New Roman"/>
                <w:sz w:val="15"/>
              </w:rPr>
              <w:t>0.9928</w:t>
            </w:r>
          </w:p>
        </w:tc>
        <w:tc>
          <w:tcPr>
            <w:tcW w:type="dxa" w:w="1286"/>
            <w:shd w:fill="FFFFFF"/>
            <w:tcMar>
              <w:top w:w="80" w:type="dxa"/>
              <w:bottom w:w="80" w:type="dxa"/>
              <w:left w:w="80" w:type="dxa"/>
              <w:right w:w="80" w:type="dxa"/>
            </w:tcMar>
          </w:tcPr>
          <w:p>
            <w:pPr>
              <w:spacing w:before="20" w:after="20" w:line="240" w:lineRule="auto"/>
              <w:jc w:val="left"/>
            </w:pPr>
            <w:r>
              <w:rPr>
                <w:rFonts w:ascii="Times New Roman" w:hAnsi="Times New Roman"/>
                <w:sz w:val="15"/>
              </w:rPr>
              <w:t>1,374</w:t>
            </w:r>
          </w:p>
        </w:tc>
        <w:tc>
          <w:tcPr>
            <w:tcW w:type="dxa" w:w="1286"/>
            <w:shd w:fill="FFFFFF"/>
            <w:tcMar>
              <w:top w:w="80" w:type="dxa"/>
              <w:bottom w:w="80" w:type="dxa"/>
              <w:left w:w="80" w:type="dxa"/>
              <w:right w:w="80" w:type="dxa"/>
            </w:tcMar>
          </w:tcPr>
          <w:p>
            <w:pPr>
              <w:spacing w:before="20" w:after="20" w:line="240" w:lineRule="auto"/>
              <w:jc w:val="left"/>
            </w:pPr>
            <w:r>
              <w:rPr>
                <w:rFonts w:ascii="Times New Roman" w:hAnsi="Times New Roman"/>
                <w:sz w:val="15"/>
              </w:rPr>
              <w:t>864f59f5...b2b8ea53</w:t>
            </w:r>
          </w:p>
        </w:tc>
      </w:tr>
      <w:tr>
        <w:tc>
          <w:tcPr>
            <w:tcW w:type="dxa" w:w="1286"/>
            <w:shd w:fill="F7FAFC"/>
            <w:tcMar>
              <w:top w:w="80" w:type="dxa"/>
              <w:bottom w:w="80" w:type="dxa"/>
              <w:left w:w="80" w:type="dxa"/>
              <w:right w:w="80" w:type="dxa"/>
            </w:tcMar>
          </w:tcPr>
          <w:p>
            <w:pPr>
              <w:spacing w:before="20" w:after="20" w:line="240" w:lineRule="auto"/>
              <w:jc w:val="left"/>
            </w:pPr>
            <w:r>
              <w:rPr>
                <w:rFonts w:ascii="Times New Roman" w:hAnsi="Times New Roman"/>
                <w:b/>
                <w:sz w:val="15"/>
              </w:rPr>
              <w:t>intaware_risk_gradient_boosting_v1</w:t>
            </w:r>
          </w:p>
        </w:tc>
        <w:tc>
          <w:tcPr>
            <w:tcW w:type="dxa" w:w="1286"/>
            <w:shd w:fill="F7FAFC"/>
            <w:tcMar>
              <w:top w:w="80" w:type="dxa"/>
              <w:bottom w:w="80" w:type="dxa"/>
              <w:left w:w="80" w:type="dxa"/>
              <w:right w:w="80" w:type="dxa"/>
            </w:tcMar>
          </w:tcPr>
          <w:p>
            <w:pPr>
              <w:spacing w:before="20" w:after="20" w:line="240" w:lineRule="auto"/>
              <w:jc w:val="left"/>
            </w:pPr>
            <w:r>
              <w:rPr>
                <w:rFonts w:ascii="Times New Roman" w:hAnsi="Times New Roman"/>
                <w:sz w:val="15"/>
              </w:rPr>
              <w:t>HistGradientBoostingRegressor</w:t>
            </w:r>
          </w:p>
        </w:tc>
        <w:tc>
          <w:tcPr>
            <w:tcW w:type="dxa" w:w="1286"/>
            <w:shd w:fill="F7FAFC"/>
            <w:tcMar>
              <w:top w:w="80" w:type="dxa"/>
              <w:bottom w:w="80" w:type="dxa"/>
              <w:left w:w="80" w:type="dxa"/>
              <w:right w:w="80" w:type="dxa"/>
            </w:tcMar>
          </w:tcPr>
          <w:p>
            <w:pPr>
              <w:spacing w:before="20" w:after="20" w:line="240" w:lineRule="auto"/>
              <w:jc w:val="left"/>
            </w:pPr>
            <w:r>
              <w:rPr>
                <w:rFonts w:ascii="Times New Roman" w:hAnsi="Times New Roman"/>
                <w:sz w:val="15"/>
              </w:rPr>
              <w:t>Continuous Threat Risk Scoring</w:t>
            </w:r>
          </w:p>
        </w:tc>
        <w:tc>
          <w:tcPr>
            <w:tcW w:type="dxa" w:w="1286"/>
            <w:shd w:fill="F7FAFC"/>
            <w:tcMar>
              <w:top w:w="80" w:type="dxa"/>
              <w:bottom w:w="80" w:type="dxa"/>
              <w:left w:w="80" w:type="dxa"/>
              <w:right w:w="80" w:type="dxa"/>
            </w:tcMar>
          </w:tcPr>
          <w:p>
            <w:pPr>
              <w:spacing w:before="20" w:after="20" w:line="240" w:lineRule="auto"/>
              <w:jc w:val="left"/>
            </w:pPr>
            <w:r>
              <w:rPr>
                <w:rFonts w:ascii="Times New Roman" w:hAnsi="Times New Roman"/>
                <w:sz w:val="15"/>
              </w:rPr>
              <w:t>88.50% Severity Acc (MAE: 3.16)</w:t>
            </w:r>
          </w:p>
        </w:tc>
        <w:tc>
          <w:tcPr>
            <w:tcW w:type="dxa" w:w="1286"/>
            <w:shd w:fill="F7FAFC"/>
            <w:tcMar>
              <w:top w:w="80" w:type="dxa"/>
              <w:bottom w:w="80" w:type="dxa"/>
              <w:left w:w="80" w:type="dxa"/>
              <w:right w:w="80" w:type="dxa"/>
            </w:tcMar>
          </w:tcPr>
          <w:p>
            <w:pPr>
              <w:spacing w:before="20" w:after="20" w:line="240" w:lineRule="auto"/>
              <w:jc w:val="left"/>
            </w:pPr>
            <w:r>
              <w:rPr>
                <w:rFonts w:ascii="Times New Roman" w:hAnsi="Times New Roman"/>
                <w:sz w:val="15"/>
              </w:rPr>
              <w:t>0.8915 (R²)</w:t>
            </w:r>
          </w:p>
        </w:tc>
        <w:tc>
          <w:tcPr>
            <w:tcW w:type="dxa" w:w="1286"/>
            <w:shd w:fill="F7FAFC"/>
            <w:tcMar>
              <w:top w:w="80" w:type="dxa"/>
              <w:bottom w:w="80" w:type="dxa"/>
              <w:left w:w="80" w:type="dxa"/>
              <w:right w:w="80" w:type="dxa"/>
            </w:tcMar>
          </w:tcPr>
          <w:p>
            <w:pPr>
              <w:spacing w:before="20" w:after="20" w:line="240" w:lineRule="auto"/>
              <w:jc w:val="left"/>
            </w:pPr>
            <w:r>
              <w:rPr>
                <w:rFonts w:ascii="Times New Roman" w:hAnsi="Times New Roman"/>
                <w:sz w:val="15"/>
              </w:rPr>
              <w:t>1,374</w:t>
            </w:r>
          </w:p>
        </w:tc>
        <w:tc>
          <w:tcPr>
            <w:tcW w:type="dxa" w:w="1286"/>
            <w:shd w:fill="F7FAFC"/>
            <w:tcMar>
              <w:top w:w="80" w:type="dxa"/>
              <w:bottom w:w="80" w:type="dxa"/>
              <w:left w:w="80" w:type="dxa"/>
              <w:right w:w="80" w:type="dxa"/>
            </w:tcMar>
          </w:tcPr>
          <w:p>
            <w:pPr>
              <w:spacing w:before="20" w:after="20" w:line="240" w:lineRule="auto"/>
              <w:jc w:val="left"/>
            </w:pPr>
            <w:r>
              <w:rPr>
                <w:rFonts w:ascii="Times New Roman" w:hAnsi="Times New Roman"/>
                <w:sz w:val="15"/>
              </w:rPr>
              <w:t>7b2b3483...46ff3d7b</w:t>
            </w:r>
          </w:p>
        </w:tc>
      </w:tr>
    </w:tbl>
    <w:p>
      <w:pPr>
        <w:spacing w:before="80" w:after="240" w:line="240" w:lineRule="auto"/>
        <w:jc w:val="center"/>
      </w:pPr>
      <w:r>
        <w:rPr>
          <w:rFonts w:ascii="Times New Roman" w:hAnsi="Times New Roman"/>
          <w:b/>
          <w:sz w:val="20"/>
        </w:rPr>
        <w:t>Table 6.1: Machine Learning Model Performance Metrics Across Held-out Datasets</w:t>
      </w:r>
    </w:p>
    <w:p>
      <w:pPr>
        <w:spacing w:before="0" w:after="120" w:line="360" w:lineRule="auto"/>
        <w:jc w:val="both"/>
      </w:pPr>
      <w:r>
        <w:rPr>
          <w:rFonts w:ascii="Times New Roman" w:hAnsi="Times New Roman"/>
          <w:i w:val="0"/>
          <w:sz w:val="24"/>
        </w:rPr>
        <w:t>Figure 6.4 presents the normalized confusion matrix for the Calibrated Linear SVM across all 10 intent classes on the untouched test partition (N=1,374). The model achieved zero misclassifications, demonstrating perfect boundary separation across diverse command syntaxes.</w:t>
      </w:r>
    </w:p>
    <w:p>
      <w:pPr>
        <w:spacing w:before="160" w:after="60"/>
        <w:jc w:val="center"/>
      </w:pPr>
      <w:r>
        <w:drawing>
          <wp:inline xmlns:a="http://schemas.openxmlformats.org/drawingml/2006/main" xmlns:pic="http://schemas.openxmlformats.org/drawingml/2006/picture">
            <wp:extent cx="5029200" cy="4400550"/>
            <wp:docPr id="13" name="Picture 13"/>
            <wp:cNvGraphicFramePr>
              <a:graphicFrameLocks noChangeAspect="1"/>
            </wp:cNvGraphicFramePr>
            <a:graphic>
              <a:graphicData uri="http://schemas.openxmlformats.org/drawingml/2006/picture">
                <pic:pic>
                  <pic:nvPicPr>
                    <pic:cNvPr id="0" name="fig_6_2_intent_confusion_matrix.png"/>
                    <pic:cNvPicPr/>
                  </pic:nvPicPr>
                  <pic:blipFill>
                    <a:blip r:embed="rId23"/>
                    <a:stretch>
                      <a:fillRect/>
                    </a:stretch>
                  </pic:blipFill>
                  <pic:spPr>
                    <a:xfrm>
                      <a:off x="0" y="0"/>
                      <a:ext cx="5029200" cy="4400550"/>
                    </a:xfrm>
                    <a:prstGeom prst="rect"/>
                  </pic:spPr>
                </pic:pic>
              </a:graphicData>
            </a:graphic>
          </wp:inline>
        </w:drawing>
      </w:r>
    </w:p>
    <w:p>
      <w:pPr>
        <w:spacing w:before="40" w:after="200" w:line="240" w:lineRule="auto"/>
        <w:jc w:val="center"/>
      </w:pPr>
      <w:r>
        <w:rPr>
          <w:rFonts w:ascii="Times New Roman" w:hAnsi="Times New Roman"/>
          <w:b/>
          <w:color w:val="003366"/>
          <w:sz w:val="20"/>
        </w:rPr>
        <w:t>Figure 6.4: Normalized Confusion Matrix — Intent Linear SVM (Test Set N=1,374)</w:t>
      </w:r>
    </w:p>
    <w:p>
      <w:pPr>
        <w:spacing w:before="0" w:after="120" w:line="360" w:lineRule="auto"/>
        <w:jc w:val="both"/>
      </w:pPr>
      <w:r>
        <w:rPr>
          <w:rFonts w:ascii="Times New Roman" w:hAnsi="Times New Roman"/>
          <w:i w:val="0"/>
          <w:sz w:val="24"/>
        </w:rPr>
        <w:t>Figure 6.5 illustrates the Multi-Class One-vs-Rest Receiver Operating Characteristic (ROC) curves for the Intent Linear SVM. Every individual intent class achieved an Area Under the Curve (AUC) of 1.00, confirming that Platt Sigmoid calibration mapped SVM margin distances into statistically reliable posterior probabilities without degradation.</w:t>
      </w:r>
    </w:p>
    <w:p>
      <w:pPr>
        <w:spacing w:before="160" w:after="60"/>
        <w:jc w:val="center"/>
      </w:pPr>
      <w:r>
        <w:drawing>
          <wp:inline xmlns:a="http://schemas.openxmlformats.org/drawingml/2006/main" xmlns:pic="http://schemas.openxmlformats.org/drawingml/2006/picture">
            <wp:extent cx="5120640" cy="3614569"/>
            <wp:docPr id="14" name="Picture 14"/>
            <wp:cNvGraphicFramePr>
              <a:graphicFrameLocks noChangeAspect="1"/>
            </wp:cNvGraphicFramePr>
            <a:graphic>
              <a:graphicData uri="http://schemas.openxmlformats.org/drawingml/2006/picture">
                <pic:pic>
                  <pic:nvPicPr>
                    <pic:cNvPr id="0" name="fig_6_8_svm_roc_multiclass.png"/>
                    <pic:cNvPicPr/>
                  </pic:nvPicPr>
                  <pic:blipFill>
                    <a:blip r:embed="rId24"/>
                    <a:stretch>
                      <a:fillRect/>
                    </a:stretch>
                  </pic:blipFill>
                  <pic:spPr>
                    <a:xfrm>
                      <a:off x="0" y="0"/>
                      <a:ext cx="5120640" cy="3614569"/>
                    </a:xfrm>
                    <a:prstGeom prst="rect"/>
                  </pic:spPr>
                </pic:pic>
              </a:graphicData>
            </a:graphic>
          </wp:inline>
        </w:drawing>
      </w:r>
    </w:p>
    <w:p>
      <w:pPr>
        <w:spacing w:before="40" w:after="200" w:line="240" w:lineRule="auto"/>
        <w:jc w:val="center"/>
      </w:pPr>
      <w:r>
        <w:rPr>
          <w:rFonts w:ascii="Times New Roman" w:hAnsi="Times New Roman"/>
          <w:b/>
          <w:color w:val="003366"/>
          <w:sz w:val="20"/>
        </w:rPr>
        <w:t>Figure 6.5: Multi-Class One-vs-Rest ROC Curves — Intent Linear SVM (Macro AUC = 1.00)</w:t>
      </w:r>
    </w:p>
    <w:p>
      <w:pPr>
        <w:spacing w:before="0" w:after="120" w:line="360" w:lineRule="auto"/>
        <w:jc w:val="both"/>
      </w:pPr>
      <w:r>
        <w:rPr>
          <w:rFonts w:ascii="Times New Roman" w:hAnsi="Times New Roman"/>
          <w:i w:val="0"/>
          <w:sz w:val="24"/>
        </w:rPr>
        <w:t>Figure 6.6 illustrates the top discriminative N-gram features identified by the LinearSVC model. Highly specific tokens such as 'cat /etc/shadow', 'sudo -i', 'wget http://...', 'chmod +x', and 'crontab -e' carry strong positive log-odds weights, enabling rapid, noise-resistant intent attribution.</w:t>
      </w:r>
    </w:p>
    <w:p>
      <w:pPr>
        <w:spacing w:before="160" w:after="60"/>
        <w:jc w:val="center"/>
      </w:pPr>
      <w:r>
        <w:drawing>
          <wp:inline xmlns:a="http://schemas.openxmlformats.org/drawingml/2006/main" xmlns:pic="http://schemas.openxmlformats.org/drawingml/2006/picture">
            <wp:extent cx="5120640" cy="3129280"/>
            <wp:docPr id="15" name="Picture 15"/>
            <wp:cNvGraphicFramePr>
              <a:graphicFrameLocks noChangeAspect="1"/>
            </wp:cNvGraphicFramePr>
            <a:graphic>
              <a:graphicData uri="http://schemas.openxmlformats.org/drawingml/2006/picture">
                <pic:pic>
                  <pic:nvPicPr>
                    <pic:cNvPr id="0" name="fig_6_9_svm_top_features.png"/>
                    <pic:cNvPicPr/>
                  </pic:nvPicPr>
                  <pic:blipFill>
                    <a:blip r:embed="rId25"/>
                    <a:stretch>
                      <a:fillRect/>
                    </a:stretch>
                  </pic:blipFill>
                  <pic:spPr>
                    <a:xfrm>
                      <a:off x="0" y="0"/>
                      <a:ext cx="5120640" cy="3129280"/>
                    </a:xfrm>
                    <a:prstGeom prst="rect"/>
                  </pic:spPr>
                </pic:pic>
              </a:graphicData>
            </a:graphic>
          </wp:inline>
        </w:drawing>
      </w:r>
    </w:p>
    <w:p>
      <w:pPr>
        <w:spacing w:before="40" w:after="200" w:line="240" w:lineRule="auto"/>
        <w:jc w:val="center"/>
      </w:pPr>
      <w:r>
        <w:rPr>
          <w:rFonts w:ascii="Times New Roman" w:hAnsi="Times New Roman"/>
          <w:b/>
          <w:color w:val="003366"/>
          <w:sz w:val="20"/>
        </w:rPr>
        <w:t>Figure 6.6: Top Discriminative N-Gram Features for Intent Classification</w:t>
      </w:r>
    </w:p>
    <w:p>
      <w:pPr>
        <w:spacing w:before="240" w:after="120" w:line="276" w:lineRule="auto"/>
        <w:jc w:val="left"/>
      </w:pPr>
      <w:r>
        <w:rPr>
          <w:rFonts w:ascii="Times New Roman" w:hAnsi="Times New Roman"/>
          <w:b/>
          <w:color w:val="003366"/>
          <w:sz w:val="24"/>
        </w:rPr>
        <w:t>6.5 ML Model 2 Performance: Isolation Forest Anomaly Detector</w:t>
      </w:r>
    </w:p>
    <w:p>
      <w:pPr>
        <w:spacing w:before="0" w:after="120" w:line="360" w:lineRule="auto"/>
        <w:jc w:val="both"/>
      </w:pPr>
      <w:r>
        <w:rPr>
          <w:rFonts w:ascii="Times New Roman" w:hAnsi="Times New Roman"/>
          <w:i w:val="0"/>
          <w:sz w:val="24"/>
        </w:rPr>
        <w:t>Figure 6.7 illustrates the empirical anomaly score distribution for inliers (normal administrative commands, N=168) versus outliers (novel attack injections, N=168). Setting the calibrated decision threshold at -0.4906 yielded a 0.00% False Positive Rate on normal operations while capturing 99.40% of anomalous payloads.</w:t>
      </w:r>
    </w:p>
    <w:p>
      <w:pPr>
        <w:spacing w:before="160" w:after="60"/>
        <w:jc w:val="center"/>
      </w:pPr>
      <w:r>
        <w:drawing>
          <wp:inline xmlns:a="http://schemas.openxmlformats.org/drawingml/2006/main" xmlns:pic="http://schemas.openxmlformats.org/drawingml/2006/picture">
            <wp:extent cx="5303520" cy="2807746"/>
            <wp:docPr id="16" name="Picture 16"/>
            <wp:cNvGraphicFramePr>
              <a:graphicFrameLocks noChangeAspect="1"/>
            </wp:cNvGraphicFramePr>
            <a:graphic>
              <a:graphicData uri="http://schemas.openxmlformats.org/drawingml/2006/picture">
                <pic:pic>
                  <pic:nvPicPr>
                    <pic:cNvPr id="0" name="fig_6_3_isolation_forest_boundary.png"/>
                    <pic:cNvPicPr/>
                  </pic:nvPicPr>
                  <pic:blipFill>
                    <a:blip r:embed="rId26"/>
                    <a:stretch>
                      <a:fillRect/>
                    </a:stretch>
                  </pic:blipFill>
                  <pic:spPr>
                    <a:xfrm>
                      <a:off x="0" y="0"/>
                      <a:ext cx="5303520" cy="2807746"/>
                    </a:xfrm>
                    <a:prstGeom prst="rect"/>
                  </pic:spPr>
                </pic:pic>
              </a:graphicData>
            </a:graphic>
          </wp:inline>
        </w:drawing>
      </w:r>
    </w:p>
    <w:p>
      <w:pPr>
        <w:spacing w:before="40" w:after="200" w:line="240" w:lineRule="auto"/>
        <w:jc w:val="center"/>
      </w:pPr>
      <w:r>
        <w:rPr>
          <w:rFonts w:ascii="Times New Roman" w:hAnsi="Times New Roman"/>
          <w:b/>
          <w:color w:val="003366"/>
          <w:sz w:val="20"/>
        </w:rPr>
        <w:t>Figure 6.7: Isolation Forest Anomaly Score Distribution &amp; Calibrated Threshold</w:t>
      </w:r>
    </w:p>
    <w:p>
      <w:pPr>
        <w:spacing w:before="0" w:after="120" w:line="360" w:lineRule="auto"/>
        <w:jc w:val="both"/>
      </w:pPr>
      <w:r>
        <w:rPr>
          <w:rFonts w:ascii="Times New Roman" w:hAnsi="Times New Roman"/>
          <w:i w:val="0"/>
          <w:sz w:val="24"/>
        </w:rPr>
        <w:t>Figure 6.8 visualizes the 2D Principal Component Analysis (PCA) projection of the 16-dimensional structural feature space. The dense cluster of normal Unix commands is completely bounded within the blue inlier contour, while zero-day exploit payloads and polymorphic scripts reside far outside the decision boundary in the anomalous region.</w:t>
      </w:r>
    </w:p>
    <w:p>
      <w:pPr>
        <w:spacing w:before="160" w:after="60"/>
        <w:jc w:val="center"/>
      </w:pPr>
      <w:r>
        <w:drawing>
          <wp:inline xmlns:a="http://schemas.openxmlformats.org/drawingml/2006/main" xmlns:pic="http://schemas.openxmlformats.org/drawingml/2006/picture">
            <wp:extent cx="5120640" cy="3614569"/>
            <wp:docPr id="17" name="Picture 17"/>
            <wp:cNvGraphicFramePr>
              <a:graphicFrameLocks noChangeAspect="1"/>
            </wp:cNvGraphicFramePr>
            <a:graphic>
              <a:graphicData uri="http://schemas.openxmlformats.org/drawingml/2006/picture">
                <pic:pic>
                  <pic:nvPicPr>
                    <pic:cNvPr id="0" name="fig_6_10_isolation_forest_pca_clusters.png"/>
                    <pic:cNvPicPr/>
                  </pic:nvPicPr>
                  <pic:blipFill>
                    <a:blip r:embed="rId27"/>
                    <a:stretch>
                      <a:fillRect/>
                    </a:stretch>
                  </pic:blipFill>
                  <pic:spPr>
                    <a:xfrm>
                      <a:off x="0" y="0"/>
                      <a:ext cx="5120640" cy="3614569"/>
                    </a:xfrm>
                    <a:prstGeom prst="rect"/>
                  </pic:spPr>
                </pic:pic>
              </a:graphicData>
            </a:graphic>
          </wp:inline>
        </w:drawing>
      </w:r>
    </w:p>
    <w:p>
      <w:pPr>
        <w:spacing w:before="40" w:after="200" w:line="240" w:lineRule="auto"/>
        <w:jc w:val="center"/>
      </w:pPr>
      <w:r>
        <w:rPr>
          <w:rFonts w:ascii="Times New Roman" w:hAnsi="Times New Roman"/>
          <w:b/>
          <w:color w:val="003366"/>
          <w:sz w:val="20"/>
        </w:rPr>
        <w:t>Figure 6.8: 2D PCA Latent Space &amp; Isolation Forest Anomaly Boundary Contour</w:t>
      </w:r>
    </w:p>
    <w:p>
      <w:pPr>
        <w:spacing w:before="240" w:after="120" w:line="276" w:lineRule="auto"/>
        <w:jc w:val="left"/>
      </w:pPr>
      <w:r>
        <w:rPr>
          <w:rFonts w:ascii="Times New Roman" w:hAnsi="Times New Roman"/>
          <w:b/>
          <w:color w:val="003366"/>
          <w:sz w:val="24"/>
        </w:rPr>
        <w:t>6.6 ML Model 3 Performance: Random Forest Stage Classifier</w:t>
      </w:r>
    </w:p>
    <w:p>
      <w:pPr>
        <w:spacing w:before="0" w:after="120" w:line="360" w:lineRule="auto"/>
        <w:jc w:val="both"/>
      </w:pPr>
      <w:r>
        <w:rPr>
          <w:rFonts w:ascii="Times New Roman" w:hAnsi="Times New Roman"/>
          <w:i w:val="0"/>
          <w:sz w:val="24"/>
        </w:rPr>
        <w:t>Figure 6.9 depicts the multi-class confusion matrix for the 120-tree Random Forest classifier predicting MITRE ATT&amp;CK stages. Across 1,374 test samples, the classifier achieved 99.27% accuracy with a Macro-F1 score of 0.9928, maintaining strong diagonal attribution across all eight intrusion stages.</w:t>
      </w:r>
    </w:p>
    <w:p>
      <w:pPr>
        <w:spacing w:before="160" w:after="60"/>
        <w:jc w:val="center"/>
      </w:pPr>
      <w:r>
        <w:drawing>
          <wp:inline xmlns:a="http://schemas.openxmlformats.org/drawingml/2006/main" xmlns:pic="http://schemas.openxmlformats.org/drawingml/2006/picture">
            <wp:extent cx="5029200" cy="4358640"/>
            <wp:docPr id="18" name="Picture 18"/>
            <wp:cNvGraphicFramePr>
              <a:graphicFrameLocks noChangeAspect="1"/>
            </wp:cNvGraphicFramePr>
            <a:graphic>
              <a:graphicData uri="http://schemas.openxmlformats.org/drawingml/2006/picture">
                <pic:pic>
                  <pic:nvPicPr>
                    <pic:cNvPr id="0" name="fig_6_11_rf_stage_confusion_matrix.png"/>
                    <pic:cNvPicPr/>
                  </pic:nvPicPr>
                  <pic:blipFill>
                    <a:blip r:embed="rId28"/>
                    <a:stretch>
                      <a:fillRect/>
                    </a:stretch>
                  </pic:blipFill>
                  <pic:spPr>
                    <a:xfrm>
                      <a:off x="0" y="0"/>
                      <a:ext cx="5029200" cy="4358640"/>
                    </a:xfrm>
                    <a:prstGeom prst="rect"/>
                  </pic:spPr>
                </pic:pic>
              </a:graphicData>
            </a:graphic>
          </wp:inline>
        </w:drawing>
      </w:r>
    </w:p>
    <w:p>
      <w:pPr>
        <w:spacing w:before="40" w:after="200" w:line="240" w:lineRule="auto"/>
        <w:jc w:val="center"/>
      </w:pPr>
      <w:r>
        <w:rPr>
          <w:rFonts w:ascii="Times New Roman" w:hAnsi="Times New Roman"/>
          <w:b/>
          <w:color w:val="003366"/>
          <w:sz w:val="20"/>
        </w:rPr>
        <w:t>Figure 6.9: Confusion Matrix — Random Forest Attack-Stage Classifier (Accuracy: 99.27%)</w:t>
      </w:r>
    </w:p>
    <w:p>
      <w:pPr>
        <w:spacing w:before="240" w:after="120" w:line="276" w:lineRule="auto"/>
        <w:jc w:val="left"/>
      </w:pPr>
      <w:r>
        <w:rPr>
          <w:rFonts w:ascii="Times New Roman" w:hAnsi="Times New Roman"/>
          <w:b/>
          <w:color w:val="003366"/>
          <w:sz w:val="24"/>
        </w:rPr>
        <w:t>6.7 ML Model 4 Performance: HistGradientBoosting Risk Regressor</w:t>
      </w:r>
    </w:p>
    <w:p>
      <w:pPr>
        <w:spacing w:before="0" w:after="120" w:line="360" w:lineRule="auto"/>
        <w:jc w:val="both"/>
      </w:pPr>
      <w:r>
        <w:rPr>
          <w:rFonts w:ascii="Times New Roman" w:hAnsi="Times New Roman"/>
          <w:i w:val="0"/>
          <w:sz w:val="24"/>
        </w:rPr>
        <w:t>Figure 6.10 displays the regression scatter plot of predicted risk scores versus ground truth analytical risk. The model achieved a Mean Absolute Error of 3.16 on a 100-point scale with an R² goodness-of-fit score of 0.8915.</w:t>
      </w:r>
    </w:p>
    <w:p>
      <w:pPr>
        <w:spacing w:before="160" w:after="60"/>
        <w:jc w:val="center"/>
      </w:pPr>
      <w:r>
        <w:drawing>
          <wp:inline xmlns:a="http://schemas.openxmlformats.org/drawingml/2006/main" xmlns:pic="http://schemas.openxmlformats.org/drawingml/2006/picture">
            <wp:extent cx="4754880" cy="3486912"/>
            <wp:docPr id="19" name="Picture 19"/>
            <wp:cNvGraphicFramePr>
              <a:graphicFrameLocks noChangeAspect="1"/>
            </wp:cNvGraphicFramePr>
            <a:graphic>
              <a:graphicData uri="http://schemas.openxmlformats.org/drawingml/2006/picture">
                <pic:pic>
                  <pic:nvPicPr>
                    <pic:cNvPr id="0" name="fig_6_4_risk_regression_fit.png"/>
                    <pic:cNvPicPr/>
                  </pic:nvPicPr>
                  <pic:blipFill>
                    <a:blip r:embed="rId29"/>
                    <a:stretch>
                      <a:fillRect/>
                    </a:stretch>
                  </pic:blipFill>
                  <pic:spPr>
                    <a:xfrm>
                      <a:off x="0" y="0"/>
                      <a:ext cx="4754880" cy="3486912"/>
                    </a:xfrm>
                    <a:prstGeom prst="rect"/>
                  </pic:spPr>
                </pic:pic>
              </a:graphicData>
            </a:graphic>
          </wp:inline>
        </w:drawing>
      </w:r>
    </w:p>
    <w:p>
      <w:pPr>
        <w:spacing w:before="40" w:after="200" w:line="240" w:lineRule="auto"/>
        <w:jc w:val="center"/>
      </w:pPr>
      <w:r>
        <w:rPr>
          <w:rFonts w:ascii="Times New Roman" w:hAnsi="Times New Roman"/>
          <w:b/>
          <w:color w:val="003366"/>
          <w:sz w:val="20"/>
        </w:rPr>
        <w:t>Figure 6.10: Gradient Boosting Regressor — Actual vs Predicted Threat Risk</w:t>
      </w:r>
    </w:p>
    <w:p>
      <w:pPr>
        <w:spacing w:before="0" w:after="120" w:line="360" w:lineRule="auto"/>
        <w:jc w:val="both"/>
      </w:pPr>
      <w:r>
        <w:rPr>
          <w:rFonts w:ascii="Times New Roman" w:hAnsi="Times New Roman"/>
          <w:i w:val="0"/>
          <w:sz w:val="24"/>
        </w:rPr>
        <w:t>Figure 6.11 presents the residual error distribution (Mean = 0.05, StDev = 3.16) and severity tier agreement. Categorizing continuous scores into discrete tiers (LOW, MEDIUM, HIGH, CRITICAL) yielded an 88.50% exact severity classification accuracy.</w:t>
      </w:r>
    </w:p>
    <w:p>
      <w:pPr>
        <w:spacing w:before="160" w:after="60"/>
        <w:jc w:val="center"/>
      </w:pPr>
      <w:r>
        <w:drawing>
          <wp:inline xmlns:a="http://schemas.openxmlformats.org/drawingml/2006/main" xmlns:pic="http://schemas.openxmlformats.org/drawingml/2006/picture">
            <wp:extent cx="5486400" cy="2394065"/>
            <wp:docPr id="20" name="Picture 20"/>
            <wp:cNvGraphicFramePr>
              <a:graphicFrameLocks noChangeAspect="1"/>
            </wp:cNvGraphicFramePr>
            <a:graphic>
              <a:graphicData uri="http://schemas.openxmlformats.org/drawingml/2006/picture">
                <pic:pic>
                  <pic:nvPicPr>
                    <pic:cNvPr id="0" name="fig_6_12_risk_residuals_distribution.png"/>
                    <pic:cNvPicPr/>
                  </pic:nvPicPr>
                  <pic:blipFill>
                    <a:blip r:embed="rId30"/>
                    <a:stretch>
                      <a:fillRect/>
                    </a:stretch>
                  </pic:blipFill>
                  <pic:spPr>
                    <a:xfrm>
                      <a:off x="0" y="0"/>
                      <a:ext cx="5486400" cy="2394065"/>
                    </a:xfrm>
                    <a:prstGeom prst="rect"/>
                  </pic:spPr>
                </pic:pic>
              </a:graphicData>
            </a:graphic>
          </wp:inline>
        </w:drawing>
      </w:r>
    </w:p>
    <w:p>
      <w:pPr>
        <w:spacing w:before="40" w:after="200" w:line="240" w:lineRule="auto"/>
        <w:jc w:val="center"/>
      </w:pPr>
      <w:r>
        <w:rPr>
          <w:rFonts w:ascii="Times New Roman" w:hAnsi="Times New Roman"/>
          <w:b/>
          <w:color w:val="003366"/>
          <w:sz w:val="20"/>
        </w:rPr>
        <w:t>Figure 6.11: Threat Risk Regressor Residual Distribution &amp; Severity Tier Agreement</w:t>
      </w:r>
    </w:p>
    <w:p>
      <w:pPr>
        <w:spacing w:before="240" w:after="120" w:line="276" w:lineRule="auto"/>
        <w:jc w:val="left"/>
      </w:pPr>
      <w:r>
        <w:rPr>
          <w:rFonts w:ascii="Times New Roman" w:hAnsi="Times New Roman"/>
          <w:b/>
          <w:color w:val="003366"/>
          <w:sz w:val="24"/>
        </w:rPr>
        <w:t>6.8 Model 5 &amp; Pipeline Reliability: Concept Drift (PSI) Tracking</w:t>
      </w:r>
    </w:p>
    <w:p>
      <w:pPr>
        <w:spacing w:before="0" w:after="120" w:line="360" w:lineRule="auto"/>
        <w:jc w:val="both"/>
      </w:pPr>
      <w:r>
        <w:rPr>
          <w:rFonts w:ascii="Times New Roman" w:hAnsi="Times New Roman"/>
          <w:i w:val="0"/>
          <w:sz w:val="24"/>
        </w:rPr>
        <w:t>Figure 6.12 charts the tracking of the Population Stability Index (PSI) across consecutive 1,000-command ingestion batches. During normal operations (Windows 1-6), PSI remains below 0.10, indicating statistical stability. When a novel botnet injection burst occurs (Windows 7-12), the PSI spikes sharply above the 0.25 threshold, successfully triggering automated retraining alerts.</w:t>
      </w:r>
    </w:p>
    <w:p>
      <w:pPr>
        <w:spacing w:before="160" w:after="60"/>
        <w:jc w:val="center"/>
      </w:pPr>
      <w:r>
        <w:drawing>
          <wp:inline xmlns:a="http://schemas.openxmlformats.org/drawingml/2006/main" xmlns:pic="http://schemas.openxmlformats.org/drawingml/2006/picture">
            <wp:extent cx="5120640" cy="2891656"/>
            <wp:docPr id="21" name="Picture 21"/>
            <wp:cNvGraphicFramePr>
              <a:graphicFrameLocks noChangeAspect="1"/>
            </wp:cNvGraphicFramePr>
            <a:graphic>
              <a:graphicData uri="http://schemas.openxmlformats.org/drawingml/2006/picture">
                <pic:pic>
                  <pic:nvPicPr>
                    <pic:cNvPr id="0" name="fig_6_13_drift_psi_timeline.png"/>
                    <pic:cNvPicPr/>
                  </pic:nvPicPr>
                  <pic:blipFill>
                    <a:blip r:embed="rId31"/>
                    <a:stretch>
                      <a:fillRect/>
                    </a:stretch>
                  </pic:blipFill>
                  <pic:spPr>
                    <a:xfrm>
                      <a:off x="0" y="0"/>
                      <a:ext cx="5120640" cy="2891656"/>
                    </a:xfrm>
                    <a:prstGeom prst="rect"/>
                  </pic:spPr>
                </pic:pic>
              </a:graphicData>
            </a:graphic>
          </wp:inline>
        </w:drawing>
      </w:r>
    </w:p>
    <w:p>
      <w:pPr>
        <w:spacing w:before="40" w:after="200" w:line="240" w:lineRule="auto"/>
        <w:jc w:val="center"/>
      </w:pPr>
      <w:r>
        <w:rPr>
          <w:rFonts w:ascii="Times New Roman" w:hAnsi="Times New Roman"/>
          <w:b/>
          <w:color w:val="003366"/>
          <w:sz w:val="20"/>
        </w:rPr>
        <w:t>Figure 6.12: Concept Drift Tracking via Population Stability Index (PSI) Over Time</w:t>
      </w:r>
    </w:p>
    <w:p>
      <w:pPr>
        <w:spacing w:before="240" w:after="120" w:line="276" w:lineRule="auto"/>
        <w:jc w:val="left"/>
      </w:pPr>
      <w:r>
        <w:rPr>
          <w:rFonts w:ascii="Times New Roman" w:hAnsi="Times New Roman"/>
          <w:b/>
          <w:color w:val="003366"/>
          <w:sz w:val="24"/>
        </w:rPr>
        <w:t>6.9 System Latency &amp; End-to-End Throughput Evaluation</w:t>
      </w:r>
    </w:p>
    <w:p>
      <w:pPr>
        <w:spacing w:before="0" w:after="120" w:line="360" w:lineRule="auto"/>
        <w:jc w:val="both"/>
      </w:pPr>
      <w:r>
        <w:rPr>
          <w:rFonts w:ascii="Times New Roman" w:hAnsi="Times New Roman"/>
          <w:i w:val="0"/>
          <w:sz w:val="24"/>
        </w:rPr>
        <w:t>Figure 6.13 breaks down the execution latency measured across each pipeline stage per event.</w:t>
      </w:r>
    </w:p>
    <w:p>
      <w:pPr>
        <w:spacing w:before="160" w:after="60"/>
        <w:jc w:val="center"/>
      </w:pPr>
      <w:r>
        <w:drawing>
          <wp:inline xmlns:a="http://schemas.openxmlformats.org/drawingml/2006/main" xmlns:pic="http://schemas.openxmlformats.org/drawingml/2006/picture">
            <wp:extent cx="5029200" cy="2828925"/>
            <wp:docPr id="22" name="Picture 22"/>
            <wp:cNvGraphicFramePr>
              <a:graphicFrameLocks noChangeAspect="1"/>
            </wp:cNvGraphicFramePr>
            <a:graphic>
              <a:graphicData uri="http://schemas.openxmlformats.org/drawingml/2006/picture">
                <pic:pic>
                  <pic:nvPicPr>
                    <pic:cNvPr id="0" name="fig_6_5_pipeline_latency.png"/>
                    <pic:cNvPicPr/>
                  </pic:nvPicPr>
                  <pic:blipFill>
                    <a:blip r:embed="rId32"/>
                    <a:stretch>
                      <a:fillRect/>
                    </a:stretch>
                  </pic:blipFill>
                  <pic:spPr>
                    <a:xfrm>
                      <a:off x="0" y="0"/>
                      <a:ext cx="5029200" cy="2828925"/>
                    </a:xfrm>
                    <a:prstGeom prst="rect"/>
                  </pic:spPr>
                </pic:pic>
              </a:graphicData>
            </a:graphic>
          </wp:inline>
        </w:drawing>
      </w:r>
    </w:p>
    <w:p>
      <w:pPr>
        <w:spacing w:before="40" w:after="200" w:line="240" w:lineRule="auto"/>
        <w:jc w:val="center"/>
      </w:pPr>
      <w:r>
        <w:rPr>
          <w:rFonts w:ascii="Times New Roman" w:hAnsi="Times New Roman"/>
          <w:b/>
          <w:color w:val="003366"/>
          <w:sz w:val="20"/>
        </w:rPr>
        <w:t>Figure 6.13: End-to-End Pipeline Execution Latency Breakdown (Mean: 10.77 ms)</w:t>
      </w:r>
    </w:p>
    <w:p>
      <w:pPr>
        <w:spacing w:before="0" w:after="120" w:line="360" w:lineRule="auto"/>
        <w:jc w:val="both"/>
      </w:pPr>
      <w:r>
        <w:rPr>
          <w:rFonts w:ascii="Times New Roman" w:hAnsi="Times New Roman"/>
          <w:i w:val="0"/>
          <w:sz w:val="24"/>
        </w:rPr>
        <w:t>Table 6.2 summarizes the execution latency benchmarks measured across 10,000 synthetic event cycles.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0"/>
        <w:gridCol w:w="2250"/>
        <w:gridCol w:w="2250"/>
        <w:gridCol w:w="2250"/>
      </w:tblGrid>
      <w:tr>
        <w:tc>
          <w:tcPr>
            <w:tcW w:type="dxa" w:w="2250"/>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8"/>
              </w:rPr>
              <w:t>Subsystem Component</w:t>
            </w:r>
          </w:p>
        </w:tc>
        <w:tc>
          <w:tcPr>
            <w:tcW w:type="dxa" w:w="2250"/>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8"/>
              </w:rPr>
              <w:t>Mean Latency (ms)</w:t>
            </w:r>
          </w:p>
        </w:tc>
        <w:tc>
          <w:tcPr>
            <w:tcW w:type="dxa" w:w="2250"/>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8"/>
              </w:rPr>
              <w:t>95th Percentile (ms)</w:t>
            </w:r>
          </w:p>
        </w:tc>
        <w:tc>
          <w:tcPr>
            <w:tcW w:type="dxa" w:w="2250"/>
            <w:shd w:fill="003366"/>
            <w:tcMar>
              <w:top w:w="100" w:type="dxa"/>
              <w:bottom w:w="100" w:type="dxa"/>
              <w:left w:w="100" w:type="dxa"/>
              <w:right w:w="100" w:type="dxa"/>
            </w:tcMar>
          </w:tcPr>
          <w:p>
            <w:pPr>
              <w:spacing w:before="20" w:after="20" w:line="240" w:lineRule="auto"/>
              <w:jc w:val="center"/>
            </w:pPr>
            <w:r>
              <w:rPr>
                <w:rFonts w:ascii="Times New Roman" w:hAnsi="Times New Roman"/>
                <w:b/>
                <w:color w:val="FFFFFF"/>
                <w:sz w:val="18"/>
              </w:rPr>
              <w:t>Throughput (Events/sec)</w:t>
            </w:r>
          </w:p>
        </w:tc>
      </w:tr>
      <w:tr>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b/>
                <w:sz w:val="17"/>
              </w:rPr>
              <w:t>Log Collector Tail &amp; Buffer</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0.82 ms</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1.15 ms</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1,220 eps</w:t>
            </w:r>
          </w:p>
        </w:tc>
      </w:tr>
      <w:tr>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b/>
                <w:sz w:val="17"/>
              </w:rPr>
              <w:t>Schema Normalization &amp; SHA-256</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0.45 ms</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0.68 ms</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2,220 eps</w:t>
            </w:r>
          </w:p>
        </w:tc>
      </w:tr>
      <w:tr>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b/>
                <w:sz w:val="17"/>
              </w:rPr>
              <w:t>Deterministic Regex Rule Engine</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0.12 ms</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0.20 ms</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8,330 eps</w:t>
            </w:r>
          </w:p>
        </w:tc>
      </w:tr>
      <w:tr>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b/>
                <w:sz w:val="17"/>
              </w:rPr>
              <w:t>Calibrated Linear SVM Inference</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1.48 ms</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2.10 ms</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675 eps</w:t>
            </w:r>
          </w:p>
        </w:tc>
      </w:tr>
      <w:tr>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b/>
                <w:sz w:val="17"/>
              </w:rPr>
              <w:t>Isolation Forest Anomaly Scoring</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2.15 ms</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3.05 ms</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465 eps</w:t>
            </w:r>
          </w:p>
        </w:tc>
      </w:tr>
      <w:tr>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b/>
                <w:sz w:val="17"/>
              </w:rPr>
              <w:t>Markov Sequence Transition Engine</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0.35 ms</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0.52 ms</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2,850 eps</w:t>
            </w:r>
          </w:p>
        </w:tc>
      </w:tr>
      <w:tr>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b/>
                <w:sz w:val="17"/>
              </w:rPr>
              <w:t>Gradient Boosting Risk Predictor</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1.95 ms</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2.80 ms</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512 eps</w:t>
            </w:r>
          </w:p>
        </w:tc>
      </w:tr>
      <w:tr>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b/>
                <w:sz w:val="17"/>
              </w:rPr>
              <w:t>Database Persistence (SQLite/Mongo)</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2.80 ms</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4.20 ms</w:t>
            </w:r>
          </w:p>
        </w:tc>
        <w:tc>
          <w:tcPr>
            <w:tcW w:type="dxa" w:w="2250"/>
            <w:shd w:fill="F7FAFC"/>
            <w:tcMar>
              <w:top w:w="80" w:type="dxa"/>
              <w:bottom w:w="80" w:type="dxa"/>
              <w:left w:w="100" w:type="dxa"/>
              <w:right w:w="100" w:type="dxa"/>
            </w:tcMar>
          </w:tcPr>
          <w:p>
            <w:pPr>
              <w:spacing w:before="20" w:after="20" w:line="240" w:lineRule="auto"/>
              <w:jc w:val="left"/>
            </w:pPr>
            <w:r>
              <w:rPr>
                <w:rFonts w:ascii="Times New Roman" w:hAnsi="Times New Roman"/>
                <w:sz w:val="17"/>
              </w:rPr>
              <w:t>357 eps</w:t>
            </w:r>
          </w:p>
        </w:tc>
      </w:tr>
      <w:tr>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b/>
                <w:sz w:val="17"/>
              </w:rPr>
              <w:t>WebSocket Client Broadcast</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0.65 ms</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0.95 ms</w:t>
            </w:r>
          </w:p>
        </w:tc>
        <w:tc>
          <w:tcPr>
            <w:tcW w:type="dxa" w:w="2250"/>
            <w:shd w:fill="FFFFFF"/>
            <w:tcMar>
              <w:top w:w="80" w:type="dxa"/>
              <w:bottom w:w="80" w:type="dxa"/>
              <w:left w:w="100" w:type="dxa"/>
              <w:right w:w="100" w:type="dxa"/>
            </w:tcMar>
          </w:tcPr>
          <w:p>
            <w:pPr>
              <w:spacing w:before="20" w:after="20" w:line="240" w:lineRule="auto"/>
              <w:jc w:val="left"/>
            </w:pPr>
            <w:r>
              <w:rPr>
                <w:rFonts w:ascii="Times New Roman" w:hAnsi="Times New Roman"/>
                <w:sz w:val="17"/>
              </w:rPr>
              <w:t>1,530 eps</w:t>
            </w:r>
          </w:p>
        </w:tc>
      </w:tr>
      <w:tr>
        <w:tc>
          <w:tcPr>
            <w:tcW w:type="dxa" w:w="2250"/>
            <w:shd w:fill="EBF8FF"/>
            <w:tcMar>
              <w:top w:w="80" w:type="dxa"/>
              <w:bottom w:w="80" w:type="dxa"/>
              <w:left w:w="100" w:type="dxa"/>
              <w:right w:w="100" w:type="dxa"/>
            </w:tcMar>
          </w:tcPr>
          <w:p>
            <w:pPr>
              <w:spacing w:before="20" w:after="20" w:line="240" w:lineRule="auto"/>
              <w:jc w:val="left"/>
            </w:pPr>
            <w:r>
              <w:rPr>
                <w:rFonts w:ascii="Times New Roman" w:hAnsi="Times New Roman"/>
                <w:b/>
                <w:sz w:val="17"/>
              </w:rPr>
              <w:t>Total End-to-End Processing Pipeline</w:t>
            </w:r>
          </w:p>
        </w:tc>
        <w:tc>
          <w:tcPr>
            <w:tcW w:type="dxa" w:w="2250"/>
            <w:shd w:fill="EBF8FF"/>
            <w:tcMar>
              <w:top w:w="80" w:type="dxa"/>
              <w:bottom w:w="80" w:type="dxa"/>
              <w:left w:w="100" w:type="dxa"/>
              <w:right w:w="100" w:type="dxa"/>
            </w:tcMar>
          </w:tcPr>
          <w:p>
            <w:pPr>
              <w:spacing w:before="20" w:after="20" w:line="240" w:lineRule="auto"/>
              <w:jc w:val="left"/>
            </w:pPr>
            <w:r>
              <w:rPr>
                <w:rFonts w:ascii="Times New Roman" w:hAnsi="Times New Roman"/>
                <w:b/>
                <w:sz w:val="17"/>
              </w:rPr>
              <w:t>10.77 ms</w:t>
            </w:r>
          </w:p>
        </w:tc>
        <w:tc>
          <w:tcPr>
            <w:tcW w:type="dxa" w:w="2250"/>
            <w:shd w:fill="EBF8FF"/>
            <w:tcMar>
              <w:top w:w="80" w:type="dxa"/>
              <w:bottom w:w="80" w:type="dxa"/>
              <w:left w:w="100" w:type="dxa"/>
              <w:right w:w="100" w:type="dxa"/>
            </w:tcMar>
          </w:tcPr>
          <w:p>
            <w:pPr>
              <w:spacing w:before="20" w:after="20" w:line="240" w:lineRule="auto"/>
              <w:jc w:val="left"/>
            </w:pPr>
            <w:r>
              <w:rPr>
                <w:rFonts w:ascii="Times New Roman" w:hAnsi="Times New Roman"/>
                <w:b/>
                <w:sz w:val="17"/>
              </w:rPr>
              <w:t>15.65 ms</w:t>
            </w:r>
          </w:p>
        </w:tc>
        <w:tc>
          <w:tcPr>
            <w:tcW w:type="dxa" w:w="2250"/>
            <w:shd w:fill="EBF8FF"/>
            <w:tcMar>
              <w:top w:w="80" w:type="dxa"/>
              <w:bottom w:w="80" w:type="dxa"/>
              <w:left w:w="100" w:type="dxa"/>
              <w:right w:w="100" w:type="dxa"/>
            </w:tcMar>
          </w:tcPr>
          <w:p>
            <w:pPr>
              <w:spacing w:before="20" w:after="20" w:line="240" w:lineRule="auto"/>
              <w:jc w:val="left"/>
            </w:pPr>
            <w:r>
              <w:rPr>
                <w:rFonts w:ascii="Times New Roman" w:hAnsi="Times New Roman"/>
                <w:b/>
                <w:sz w:val="17"/>
              </w:rPr>
              <w:t>~92 eps (sequential)</w:t>
            </w:r>
          </w:p>
        </w:tc>
      </w:tr>
    </w:tbl>
    <w:p>
      <w:pPr>
        <w:spacing w:before="80" w:after="240" w:line="240" w:lineRule="auto"/>
        <w:jc w:val="center"/>
      </w:pPr>
      <w:r>
        <w:rPr>
          <w:rFonts w:ascii="Times New Roman" w:hAnsi="Times New Roman"/>
          <w:b/>
          <w:sz w:val="20"/>
        </w:rPr>
        <w:t>Table 6.2: Subsystem Latency and Throughput Benchmark Summary</w:t>
      </w:r>
    </w:p>
    <w:p>
      <w:pPr>
        <w:spacing w:before="240" w:after="120" w:line="276" w:lineRule="auto"/>
        <w:jc w:val="left"/>
      </w:pPr>
      <w:r>
        <w:rPr>
          <w:rFonts w:ascii="Times New Roman" w:hAnsi="Times New Roman"/>
          <w:b/>
          <w:color w:val="003366"/>
          <w:sz w:val="24"/>
        </w:rPr>
        <w:t>6.10 Comprehensive Test Cases Execution Table</w:t>
      </w:r>
    </w:p>
    <w:p>
      <w:pPr>
        <w:spacing w:before="0" w:after="120" w:line="360" w:lineRule="auto"/>
        <w:jc w:val="both"/>
      </w:pPr>
      <w:r>
        <w:rPr>
          <w:rFonts w:ascii="Times New Roman" w:hAnsi="Times New Roman"/>
          <w:i w:val="0"/>
          <w:sz w:val="24"/>
        </w:rPr>
        <w:t>Table 6.3 provides an itemized summary of key automated test cases verified across the codebase.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00"/>
        <w:gridCol w:w="1500"/>
        <w:gridCol w:w="1500"/>
        <w:gridCol w:w="1500"/>
        <w:gridCol w:w="1500"/>
        <w:gridCol w:w="1500"/>
      </w:tblGrid>
      <w:tr>
        <w:tc>
          <w:tcPr>
            <w:tcW w:type="dxa" w:w="1500"/>
            <w:shd w:fill="003366"/>
            <w:tcMar>
              <w:top w:w="100" w:type="dxa"/>
              <w:bottom w:w="100" w:type="dxa"/>
              <w:left w:w="60" w:type="dxa"/>
              <w:right w:w="60" w:type="dxa"/>
            </w:tcMar>
          </w:tcPr>
          <w:p>
            <w:pPr>
              <w:spacing w:before="20" w:after="20" w:line="240" w:lineRule="auto"/>
              <w:jc w:val="center"/>
            </w:pPr>
            <w:r>
              <w:rPr>
                <w:rFonts w:ascii="Times New Roman" w:hAnsi="Times New Roman"/>
                <w:b/>
                <w:color w:val="FFFFFF"/>
                <w:sz w:val="16"/>
              </w:rPr>
              <w:t>Test Module</w:t>
            </w:r>
          </w:p>
        </w:tc>
        <w:tc>
          <w:tcPr>
            <w:tcW w:type="dxa" w:w="1500"/>
            <w:shd w:fill="003366"/>
            <w:tcMar>
              <w:top w:w="100" w:type="dxa"/>
              <w:bottom w:w="100" w:type="dxa"/>
              <w:left w:w="60" w:type="dxa"/>
              <w:right w:w="60" w:type="dxa"/>
            </w:tcMar>
          </w:tcPr>
          <w:p>
            <w:pPr>
              <w:spacing w:before="20" w:after="20" w:line="240" w:lineRule="auto"/>
              <w:jc w:val="center"/>
            </w:pPr>
            <w:r>
              <w:rPr>
                <w:rFonts w:ascii="Times New Roman" w:hAnsi="Times New Roman"/>
                <w:b/>
                <w:color w:val="FFFFFF"/>
                <w:sz w:val="16"/>
              </w:rPr>
              <w:t>Test Identifier</w:t>
            </w:r>
          </w:p>
        </w:tc>
        <w:tc>
          <w:tcPr>
            <w:tcW w:type="dxa" w:w="1500"/>
            <w:shd w:fill="003366"/>
            <w:tcMar>
              <w:top w:w="100" w:type="dxa"/>
              <w:bottom w:w="100" w:type="dxa"/>
              <w:left w:w="60" w:type="dxa"/>
              <w:right w:w="60" w:type="dxa"/>
            </w:tcMar>
          </w:tcPr>
          <w:p>
            <w:pPr>
              <w:spacing w:before="20" w:after="20" w:line="240" w:lineRule="auto"/>
              <w:jc w:val="center"/>
            </w:pPr>
            <w:r>
              <w:rPr>
                <w:rFonts w:ascii="Times New Roman" w:hAnsi="Times New Roman"/>
                <w:b/>
                <w:color w:val="FFFFFF"/>
                <w:sz w:val="16"/>
              </w:rPr>
              <w:t>Description &amp; Preconditions</w:t>
            </w:r>
          </w:p>
        </w:tc>
        <w:tc>
          <w:tcPr>
            <w:tcW w:type="dxa" w:w="1500"/>
            <w:shd w:fill="003366"/>
            <w:tcMar>
              <w:top w:w="100" w:type="dxa"/>
              <w:bottom w:w="100" w:type="dxa"/>
              <w:left w:w="60" w:type="dxa"/>
              <w:right w:w="60" w:type="dxa"/>
            </w:tcMar>
          </w:tcPr>
          <w:p>
            <w:pPr>
              <w:spacing w:before="20" w:after="20" w:line="240" w:lineRule="auto"/>
              <w:jc w:val="center"/>
            </w:pPr>
            <w:r>
              <w:rPr>
                <w:rFonts w:ascii="Times New Roman" w:hAnsi="Times New Roman"/>
                <w:b/>
                <w:color w:val="FFFFFF"/>
                <w:sz w:val="16"/>
              </w:rPr>
              <w:t>Expected Result</w:t>
            </w:r>
          </w:p>
        </w:tc>
        <w:tc>
          <w:tcPr>
            <w:tcW w:type="dxa" w:w="1500"/>
            <w:shd w:fill="003366"/>
            <w:tcMar>
              <w:top w:w="100" w:type="dxa"/>
              <w:bottom w:w="100" w:type="dxa"/>
              <w:left w:w="60" w:type="dxa"/>
              <w:right w:w="60" w:type="dxa"/>
            </w:tcMar>
          </w:tcPr>
          <w:p>
            <w:pPr>
              <w:spacing w:before="20" w:after="20" w:line="240" w:lineRule="auto"/>
              <w:jc w:val="center"/>
            </w:pPr>
            <w:r>
              <w:rPr>
                <w:rFonts w:ascii="Times New Roman" w:hAnsi="Times New Roman"/>
                <w:b/>
                <w:color w:val="FFFFFF"/>
                <w:sz w:val="16"/>
              </w:rPr>
              <w:t>Actual Result</w:t>
            </w:r>
          </w:p>
        </w:tc>
        <w:tc>
          <w:tcPr>
            <w:tcW w:type="dxa" w:w="1500"/>
            <w:shd w:fill="003366"/>
            <w:tcMar>
              <w:top w:w="100" w:type="dxa"/>
              <w:bottom w:w="100" w:type="dxa"/>
              <w:left w:w="60" w:type="dxa"/>
              <w:right w:w="60" w:type="dxa"/>
            </w:tcMar>
          </w:tcPr>
          <w:p>
            <w:pPr>
              <w:spacing w:before="20" w:after="20" w:line="240" w:lineRule="auto"/>
              <w:jc w:val="center"/>
            </w:pPr>
            <w:r>
              <w:rPr>
                <w:rFonts w:ascii="Times New Roman" w:hAnsi="Times New Roman"/>
                <w:b/>
                <w:color w:val="FFFFFF"/>
                <w:sz w:val="16"/>
              </w:rPr>
              <w:t>Status</w:t>
            </w:r>
          </w:p>
        </w:tc>
      </w:tr>
      <w:tr>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test_four_ml_models.py</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TC-ML-01</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LinearSVC intent classification across 10 canonical test commands</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Accuracy &gt;= 99.88%, Macro-F1 &gt;= 0.99</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100.00% accuracy, F1=1.0000</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test_four_ml_models.py</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TC-ML-02</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Isolation Forest outlier scoring at threshold -0.4906</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0.00% FPR on normal, &gt;95% recall on novel</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0.00% FPR, 99.40% recall</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test_four_ml_models.py</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TC-ML-03</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Random Forest attack-stage attribution (120 estimators)</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Test accuracy &gt;= 99.00%</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99.27% accuracy, F1=0.9928</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test_four_ml_models.py</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TC-ML-04</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Gradient Boosting regressor risk scoring on held-out samples</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MAE &lt; 5.0, R² &gt; 0.85, Severity Acc &gt; 85%</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MAE=3.16, R²=0.8915, Acc=88.5%</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test_four_ml_models.py</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TC-ML-05</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Model registry cryptographic artifact integrity verification</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Artifact SHA-256 matches model_registry.json</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Exact SHA-256 hash match</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test_event_normalizer.py</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TC-NORM-01</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Normalizing valid Cowrie connect event JSON payload</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Returns NormalizedEvent with EventType.CONNECT</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Correctly normalized and typed</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test_event_normalizer.py</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TC-NORM-02</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Deterministic SHA-256 event ID generation across identical fields</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Identical hash emitted for duplicate event payloads</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Deterministic hash confirmed</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test_event_normalizer.py</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TC-NORM-03</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Ingestion of corrupted, truncated, or malformed JSON strings</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Graceful exception catch; return None without crash</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Handled gracefully; no crash</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test_log_collector.py</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TC-COLL-01</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Asynchronous non-blocking tailing over synthetic cowrie.json</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Continuous event read with zero file lock contention</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Tailed seamlessly in asyncio loop</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test_log_collector.py</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TC-COLL-02</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Deduplication cache suppression on rotational log restart</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Duplicate event IDs silently dropped via bounded FIFO</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100% duplicate suppression</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test_hybrid_classifier.py</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TC-HYB-01</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Rule-only execution path when ML and LLM models are unconfigured</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RuleClassifier provides authoritative fallback</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Deterministic rule emitted</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test_hybrid_classifier.py</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TC-HYB-02</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Confident ML prediction (confidence &gt;= 0.75) suppresses LLM</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ML prediction returned directly without LLM API call</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Fast ML path verified</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test_hybrid_classifier.py</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TC-HYB-03</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Low-confidence ML prediction triggers secondary LLM fallback</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Fallback to LLM with graceful degradation on timeout</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Graceful LLM invocation</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test_risk_engine.py</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TC-RISK-01</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Base intent weight evaluation and clamping boundaries [0, 100]</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Risk strictly bounded within [0.0, 100.0]</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Clamped correctly to [0, 100]</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test_risk_engine.py</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TC-RISK-02</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Privilege escalation sudo multiplier verification</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Applies 1.35x multiplier to privileged operations</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Correct multiplier applied</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test_persistence_service.py</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TC-DB-01</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Password credential sanitization prior to database write</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Plaintext passwords redacted and replaced with [REDACTED]</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Secrets successfully redacted</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test_websocket_streaming.py</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TC-WS-01</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WebSocket client connection handshake and ping-pong latency</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Sub-50ms round-trip latency across active subscribers</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12 ms round-trip confirmed</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test_phase_b_intelligence.py</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TC-INT-01</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Markov sequence transition matrix lookup for state jumps</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P(Intent_t | Intent_{t-1}) computed accurately</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Markov probabilities verified</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test_standout_features.py</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TC-ST-01</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Adversarial prompt injection detection in AI Security Lab</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Interception of jailbreak tokens; policy enforcement</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sz w:val="15"/>
              </w:rPr>
              <w:t>Prompt injection blocked</w:t>
            </w:r>
          </w:p>
        </w:tc>
        <w:tc>
          <w:tcPr>
            <w:tcW w:type="dxa" w:w="1500"/>
            <w:shd w:fill="FFFFFF"/>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r>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test_e2e_pipeline.py</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TC-E2E-01</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Full end-to-end pipeline execution from raw line to API query</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Complete event flow through Normalizer, ML, DB, WS</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sz w:val="15"/>
              </w:rPr>
              <w:t>End-to-end flow verified</w:t>
            </w:r>
          </w:p>
        </w:tc>
        <w:tc>
          <w:tcPr>
            <w:tcW w:type="dxa" w:w="1500"/>
            <w:shd w:fill="F7FAFC"/>
            <w:tcMar>
              <w:top w:w="80" w:type="dxa"/>
              <w:bottom w:w="80" w:type="dxa"/>
              <w:left w:w="60" w:type="dxa"/>
              <w:right w:w="60" w:type="dxa"/>
            </w:tcMar>
          </w:tcPr>
          <w:p>
            <w:pPr>
              <w:spacing w:before="20" w:after="20" w:line="240" w:lineRule="auto"/>
              <w:jc w:val="left"/>
            </w:pPr>
            <w:r>
              <w:rPr>
                <w:rFonts w:ascii="Times New Roman" w:hAnsi="Times New Roman"/>
                <w:b/>
                <w:color w:val="008000"/>
                <w:sz w:val="15"/>
              </w:rPr>
              <w:t>PASS</w:t>
            </w:r>
          </w:p>
        </w:tc>
      </w:tr>
    </w:tbl>
    <w:p>
      <w:pPr>
        <w:spacing w:before="80" w:after="240" w:line="240" w:lineRule="auto"/>
        <w:jc w:val="center"/>
      </w:pPr>
      <w:r>
        <w:rPr>
          <w:rFonts w:ascii="Times New Roman" w:hAnsi="Times New Roman"/>
          <w:b/>
          <w:sz w:val="20"/>
        </w:rPr>
        <w:t>Table 6.3: Comprehensive Automated Test Cases Execution Summary (166 Tests)</w:t>
      </w:r>
    </w:p>
    <w:p>
      <w:pPr>
        <w:spacing w:before="240" w:after="120" w:line="276" w:lineRule="auto"/>
        <w:jc w:val="left"/>
      </w:pPr>
      <w:r>
        <w:rPr>
          <w:rFonts w:ascii="Times New Roman" w:hAnsi="Times New Roman"/>
          <w:b/>
          <w:color w:val="003366"/>
          <w:sz w:val="24"/>
        </w:rPr>
        <w:t>6.11 Comparative Analysis with Baseline Honeypot Systems</w:t>
      </w:r>
    </w:p>
    <w:p>
      <w:pPr>
        <w:spacing w:before="0" w:after="120" w:line="360" w:lineRule="auto"/>
        <w:jc w:val="both"/>
      </w:pPr>
      <w:r>
        <w:rPr>
          <w:rFonts w:ascii="Times New Roman" w:hAnsi="Times New Roman"/>
          <w:i w:val="0"/>
          <w:sz w:val="24"/>
        </w:rPr>
        <w:t>Table 6.4 benchmarks INT-AWARE directly against prominent open-source and commercial honeypot architectures.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250"/>
        <w:gridCol w:w="2250"/>
        <w:gridCol w:w="2250"/>
        <w:gridCol w:w="2250"/>
      </w:tblGrid>
      <w:tr>
        <w:tc>
          <w:tcPr>
            <w:tcW w:type="dxa" w:w="2250"/>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7"/>
              </w:rPr>
              <w:t>Defensive Dimension</w:t>
            </w:r>
          </w:p>
        </w:tc>
        <w:tc>
          <w:tcPr>
            <w:tcW w:type="dxa" w:w="2250"/>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7"/>
              </w:rPr>
              <w:t>Standard Cowrie Honeypot</w:t>
            </w:r>
          </w:p>
        </w:tc>
        <w:tc>
          <w:tcPr>
            <w:tcW w:type="dxa" w:w="2250"/>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7"/>
              </w:rPr>
              <w:t>Snort / Suricata NIDS</w:t>
            </w:r>
          </w:p>
        </w:tc>
        <w:tc>
          <w:tcPr>
            <w:tcW w:type="dxa" w:w="2250"/>
            <w:shd w:fill="003366"/>
            <w:tcMar>
              <w:top w:w="100" w:type="dxa"/>
              <w:bottom w:w="100" w:type="dxa"/>
              <w:left w:w="80" w:type="dxa"/>
              <w:right w:w="80" w:type="dxa"/>
            </w:tcMar>
          </w:tcPr>
          <w:p>
            <w:pPr>
              <w:spacing w:before="20" w:after="20" w:line="240" w:lineRule="auto"/>
              <w:jc w:val="center"/>
            </w:pPr>
            <w:r>
              <w:rPr>
                <w:rFonts w:ascii="Times New Roman" w:hAnsi="Times New Roman"/>
                <w:b/>
                <w:color w:val="FFFFFF"/>
                <w:sz w:val="17"/>
              </w:rPr>
              <w:t>INT-AWARE (Proposed)</w:t>
            </w:r>
          </w:p>
        </w:tc>
      </w:tr>
      <w:tr>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Telemetry Capture</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Passive text file (cowrie.json)</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Raw PCAP / Flow logs</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Asynchronous non-blocking streaming queue</w:t>
            </w:r>
          </w:p>
        </w:tc>
      </w:tr>
      <w:tr>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b/>
                <w:sz w:val="16"/>
              </w:rPr>
              <w:t>Intent Classification</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None (Manual human review)</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Byte-pattern regex signatures</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b/>
                <w:sz w:val="16"/>
              </w:rPr>
              <w:t>Calibrated Linear SVM (100.0% accuracy)</w:t>
            </w:r>
          </w:p>
        </w:tc>
      </w:tr>
      <w:tr>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Attack Stage Attribution</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None</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Alert rule categorization</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Random Forest Classifier (99.27% accuracy)</w:t>
            </w:r>
          </w:p>
        </w:tc>
      </w:tr>
      <w:tr>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b/>
                <w:sz w:val="16"/>
              </w:rPr>
              <w:t>Novelty / Anomaly Detection</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None</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Statistical threshold counters</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b/>
                <w:sz w:val="16"/>
              </w:rPr>
              <w:t>Calibrated Isolation Forest (0.00% FPR)</w:t>
            </w:r>
          </w:p>
        </w:tc>
      </w:tr>
      <w:tr>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Risk Modeling</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None</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Static CVSS score lookup</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HistGradientBoosting Regression (MAE: 3.16)</w:t>
            </w:r>
          </w:p>
        </w:tc>
      </w:tr>
      <w:tr>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b/>
                <w:sz w:val="16"/>
              </w:rPr>
              <w:t>Sequence Prediction</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None</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None</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b/>
                <w:sz w:val="16"/>
              </w:rPr>
              <w:t>First-Order Markov Transition Engine</w:t>
            </w:r>
          </w:p>
        </w:tc>
      </w:tr>
      <w:tr>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Operator Interface</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None / Command CLI</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sz w:val="16"/>
              </w:rPr>
              <w:t>Snorby / Kibana Dashboard</w:t>
            </w:r>
          </w:p>
        </w:tc>
        <w:tc>
          <w:tcPr>
            <w:tcW w:type="dxa" w:w="2250"/>
            <w:shd w:fill="FFFFFF"/>
            <w:tcMar>
              <w:top w:w="80" w:type="dxa"/>
              <w:bottom w:w="80" w:type="dxa"/>
              <w:left w:w="80" w:type="dxa"/>
              <w:right w:w="80" w:type="dxa"/>
            </w:tcMar>
          </w:tcPr>
          <w:p>
            <w:pPr>
              <w:spacing w:before="20" w:after="20" w:line="240" w:lineRule="auto"/>
              <w:jc w:val="left"/>
            </w:pPr>
            <w:r>
              <w:rPr>
                <w:rFonts w:ascii="Times New Roman" w:hAnsi="Times New Roman"/>
                <w:b/>
                <w:sz w:val="16"/>
              </w:rPr>
              <w:t>React 18 + Tailwind Sub-50ms Console</w:t>
            </w:r>
          </w:p>
        </w:tc>
      </w:tr>
      <w:tr>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b/>
                <w:sz w:val="16"/>
              </w:rPr>
              <w:t>End-to-End Latency</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Offline batch processing</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sz w:val="16"/>
              </w:rPr>
              <w:t>10 - 100 ms</w:t>
            </w:r>
          </w:p>
        </w:tc>
        <w:tc>
          <w:tcPr>
            <w:tcW w:type="dxa" w:w="2250"/>
            <w:shd w:fill="F7FAFC"/>
            <w:tcMar>
              <w:top w:w="80" w:type="dxa"/>
              <w:bottom w:w="80" w:type="dxa"/>
              <w:left w:w="80" w:type="dxa"/>
              <w:right w:w="80" w:type="dxa"/>
            </w:tcMar>
          </w:tcPr>
          <w:p>
            <w:pPr>
              <w:spacing w:before="20" w:after="20" w:line="240" w:lineRule="auto"/>
              <w:jc w:val="left"/>
            </w:pPr>
            <w:r>
              <w:rPr>
                <w:rFonts w:ascii="Times New Roman" w:hAnsi="Times New Roman"/>
                <w:b/>
                <w:sz w:val="16"/>
              </w:rPr>
              <w:t>Sub-15ms (10.77 ms mean)</w:t>
            </w:r>
          </w:p>
        </w:tc>
      </w:tr>
    </w:tbl>
    <w:p>
      <w:pPr>
        <w:spacing w:before="80" w:after="240" w:line="240" w:lineRule="auto"/>
        <w:jc w:val="center"/>
      </w:pPr>
      <w:r>
        <w:rPr>
          <w:rFonts w:ascii="Times New Roman" w:hAnsi="Times New Roman"/>
          <w:b/>
          <w:sz w:val="20"/>
        </w:rPr>
        <w:t>Table 6.4: Benchmarking INT-AWARE Against Conventional Honeypot Paradigms</w:t>
      </w:r>
    </w:p>
    <w:p>
      <w:pPr>
        <w:spacing w:before="240" w:after="120" w:line="276" w:lineRule="auto"/>
        <w:jc w:val="left"/>
      </w:pPr>
      <w:r>
        <w:rPr>
          <w:rFonts w:ascii="Times New Roman" w:hAnsi="Times New Roman"/>
          <w:b/>
          <w:color w:val="003366"/>
          <w:sz w:val="24"/>
        </w:rPr>
        <w:t>6.12 Summary</w:t>
      </w:r>
    </w:p>
    <w:p>
      <w:pPr>
        <w:spacing w:before="0" w:after="120" w:line="360" w:lineRule="auto"/>
        <w:jc w:val="both"/>
      </w:pPr>
      <w:r>
        <w:rPr>
          <w:rFonts w:ascii="Times New Roman" w:hAnsi="Times New Roman"/>
          <w:i w:val="0"/>
          <w:sz w:val="24"/>
        </w:rPr>
        <w:t>Chapter 6 presented comprehensive empirical evaluations verifying INT-AWARE with rich visual figures across all machine learning models, actual terminal test executions (166 passed tests in 21.31s), and latency benchmarks. The Calibrated Linear SVM achieved 100.00% accuracy across 10 intent classes, the Isolation Forest achieved 99.70% accuracy with 0.00% false alarms on benign commands, the Random Forest classifier achieved 99.27% accuracy in attack-stage attribution, and the HistGradientBoosting regressor delivered an MAE of 3.16 on threat risk scoring.</w:t>
      </w:r>
    </w:p>
    <w:p>
      <w:r>
        <w:br w:type="page"/>
      </w:r>
    </w:p>
    <w:p>
      <w:pPr>
        <w:spacing w:before="360" w:after="240" w:line="276" w:lineRule="auto"/>
        <w:jc w:val="center"/>
      </w:pPr>
      <w:r>
        <w:rPr>
          <w:rFonts w:ascii="Times New Roman" w:hAnsi="Times New Roman"/>
          <w:b/>
          <w:color w:val="003366"/>
          <w:sz w:val="28"/>
        </w:rPr>
        <w:t>CHAPTER 7</w:t>
        <w:br/>
        <w:t>CONCLUSION AND FUTURE WORK</w:t>
      </w:r>
    </w:p>
    <w:p>
      <w:pPr>
        <w:spacing w:before="240" w:after="120" w:line="276" w:lineRule="auto"/>
        <w:jc w:val="left"/>
      </w:pPr>
      <w:r>
        <w:rPr>
          <w:rFonts w:ascii="Times New Roman" w:hAnsi="Times New Roman"/>
          <w:b/>
          <w:color w:val="003366"/>
          <w:sz w:val="24"/>
        </w:rPr>
        <w:t>7.1 Conclusion</w:t>
      </w:r>
    </w:p>
    <w:p>
      <w:pPr>
        <w:spacing w:before="0" w:after="120" w:line="360" w:lineRule="auto"/>
        <w:jc w:val="both"/>
      </w:pPr>
      <w:r>
        <w:rPr>
          <w:rFonts w:ascii="Times New Roman" w:hAnsi="Times New Roman"/>
          <w:i w:val="0"/>
          <w:sz w:val="24"/>
        </w:rPr>
        <w:t>In this project, INT-AWARE: an Intent-Aware Deception System for Real-Time Attacker Profiling was successfully conceptualized, architected, implemented, and verified. The system addresses critical limitations inherent in traditional passive honeypots and perimeter defense mechanisms by transforming raw, unstructured command-line telemetry into actionable, real-time tactical intelligence.</w:t>
      </w:r>
    </w:p>
    <w:p>
      <w:pPr>
        <w:spacing w:before="0" w:after="120" w:line="360" w:lineRule="auto"/>
        <w:jc w:val="both"/>
      </w:pPr>
      <w:r>
        <w:rPr>
          <w:rFonts w:ascii="Times New Roman" w:hAnsi="Times New Roman"/>
          <w:i w:val="0"/>
          <w:sz w:val="24"/>
        </w:rPr>
        <w:t>By synthesizing an asynchronous non-blocking log collection pipeline, deterministic schema normalization, and a multi-tiered hybrid machine learning engine, INT-AWARE achieves exceptional performance: 100.00% test accuracy on 10-class MITRE intent classification using a Calibrated Linear SVM, 99.70% accuracy with 0.00% false alarm rate on novel command anomaly detection using an Isolation Forest, 99.27% accuracy on intrusion stage attribution via Random Forest, and robust continuous risk scoring (MAE: 3.16) via HistGradientBoosting regression. Coupled with first-order Markov sequence transition modeling and reactive WebSocket communication, INT-AWARE delivers sub-15ms telemetry to a modern React 18 dashboard. Rigorous testing across 166 automated verification test cases with zero regressions confirms that INT-AWARE provides enterprise SOCs with a powerful, production-grade active deception capability.</w:t>
      </w:r>
    </w:p>
    <w:p>
      <w:pPr>
        <w:spacing w:before="240" w:after="120" w:line="276" w:lineRule="auto"/>
        <w:jc w:val="left"/>
      </w:pPr>
      <w:r>
        <w:rPr>
          <w:rFonts w:ascii="Times New Roman" w:hAnsi="Times New Roman"/>
          <w:b/>
          <w:color w:val="003366"/>
          <w:sz w:val="24"/>
        </w:rPr>
        <w:t>7.2 Future Enhancements</w:t>
      </w:r>
    </w:p>
    <w:p>
      <w:pPr>
        <w:spacing w:before="0" w:after="120" w:line="360" w:lineRule="auto"/>
        <w:jc w:val="both"/>
      </w:pPr>
      <w:r>
        <w:rPr>
          <w:rFonts w:ascii="Times New Roman" w:hAnsi="Times New Roman"/>
          <w:i w:val="0"/>
          <w:sz w:val="24"/>
        </w:rPr>
        <w:t>While INT-AWARE demonstrates robust operational efficacy, future research and engineering enhancements offer compelling avenues for expansion:</w:t>
      </w:r>
    </w:p>
    <w:p>
      <w:pPr>
        <w:pStyle w:val="ListBullet"/>
        <w:spacing w:before="40" w:after="80" w:line="300" w:lineRule="auto"/>
        <w:jc w:val="both"/>
      </w:pPr>
      <w:r>
        <w:rPr>
          <w:rFonts w:ascii="Times New Roman" w:hAnsi="Times New Roman"/>
          <w:b/>
          <w:sz w:val="24"/>
        </w:rPr>
        <w:t xml:space="preserve">Multi-Protocol Honeypot Federation: </w:t>
      </w:r>
      <w:r>
        <w:rPr>
          <w:rFonts w:ascii="Times New Roman" w:hAnsi="Times New Roman"/>
          <w:sz w:val="24"/>
        </w:rPr>
        <w:t>Extend the ingestion and normalizer modules to support distributed deception protocols beyond SSH and Telnet, incorporating RDP (Remote Desktop Protocol), SMB (Server Message Block), and HTTP REST APIs across distributed honeynet meshes.</w:t>
      </w:r>
    </w:p>
    <w:p>
      <w:pPr>
        <w:pStyle w:val="ListBullet"/>
        <w:spacing w:before="40" w:after="80" w:line="300" w:lineRule="auto"/>
        <w:jc w:val="both"/>
      </w:pPr>
      <w:r>
        <w:rPr>
          <w:rFonts w:ascii="Times New Roman" w:hAnsi="Times New Roman"/>
          <w:b/>
          <w:sz w:val="24"/>
        </w:rPr>
        <w:t xml:space="preserve">High-Order Deep Temporal Sequence Modeling: </w:t>
      </w:r>
      <w:r>
        <w:rPr>
          <w:rFonts w:ascii="Times New Roman" w:hAnsi="Times New Roman"/>
          <w:sz w:val="24"/>
        </w:rPr>
        <w:t>Complement the order-1 Markov transition matrix with Long Short-Term Memory (LSTM) recurrent networks or Transformer-based sequence attention models to capture long-range multi-session command dependencies.</w:t>
      </w:r>
    </w:p>
    <w:p>
      <w:pPr>
        <w:pStyle w:val="ListBullet"/>
        <w:spacing w:before="40" w:after="80" w:line="300" w:lineRule="auto"/>
        <w:jc w:val="both"/>
      </w:pPr>
      <w:r>
        <w:rPr>
          <w:rFonts w:ascii="Times New Roman" w:hAnsi="Times New Roman"/>
          <w:b/>
          <w:sz w:val="24"/>
        </w:rPr>
        <w:t xml:space="preserve">Reinforcement Learning for Dynamic Decoy Responses: </w:t>
      </w:r>
      <w:r>
        <w:rPr>
          <w:rFonts w:ascii="Times New Roman" w:hAnsi="Times New Roman"/>
          <w:sz w:val="24"/>
        </w:rPr>
        <w:t>Integrate deep Q-networks (DQN) or Policy Gradient reinforcement learning to generate context-aware decoy terminal responses dynamically, maximizing attacker dwell time while preventing honeypot finger-printing.</w:t>
      </w:r>
    </w:p>
    <w:p>
      <w:pPr>
        <w:pStyle w:val="ListBullet"/>
        <w:spacing w:before="40" w:after="80" w:line="300" w:lineRule="auto"/>
        <w:jc w:val="both"/>
      </w:pPr>
      <w:r>
        <w:rPr>
          <w:rFonts w:ascii="Times New Roman" w:hAnsi="Times New Roman"/>
          <w:b/>
          <w:sz w:val="24"/>
        </w:rPr>
        <w:t xml:space="preserve">Automated Threat Intelligence Sharing (STIX/TAXII): </w:t>
      </w:r>
      <w:r>
        <w:rPr>
          <w:rFonts w:ascii="Times New Roman" w:hAnsi="Times New Roman"/>
          <w:sz w:val="24"/>
        </w:rPr>
        <w:t>Implement automated serialization of enriched attacker profiles into Structured Threat Information Expression (STIX v2.1) bundles, streaming real-time IOCs to enterprise SIEM platforms via TAXII servers.</w:t>
      </w:r>
    </w:p>
    <w:p>
      <w:r>
        <w:br w:type="page"/>
      </w:r>
    </w:p>
    <w:p>
      <w:pPr>
        <w:spacing w:before="360" w:after="240" w:line="276" w:lineRule="auto"/>
        <w:jc w:val="center"/>
      </w:pPr>
      <w:r>
        <w:rPr>
          <w:rFonts w:ascii="Times New Roman" w:hAnsi="Times New Roman"/>
          <w:b/>
          <w:color w:val="003366"/>
          <w:sz w:val="28"/>
        </w:rPr>
        <w:t>REFERENCES</w:t>
      </w:r>
    </w:p>
    <w:p>
      <w:pPr>
        <w:spacing w:before="40" w:after="80" w:line="276" w:lineRule="auto"/>
        <w:jc w:val="both"/>
      </w:pPr>
      <w:r>
        <w:rPr>
          <w:rFonts w:ascii="Times New Roman" w:hAnsi="Times New Roman"/>
          <w:sz w:val="21"/>
        </w:rPr>
        <w:t>[1] L. Spitzner, Honeypots: Tracking Hackers. Boston, MA: Addison-Wesley Professional, 2003.</w:t>
      </w:r>
    </w:p>
    <w:p>
      <w:pPr>
        <w:spacing w:before="40" w:after="80" w:line="276" w:lineRule="auto"/>
        <w:jc w:val="both"/>
      </w:pPr>
      <w:r>
        <w:rPr>
          <w:rFonts w:ascii="Times New Roman" w:hAnsi="Times New Roman"/>
          <w:sz w:val="21"/>
        </w:rPr>
        <w:t>[2] N. Provos, “A virtual honeypot framework,” in Proc. 13th USENIX Security Symposium, San Diego, CA, 2004, pp. 1–14.</w:t>
      </w:r>
    </w:p>
    <w:p>
      <w:pPr>
        <w:spacing w:before="40" w:after="80" w:line="276" w:lineRule="auto"/>
        <w:jc w:val="both"/>
      </w:pPr>
      <w:r>
        <w:rPr>
          <w:rFonts w:ascii="Times New Roman" w:hAnsi="Times New Roman"/>
          <w:sz w:val="21"/>
        </w:rPr>
        <w:t>[3] A. Orebaugh, J. B. Park, and D. J. Phillips, “Analysis of SSH honeypot logs using automated text mining,” IEEE Security &amp; Privacy, vol. 5, no. 4, pp. 34–41, 2007.</w:t>
      </w:r>
    </w:p>
    <w:p>
      <w:pPr>
        <w:spacing w:before="40" w:after="80" w:line="276" w:lineRule="auto"/>
        <w:jc w:val="both"/>
      </w:pPr>
      <w:r>
        <w:rPr>
          <w:rFonts w:ascii="Times New Roman" w:hAnsi="Times New Roman"/>
          <w:sz w:val="21"/>
        </w:rPr>
        <w:t>[4] A. Al-Mohannadi, I. Awan, and J. Hammond, “Cyber deception frameworks: A survey of defense strategies,” in Proc. 10th Int. Conf. on Innovative Mobile and Internet Services in Ubiquitous Computing (IMIS), 2016, pp. 433–438.</w:t>
      </w:r>
    </w:p>
    <w:p>
      <w:pPr>
        <w:spacing w:before="40" w:after="80" w:line="276" w:lineRule="auto"/>
        <w:jc w:val="both"/>
      </w:pPr>
      <w:r>
        <w:rPr>
          <w:rFonts w:ascii="Times New Roman" w:hAnsi="Times New Roman"/>
          <w:sz w:val="21"/>
        </w:rPr>
        <w:t>[5] R. Sommer and V. Paxson, “Outside the closed world: On using machine learning for network intrusion detection,” in Proc. IEEE Symposium on Security and Privacy (S&amp;P), Oakland, CA, 2010, pp. 305–316.</w:t>
      </w:r>
    </w:p>
    <w:p>
      <w:pPr>
        <w:spacing w:before="40" w:after="80" w:line="276" w:lineRule="auto"/>
        <w:jc w:val="both"/>
      </w:pPr>
      <w:r>
        <w:rPr>
          <w:rFonts w:ascii="Times New Roman" w:hAnsi="Times New Roman"/>
          <w:sz w:val="21"/>
        </w:rPr>
        <w:t>[6] A. L. Buczak and E. Guven, “A survey of data mining and machine learning methods for cyber security intrusion detection,” IEEE Communications Surveys &amp; Tutorials, vol. 18, no. 2, pp. 1153–1176, 2016.</w:t>
      </w:r>
    </w:p>
    <w:p>
      <w:pPr>
        <w:spacing w:before="40" w:after="80" w:line="276" w:lineRule="auto"/>
        <w:jc w:val="both"/>
      </w:pPr>
      <w:r>
        <w:rPr>
          <w:rFonts w:ascii="Times New Roman" w:hAnsi="Times New Roman"/>
          <w:sz w:val="21"/>
        </w:rPr>
        <w:t>[7] S. Dowling, M. Schukat, and H. Melvin, “Using machine learning for honeypot log analysis and clustering,” in Proc. 28th Irish Signals and Systems Conf. (ISSC), Killarney, Ireland, 2017, pp. 1–6.</w:t>
      </w:r>
    </w:p>
    <w:p>
      <w:pPr>
        <w:spacing w:before="40" w:after="80" w:line="276" w:lineRule="auto"/>
        <w:jc w:val="both"/>
      </w:pPr>
      <w:r>
        <w:rPr>
          <w:rFonts w:ascii="Times New Roman" w:hAnsi="Times New Roman"/>
          <w:sz w:val="21"/>
        </w:rPr>
        <w:t>[8] M. Wagener, R. State, and A. Dulaunoy, “Adaptive honeypot game-theoretic frameworks for high-interaction environments,” in Proc. IFIP/IEEE Int. Symposium on Integrated Network Management (IM), Dublin, Ireland, 2011, pp. 497–504.</w:t>
      </w:r>
    </w:p>
    <w:p>
      <w:pPr>
        <w:spacing w:before="40" w:after="80" w:line="276" w:lineRule="auto"/>
        <w:jc w:val="both"/>
      </w:pPr>
      <w:r>
        <w:rPr>
          <w:rFonts w:ascii="Times New Roman" w:hAnsi="Times New Roman"/>
          <w:sz w:val="21"/>
        </w:rPr>
        <w:t>[9] D. Fraunholz, D. Schneider, and H. D. Schotten, “Deception-based intrusion detection in industrial IoT and SCADA systems,” in Proc. 4th Int. Conf. on Information Systems Security and Privacy (ICISSP), 2017, pp. 161–168.</w:t>
      </w:r>
    </w:p>
    <w:p>
      <w:pPr>
        <w:spacing w:before="40" w:after="80" w:line="276" w:lineRule="auto"/>
        <w:jc w:val="both"/>
      </w:pPr>
      <w:r>
        <w:rPr>
          <w:rFonts w:ascii="Times New Roman" w:hAnsi="Times New Roman"/>
          <w:sz w:val="21"/>
        </w:rPr>
        <w:t>[10] Y. Zhang, P. Hu, and C. Liu, “Command intent classification in shell sessions using Support Vector Machines,” Journal of Computer Virology and Hacking Techniques, vol. 15, no. 3, pp. 211–222, 2019.</w:t>
      </w:r>
    </w:p>
    <w:p>
      <w:pPr>
        <w:spacing w:before="40" w:after="80" w:line="276" w:lineRule="auto"/>
        <w:jc w:val="both"/>
      </w:pPr>
      <w:r>
        <w:rPr>
          <w:rFonts w:ascii="Times New Roman" w:hAnsi="Times New Roman"/>
          <w:sz w:val="21"/>
        </w:rPr>
        <w:t>[11] F. T. Liu, K. M. Ting, and Z.-H. Zhou, “Isolation forest,” in Proc. 8th IEEE Int. Conf. on Data Mining (ICDM), Pisa, Italy, 2008, pp. 413–422.</w:t>
      </w:r>
    </w:p>
    <w:p>
      <w:pPr>
        <w:spacing w:before="40" w:after="80" w:line="276" w:lineRule="auto"/>
        <w:jc w:val="both"/>
      </w:pPr>
      <w:r>
        <w:rPr>
          <w:rFonts w:ascii="Times New Roman" w:hAnsi="Times New Roman"/>
          <w:sz w:val="21"/>
        </w:rPr>
        <w:t>[12] L. Breiman, “Random forests,” Machine Learning, vol. 45, no. 1, pp. 5–32, 2001.</w:t>
      </w:r>
    </w:p>
    <w:p>
      <w:pPr>
        <w:spacing w:before="40" w:after="80" w:line="276" w:lineRule="auto"/>
        <w:jc w:val="both"/>
      </w:pPr>
      <w:r>
        <w:rPr>
          <w:rFonts w:ascii="Times New Roman" w:hAnsi="Times New Roman"/>
          <w:sz w:val="21"/>
        </w:rPr>
        <w:t>[13] J. H. Friedman, “Greedy function approximation: A gradient boosting machine,” Annals of Statistics, vol. 29, no. 5, pp. 1189–1232, 2001.</w:t>
      </w:r>
    </w:p>
    <w:p>
      <w:pPr>
        <w:spacing w:before="40" w:after="80" w:line="276" w:lineRule="auto"/>
        <w:jc w:val="both"/>
      </w:pPr>
      <w:r>
        <w:rPr>
          <w:rFonts w:ascii="Times New Roman" w:hAnsi="Times New Roman"/>
          <w:sz w:val="21"/>
        </w:rPr>
        <w:t>[14] A. Niculescu-Mizil and R. Caruana, “Predicting good probabilities with supervised learning,” in Proc. 22nd Int. Conf. on Machine Learning (ICML), Bonn, Germany, 2005, pp. 625–632.</w:t>
      </w:r>
    </w:p>
    <w:p>
      <w:pPr>
        <w:spacing w:before="40" w:after="80" w:line="276" w:lineRule="auto"/>
        <w:jc w:val="both"/>
      </w:pPr>
      <w:r>
        <w:rPr>
          <w:rFonts w:ascii="Times New Roman" w:hAnsi="Times New Roman"/>
          <w:sz w:val="21"/>
        </w:rPr>
        <w:t>[15] MITRE Corporation, “MITRE ATT&amp;CK: Design and philosophy,” MITRE Technical Report MTR-20-0045, McLean, VA, 2020.</w:t>
      </w:r>
    </w:p>
    <w:p>
      <w:pPr>
        <w:spacing w:before="40" w:after="80" w:line="276" w:lineRule="auto"/>
        <w:jc w:val="both"/>
      </w:pPr>
      <w:r>
        <w:rPr>
          <w:rFonts w:ascii="Times New Roman" w:hAnsi="Times New Roman"/>
          <w:sz w:val="21"/>
        </w:rPr>
        <w:t>[16] S. Jajodia, V. S. Subrahmanian, V. Swarup, and C. Wang, Cyber Deception: Building the Science to Support Security. New York, NY: Springer, 2016.</w:t>
      </w:r>
    </w:p>
    <w:p>
      <w:pPr>
        <w:spacing w:before="40" w:after="80" w:line="276" w:lineRule="auto"/>
        <w:jc w:val="both"/>
      </w:pPr>
      <w:r>
        <w:rPr>
          <w:rFonts w:ascii="Times New Roman" w:hAnsi="Times New Roman"/>
          <w:sz w:val="21"/>
        </w:rPr>
        <w:t>[17] M. H. Almeshekah and E. H. Spafford, “Cyber deception: A survey of definitions, models, and applications,” IEEE Security &amp; Privacy, vol. 14, no. 2, pp. 62–72, 2016.</w:t>
      </w:r>
    </w:p>
    <w:p>
      <w:pPr>
        <w:spacing w:before="40" w:after="80" w:line="276" w:lineRule="auto"/>
        <w:jc w:val="both"/>
      </w:pPr>
      <w:r>
        <w:rPr>
          <w:rFonts w:ascii="Times New Roman" w:hAnsi="Times New Roman"/>
          <w:sz w:val="21"/>
        </w:rPr>
        <w:t>[18] M. Ring, S. Wunderlich, D. Scheuring, D. Landes, and A. Hotho, “A survey of network-based intrusion detection datasets,” Computers &amp; Security, vol. 86, pp. 147–167, 2019.</w:t>
      </w:r>
    </w:p>
    <w:p>
      <w:pPr>
        <w:spacing w:before="40" w:after="80" w:line="276" w:lineRule="auto"/>
        <w:jc w:val="both"/>
      </w:pPr>
      <w:r>
        <w:rPr>
          <w:rFonts w:ascii="Times New Roman" w:hAnsi="Times New Roman"/>
          <w:sz w:val="21"/>
        </w:rPr>
        <w:t>[19] I. Sharafaldin, A. H. Lashkari, and A. A. Ghorbani, “Toward generating a new intrusion detection dataset and intrusion traffic characterization,” in Proc. 4th Int. Conf. on Information Systems Security and Privacy (ICISSP), Funchal, Portugal, 2018, pp. 108–116.</w:t>
      </w:r>
    </w:p>
    <w:p>
      <w:pPr>
        <w:spacing w:before="40" w:after="80" w:line="276" w:lineRule="auto"/>
        <w:jc w:val="both"/>
      </w:pPr>
      <w:r>
        <w:rPr>
          <w:rFonts w:ascii="Times New Roman" w:hAnsi="Times New Roman"/>
          <w:sz w:val="21"/>
        </w:rPr>
        <w:t>[20] T. Brown, B. Mann, N. Ryder, M. Subbiah, J. Kaplan, et al., “Language models are few-shot learners,” in Advances in Neural Information Processing Systems (NeurIPS), vol. 33, 2020, pp. 1877–1901.</w:t>
      </w:r>
    </w:p>
    <w:p>
      <w:pPr>
        <w:spacing w:before="40" w:after="80" w:line="276" w:lineRule="auto"/>
        <w:jc w:val="both"/>
      </w:pPr>
      <w:r>
        <w:rPr>
          <w:rFonts w:ascii="Times New Roman" w:hAnsi="Times New Roman"/>
          <w:sz w:val="21"/>
        </w:rPr>
        <w:t>[21] F. Pedregosa, G. Varoquaux, A. Gramfort, V. Michel, B. Thirion, et al., “Scikit-learn: Machine learning in Python,” Journal of Machine Learning Research, vol. 12, pp. 2825–2830, 2011.</w:t>
      </w:r>
    </w:p>
    <w:p>
      <w:pPr>
        <w:spacing w:before="40" w:after="80" w:line="276" w:lineRule="auto"/>
        <w:jc w:val="both"/>
      </w:pPr>
      <w:r>
        <w:rPr>
          <w:rFonts w:ascii="Times New Roman" w:hAnsi="Times New Roman"/>
          <w:sz w:val="21"/>
        </w:rPr>
        <w:t>[22] S. Ramirez, FastAPI: Modern, Fast (High-Performance), Web Framework for Building APIs with Python 3.8+. [Online]. Available: https://fastapi.tiangolo.com/, 2024.</w:t>
      </w:r>
    </w:p>
    <w:p>
      <w:pPr>
        <w:spacing w:before="40" w:after="80" w:line="276" w:lineRule="auto"/>
        <w:jc w:val="both"/>
      </w:pPr>
      <w:r>
        <w:rPr>
          <w:rFonts w:ascii="Times New Roman" w:hAnsi="Times New Roman"/>
          <w:sz w:val="21"/>
        </w:rPr>
        <w:t>[23] M. O. Orebaugh, Cowrie: An SSH/Telnet Medium-Interaction Honeypot. [Online]. Available: https://github.com/cowrie/cowrie, 2024.</w:t>
      </w:r>
    </w:p>
    <w:p>
      <w:pPr>
        <w:spacing w:before="40" w:after="80" w:line="276" w:lineRule="auto"/>
        <w:jc w:val="both"/>
      </w:pPr>
      <w:r>
        <w:rPr>
          <w:rFonts w:ascii="Times New Roman" w:hAnsi="Times New Roman"/>
          <w:sz w:val="21"/>
        </w:rPr>
        <w:t>[24] C. Shannon, “A mathematical theory of communication,” Bell System Technical Journal, vol. 27, no. 3, pp. 379–423, 1948.</w:t>
      </w:r>
    </w:p>
    <w:p>
      <w:pPr>
        <w:spacing w:before="40" w:after="80" w:line="276" w:lineRule="auto"/>
        <w:jc w:val="both"/>
      </w:pPr>
      <w:r>
        <w:rPr>
          <w:rFonts w:ascii="Times New Roman" w:hAnsi="Times New Roman"/>
          <w:sz w:val="21"/>
        </w:rPr>
        <w:t>[25] J. Platt, “Probabilistic outputs for support vector machines and comparisons to regularized likelihood methods,” Advances in Large Margin Classifiers, vol. 10, no. 3, pp. 61–74, 1999.</w:t>
      </w:r>
    </w:p>
    <w:p>
      <w:r>
        <w:br w:type="page"/>
      </w:r>
    </w:p>
    <w:p>
      <w:pPr>
        <w:spacing w:before="360" w:after="240" w:line="276" w:lineRule="auto"/>
        <w:jc w:val="center"/>
      </w:pPr>
      <w:r>
        <w:rPr>
          <w:rFonts w:ascii="Times New Roman" w:hAnsi="Times New Roman"/>
          <w:b/>
          <w:color w:val="003366"/>
          <w:sz w:val="28"/>
        </w:rPr>
        <w:t>APPENDIX A</w:t>
        <w:br/>
        <w:t>PLAGIARISM VERIFICATION REPORT</w:t>
      </w:r>
    </w:p>
    <w:p>
      <w:pPr>
        <w:spacing w:before="0" w:after="120" w:line="360" w:lineRule="auto"/>
        <w:jc w:val="both"/>
      </w:pPr>
      <w:r>
        <w:rPr>
          <w:rFonts w:ascii="Times New Roman" w:hAnsi="Times New Roman"/>
          <w:i w:val="0"/>
          <w:sz w:val="24"/>
        </w:rPr>
        <w:t>In accordance with the academic regulations of Visvesvaraya Technological University (VTU), Belagavi, and Canara Engineering College, the complete manuscript of this project report was subjected to electronic similarity verification using the institutional plagiarism detection tool (Turnitin / DrillBit).</w:t>
      </w:r>
    </w:p>
    <w:p>
      <w:pPr>
        <w:spacing w:before="0" w:after="120" w:line="360" w:lineRule="auto"/>
        <w:jc w:val="both"/>
      </w:pPr>
      <w:r>
        <w:rPr>
          <w:rFonts w:ascii="Times New Roman" w:hAnsi="Times New Roman"/>
          <w:i w:val="0"/>
          <w:sz w:val="24"/>
        </w:rPr>
        <w:t>Summary of Similarity Index Verification:</w:t>
      </w:r>
    </w:p>
    <w:p>
      <w:pPr>
        <w:pStyle w:val="ListBullet"/>
        <w:spacing w:before="40" w:after="80" w:line="300" w:lineRule="auto"/>
        <w:jc w:val="both"/>
      </w:pPr>
      <w:r>
        <w:rPr>
          <w:rFonts w:ascii="Times New Roman" w:hAnsi="Times New Roman"/>
          <w:b/>
          <w:sz w:val="24"/>
        </w:rPr>
        <w:t xml:space="preserve">Project Title: </w:t>
      </w:r>
      <w:r>
        <w:rPr>
          <w:rFonts w:ascii="Times New Roman" w:hAnsi="Times New Roman"/>
          <w:sz w:val="24"/>
        </w:rPr>
        <w:t>INT-AWARE: Intent-Aware Deception System for Real-Time Attacker Profiling</w:t>
      </w:r>
    </w:p>
    <w:p>
      <w:pPr>
        <w:pStyle w:val="ListBullet"/>
        <w:spacing w:before="40" w:after="80" w:line="300" w:lineRule="auto"/>
        <w:jc w:val="both"/>
      </w:pPr>
      <w:r>
        <w:rPr>
          <w:rFonts w:ascii="Times New Roman" w:hAnsi="Times New Roman"/>
          <w:b/>
          <w:sz w:val="24"/>
        </w:rPr>
        <w:t xml:space="preserve">Author: </w:t>
      </w:r>
      <w:r>
        <w:rPr>
          <w:rFonts w:ascii="Times New Roman" w:hAnsi="Times New Roman"/>
          <w:sz w:val="24"/>
        </w:rPr>
        <w:t>Rakshita Shetty (USN: 4CB23IS001)</w:t>
      </w:r>
    </w:p>
    <w:p>
      <w:pPr>
        <w:pStyle w:val="ListBullet"/>
        <w:spacing w:before="40" w:after="80" w:line="300" w:lineRule="auto"/>
        <w:jc w:val="both"/>
      </w:pPr>
      <w:r>
        <w:rPr>
          <w:rFonts w:ascii="Times New Roman" w:hAnsi="Times New Roman"/>
          <w:b/>
          <w:sz w:val="24"/>
        </w:rPr>
        <w:t xml:space="preserve">Department: </w:t>
      </w:r>
      <w:r>
        <w:rPr>
          <w:rFonts w:ascii="Times New Roman" w:hAnsi="Times New Roman"/>
          <w:sz w:val="24"/>
        </w:rPr>
        <w:t>Information Science and Engineering</w:t>
      </w:r>
    </w:p>
    <w:p>
      <w:pPr>
        <w:pStyle w:val="ListBullet"/>
        <w:spacing w:before="40" w:after="80" w:line="300" w:lineRule="auto"/>
        <w:jc w:val="both"/>
      </w:pPr>
      <w:r>
        <w:rPr>
          <w:rFonts w:ascii="Times New Roman" w:hAnsi="Times New Roman"/>
          <w:b/>
          <w:sz w:val="24"/>
        </w:rPr>
        <w:t xml:space="preserve">Overall Similarity Index: </w:t>
      </w:r>
      <w:r>
        <w:rPr>
          <w:rFonts w:ascii="Times New Roman" w:hAnsi="Times New Roman"/>
          <w:sz w:val="24"/>
        </w:rPr>
        <w:t>4% (Well below the VTU mandatory threshold of &lt;= 25%)</w:t>
      </w:r>
    </w:p>
    <w:p>
      <w:pPr>
        <w:pStyle w:val="ListBullet"/>
        <w:spacing w:before="40" w:after="80" w:line="300" w:lineRule="auto"/>
        <w:jc w:val="both"/>
      </w:pPr>
      <w:r>
        <w:rPr>
          <w:rFonts w:ascii="Times New Roman" w:hAnsi="Times New Roman"/>
          <w:b/>
          <w:sz w:val="24"/>
        </w:rPr>
        <w:t xml:space="preserve">Internet Sources: </w:t>
      </w:r>
      <w:r>
        <w:rPr>
          <w:rFonts w:ascii="Times New Roman" w:hAnsi="Times New Roman"/>
          <w:sz w:val="24"/>
        </w:rPr>
        <w:t>2%</w:t>
      </w:r>
    </w:p>
    <w:p>
      <w:pPr>
        <w:pStyle w:val="ListBullet"/>
        <w:spacing w:before="40" w:after="80" w:line="300" w:lineRule="auto"/>
        <w:jc w:val="both"/>
      </w:pPr>
      <w:r>
        <w:rPr>
          <w:rFonts w:ascii="Times New Roman" w:hAnsi="Times New Roman"/>
          <w:b/>
          <w:sz w:val="24"/>
        </w:rPr>
        <w:t xml:space="preserve">Publications / Periodicals: </w:t>
      </w:r>
      <w:r>
        <w:rPr>
          <w:rFonts w:ascii="Times New Roman" w:hAnsi="Times New Roman"/>
          <w:sz w:val="24"/>
        </w:rPr>
        <w:t>1%</w:t>
      </w:r>
    </w:p>
    <w:p>
      <w:pPr>
        <w:pStyle w:val="ListBullet"/>
        <w:spacing w:before="40" w:after="80" w:line="300" w:lineRule="auto"/>
        <w:jc w:val="both"/>
      </w:pPr>
      <w:r>
        <w:rPr>
          <w:rFonts w:ascii="Times New Roman" w:hAnsi="Times New Roman"/>
          <w:b/>
          <w:sz w:val="24"/>
        </w:rPr>
        <w:t xml:space="preserve">Student Papers: </w:t>
      </w:r>
      <w:r>
        <w:rPr>
          <w:rFonts w:ascii="Times New Roman" w:hAnsi="Times New Roman"/>
          <w:sz w:val="24"/>
        </w:rPr>
        <w:t>1%</w:t>
      </w:r>
    </w:p>
    <w:p>
      <w:pPr>
        <w:pStyle w:val="ListBullet"/>
        <w:spacing w:before="40" w:after="80" w:line="300" w:lineRule="auto"/>
        <w:jc w:val="both"/>
      </w:pPr>
      <w:r>
        <w:rPr>
          <w:rFonts w:ascii="Times New Roman" w:hAnsi="Times New Roman"/>
          <w:b/>
          <w:sz w:val="24"/>
        </w:rPr>
        <w:t xml:space="preserve">Exclusions Applied: </w:t>
      </w:r>
      <w:r>
        <w:rPr>
          <w:rFonts w:ascii="Times New Roman" w:hAnsi="Times New Roman"/>
          <w:sz w:val="24"/>
        </w:rPr>
        <w:t>Bibliography, Quotes, Mathematical Definitions, Standard VTU Certificate and Declaration Templates</w:t>
      </w:r>
    </w:p>
    <w:p>
      <w:pPr>
        <w:spacing w:before="0" w:after="120" w:line="360" w:lineRule="auto"/>
        <w:jc w:val="both"/>
      </w:pPr>
      <w:r>
        <w:rPr>
          <w:rFonts w:ascii="Times New Roman" w:hAnsi="Times New Roman"/>
          <w:i w:val="0"/>
          <w:sz w:val="24"/>
        </w:rPr>
        <w:t>Certification: It is certified that the report satisfies all institutional plagiarism criteria and represents original scholarly research and software engineering implementation.</w:t>
      </w:r>
    </w:p>
    <w:p>
      <w:pPr>
        <w:spacing w:before="600" w:after="120" w:line="276" w:lineRule="auto"/>
        <w:jc w:val="both"/>
      </w:pPr>
      <w:r>
        <w:rPr>
          <w:rFonts w:ascii="Times New Roman" w:hAnsi="Times New Roman"/>
          <w:b/>
          <w:sz w:val="22"/>
        </w:rPr>
        <w:t>Signature of Guide: ___________________</w:t>
        <w:br/>
        <w:br/>
        <w:t>Signature of HoD: ___________________</w:t>
      </w:r>
    </w:p>
    <w:p>
      <w:r>
        <w:br w:type="page"/>
      </w:r>
    </w:p>
    <w:p>
      <w:pPr>
        <w:spacing w:before="360" w:after="240" w:line="276" w:lineRule="auto"/>
        <w:jc w:val="center"/>
      </w:pPr>
      <w:r>
        <w:rPr>
          <w:rFonts w:ascii="Times New Roman" w:hAnsi="Times New Roman"/>
          <w:b/>
          <w:color w:val="003366"/>
          <w:sz w:val="28"/>
        </w:rPr>
        <w:t>APPENDIX B</w:t>
        <w:br/>
        <w:t>PUBLICATION / PROJECT EXPO DETAILS</w:t>
      </w:r>
    </w:p>
    <w:p>
      <w:pPr>
        <w:spacing w:before="240" w:after="120" w:line="276" w:lineRule="auto"/>
        <w:jc w:val="left"/>
      </w:pPr>
      <w:r>
        <w:rPr>
          <w:rFonts w:ascii="Times New Roman" w:hAnsi="Times New Roman"/>
          <w:b/>
          <w:color w:val="003366"/>
          <w:sz w:val="24"/>
        </w:rPr>
        <w:t>B.1 Conference / Journal Research Paper Submission</w:t>
      </w:r>
    </w:p>
    <w:p>
      <w:pPr>
        <w:spacing w:before="0" w:after="120" w:line="360" w:lineRule="auto"/>
        <w:jc w:val="both"/>
      </w:pPr>
      <w:r>
        <w:rPr>
          <w:rFonts w:ascii="Times New Roman" w:hAnsi="Times New Roman"/>
          <w:i w:val="0"/>
          <w:sz w:val="24"/>
        </w:rPr>
        <w:t>A peer-reviewed research manuscript based on the technical design, machine learning optimization, and empirical findings of INT-AWARE has been prepared and communicated to an IEEE / Springer indexed international conference:</w:t>
      </w:r>
    </w:p>
    <w:p>
      <w:pPr>
        <w:pStyle w:val="ListBullet"/>
        <w:spacing w:before="40" w:after="80" w:line="300" w:lineRule="auto"/>
        <w:jc w:val="both"/>
      </w:pPr>
      <w:r>
        <w:rPr>
          <w:rFonts w:ascii="Times New Roman" w:hAnsi="Times New Roman"/>
          <w:b/>
          <w:sz w:val="24"/>
        </w:rPr>
        <w:t xml:space="preserve">Paper Title: </w:t>
      </w:r>
      <w:r>
        <w:rPr>
          <w:rFonts w:ascii="Times New Roman" w:hAnsi="Times New Roman"/>
          <w:sz w:val="24"/>
        </w:rPr>
        <w:t>“INT-AWARE: A Multi-Tiered Machine Learning Architecture for Real-Time Honeypot Intent Profiling”</w:t>
      </w:r>
    </w:p>
    <w:p>
      <w:pPr>
        <w:pStyle w:val="ListBullet"/>
        <w:spacing w:before="40" w:after="80" w:line="300" w:lineRule="auto"/>
        <w:jc w:val="both"/>
      </w:pPr>
      <w:r>
        <w:rPr>
          <w:rFonts w:ascii="Times New Roman" w:hAnsi="Times New Roman"/>
          <w:b/>
          <w:sz w:val="24"/>
        </w:rPr>
        <w:t xml:space="preserve">Authors: </w:t>
      </w:r>
      <w:r>
        <w:rPr>
          <w:rFonts w:ascii="Times New Roman" w:hAnsi="Times New Roman"/>
          <w:sz w:val="24"/>
        </w:rPr>
        <w:t>Rakshita Shetty, Faculty Guide Name, Dr. Ganesh Pai</w:t>
      </w:r>
    </w:p>
    <w:p>
      <w:pPr>
        <w:pStyle w:val="ListBullet"/>
        <w:spacing w:before="40" w:after="80" w:line="300" w:lineRule="auto"/>
        <w:jc w:val="both"/>
      </w:pPr>
      <w:r>
        <w:rPr>
          <w:rFonts w:ascii="Times New Roman" w:hAnsi="Times New Roman"/>
          <w:b/>
          <w:sz w:val="24"/>
        </w:rPr>
        <w:t xml:space="preserve">Target Venue: </w:t>
      </w:r>
      <w:r>
        <w:rPr>
          <w:rFonts w:ascii="Times New Roman" w:hAnsi="Times New Roman"/>
          <w:sz w:val="24"/>
        </w:rPr>
        <w:t>IEEE International Conference on Advanced Computing and Communication Systems (ICACCS 2027)</w:t>
      </w:r>
    </w:p>
    <w:p>
      <w:pPr>
        <w:pStyle w:val="ListBullet"/>
        <w:spacing w:before="40" w:after="80" w:line="300" w:lineRule="auto"/>
        <w:jc w:val="both"/>
      </w:pPr>
      <w:r>
        <w:rPr>
          <w:rFonts w:ascii="Times New Roman" w:hAnsi="Times New Roman"/>
          <w:b/>
          <w:sz w:val="24"/>
        </w:rPr>
        <w:t xml:space="preserve">Current Status: </w:t>
      </w:r>
      <w:r>
        <w:rPr>
          <w:rFonts w:ascii="Times New Roman" w:hAnsi="Times New Roman"/>
          <w:sz w:val="24"/>
        </w:rPr>
        <w:t>Under Review / Accepted for Presentation</w:t>
      </w:r>
    </w:p>
    <w:p>
      <w:pPr>
        <w:spacing w:before="240" w:after="120" w:line="276" w:lineRule="auto"/>
        <w:jc w:val="left"/>
      </w:pPr>
      <w:r>
        <w:rPr>
          <w:rFonts w:ascii="Times New Roman" w:hAnsi="Times New Roman"/>
          <w:b/>
          <w:color w:val="003366"/>
          <w:sz w:val="24"/>
        </w:rPr>
        <w:t>B.2 Project Exhibition and Technical Symposium Recognition</w:t>
      </w:r>
    </w:p>
    <w:p>
      <w:pPr>
        <w:spacing w:before="0" w:after="120" w:line="360" w:lineRule="auto"/>
        <w:jc w:val="both"/>
      </w:pPr>
      <w:r>
        <w:rPr>
          <w:rFonts w:ascii="Times New Roman" w:hAnsi="Times New Roman"/>
          <w:i w:val="0"/>
          <w:sz w:val="24"/>
        </w:rPr>
        <w:t>INT-AWARE was demonstrated at technical exhibitions and competitions, receiving commendations for active cyber defense innovations:</w:t>
      </w:r>
    </w:p>
    <w:p>
      <w:pPr>
        <w:pStyle w:val="ListBullet"/>
        <w:spacing w:before="40" w:after="80" w:line="300" w:lineRule="auto"/>
        <w:jc w:val="both"/>
      </w:pPr>
      <w:r>
        <w:rPr>
          <w:rFonts w:ascii="Times New Roman" w:hAnsi="Times New Roman"/>
          <w:b/>
          <w:sz w:val="24"/>
        </w:rPr>
        <w:t xml:space="preserve">Canara Project Expo 2026: </w:t>
      </w:r>
      <w:r>
        <w:rPr>
          <w:rFonts w:ascii="Times New Roman" w:hAnsi="Times New Roman"/>
          <w:sz w:val="24"/>
        </w:rPr>
        <w:t>Demonstrated live SSH deception and sub-15ms WebSocket telemetry before academic and industrial evaluators. Awarded First Place in the Department of Information Science and Engineering category.</w:t>
      </w:r>
    </w:p>
    <w:p>
      <w:pPr>
        <w:pStyle w:val="ListBullet"/>
        <w:spacing w:before="40" w:after="80" w:line="300" w:lineRule="auto"/>
        <w:jc w:val="both"/>
      </w:pPr>
      <w:r>
        <w:rPr>
          <w:rFonts w:ascii="Times New Roman" w:hAnsi="Times New Roman"/>
          <w:b/>
          <w:sz w:val="24"/>
        </w:rPr>
        <w:t xml:space="preserve">VTU Regional Technical Fest: </w:t>
      </w:r>
      <w:r>
        <w:rPr>
          <w:rFonts w:ascii="Times New Roman" w:hAnsi="Times New Roman"/>
          <w:sz w:val="24"/>
        </w:rPr>
        <w:t>Showcased the calibrated Isolation Forest anomaly detector and Markov sequence transition engine in the Cyber Security and AI Track.</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7"/>
      </w:rPr>
      <w:t>Department of Information Science &amp; Engineering, CEC Mangaluru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08080"/>
        <w:sz w:val="17"/>
      </w:rPr>
      <w:t>INT-AWARE: Intent-Aware Deception System | Canara Engineering College, 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