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A4A"/>
          <w:sz w:val="44"/>
        </w:rPr>
        <w:t>Product Requirements Document (PRD) &amp;</w:t>
        <w:br/>
        <w:t>Technical Architecture Specification</w:t>
      </w:r>
    </w:p>
    <w:p>
      <w:pPr>
        <w:spacing w:before="40" w:after="280"/>
      </w:pPr>
      <w:r>
        <w:rPr>
          <w:rFonts w:ascii="Calibri" w:hAnsi="Calibri"/>
          <w:color w:val="2563EB"/>
          <w:sz w:val="24"/>
        </w:rPr>
        <w:t>Project: CRM Sales AI Platform | Release Version: 1.0 Enterprise</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484"/>
        <w:gridCol w:w="2484"/>
        <w:gridCol w:w="2484"/>
        <w:gridCol w:w="2484"/>
      </w:tblGrid>
      <w:tr>
        <w:tc>
          <w:tcPr>
            <w:tcW w:type="dxa" w:w="2160"/>
            <w:shd w:fill="1E3A8A"/>
            <w:tcMar>
              <w:top w:w="100" w:type="dxa"/>
              <w:bottom w:w="100" w:type="dxa"/>
              <w:left w:w="120" w:type="dxa"/>
              <w:right w:w="120" w:type="dxa"/>
            </w:tcMar>
          </w:tcPr>
          <w:p>
            <w:pPr>
              <w:jc w:val="left"/>
            </w:pPr>
            <w:r>
              <w:rPr>
                <w:rFonts w:ascii="Calibri" w:hAnsi="Calibri"/>
                <w:b/>
                <w:color w:val="FFFFFF"/>
                <w:sz w:val="20"/>
              </w:rPr>
              <w:t>Document Version</w:t>
            </w:r>
          </w:p>
        </w:tc>
        <w:tc>
          <w:tcPr>
            <w:tcW w:type="dxa" w:w="3312"/>
            <w:shd w:fill="1E3A8A"/>
            <w:tcMar>
              <w:top w:w="100" w:type="dxa"/>
              <w:bottom w:w="100" w:type="dxa"/>
              <w:left w:w="120" w:type="dxa"/>
              <w:right w:w="120" w:type="dxa"/>
            </w:tcMar>
          </w:tcPr>
          <w:p>
            <w:pPr>
              <w:jc w:val="left"/>
            </w:pPr>
            <w:r>
              <w:rPr>
                <w:rFonts w:ascii="Calibri" w:hAnsi="Calibri"/>
                <w:b/>
                <w:color w:val="FFFFFF"/>
                <w:sz w:val="20"/>
              </w:rPr>
              <w:t>Product Scope</w:t>
            </w:r>
          </w:p>
        </w:tc>
        <w:tc>
          <w:tcPr>
            <w:tcW w:type="dxa" w:w="2880"/>
            <w:shd w:fill="1E3A8A"/>
            <w:tcMar>
              <w:top w:w="100" w:type="dxa"/>
              <w:bottom w:w="100" w:type="dxa"/>
              <w:left w:w="120" w:type="dxa"/>
              <w:right w:w="120" w:type="dxa"/>
            </w:tcMar>
          </w:tcPr>
          <w:p>
            <w:pPr>
              <w:jc w:val="left"/>
            </w:pPr>
            <w:r>
              <w:rPr>
                <w:rFonts w:ascii="Calibri" w:hAnsi="Calibri"/>
                <w:b/>
                <w:color w:val="FFFFFF"/>
                <w:sz w:val="20"/>
              </w:rPr>
              <w:t>Target Audience</w:t>
            </w:r>
          </w:p>
        </w:tc>
        <w:tc>
          <w:tcPr>
            <w:tcW w:type="dxa" w:w="1728"/>
            <w:shd w:fill="1E3A8A"/>
            <w:tcMar>
              <w:top w:w="100" w:type="dxa"/>
              <w:bottom w:w="100" w:type="dxa"/>
              <w:left w:w="120" w:type="dxa"/>
              <w:right w:w="120" w:type="dxa"/>
            </w:tcMar>
          </w:tcPr>
          <w:p>
            <w:pPr>
              <w:jc w:val="left"/>
            </w:pPr>
            <w:r>
              <w:rPr>
                <w:rFonts w:ascii="Calibri" w:hAnsi="Calibri"/>
                <w:b/>
                <w:color w:val="FFFFFF"/>
                <w:sz w:val="20"/>
              </w:rPr>
              <w:t>Status</w:t>
            </w:r>
          </w:p>
        </w:tc>
      </w:tr>
      <w:tr>
        <w:tc>
          <w:tcPr>
            <w:tcW w:type="dxa" w:w="2160"/>
            <w:shd w:fill="FFFFFF"/>
            <w:tcMar>
              <w:top w:w="80" w:type="dxa"/>
              <w:bottom w:w="80" w:type="dxa"/>
              <w:left w:w="120" w:type="dxa"/>
              <w:right w:w="120" w:type="dxa"/>
            </w:tcMar>
          </w:tcPr>
          <w:p>
            <w:pPr>
              <w:jc w:val="left"/>
            </w:pPr>
            <w:r>
              <w:rPr>
                <w:rFonts w:ascii="Calibri" w:hAnsi="Calibri"/>
                <w:color w:val="1E293B"/>
                <w:sz w:val="19"/>
              </w:rPr>
              <w:t>v1.0 (Enterprise PRD + TAD)</w:t>
            </w:r>
          </w:p>
        </w:tc>
        <w:tc>
          <w:tcPr>
            <w:tcW w:type="dxa" w:w="3312"/>
            <w:shd w:fill="FFFFFF"/>
            <w:tcMar>
              <w:top w:w="80" w:type="dxa"/>
              <w:bottom w:w="80" w:type="dxa"/>
              <w:left w:w="120" w:type="dxa"/>
              <w:right w:w="120" w:type="dxa"/>
            </w:tcMar>
          </w:tcPr>
          <w:p>
            <w:pPr>
              <w:jc w:val="left"/>
            </w:pPr>
            <w:r>
              <w:rPr>
                <w:rFonts w:ascii="Calibri" w:hAnsi="Calibri"/>
                <w:color w:val="1E293B"/>
                <w:sz w:val="19"/>
              </w:rPr>
              <w:t>AI-Powered B2B CRM Sales Copilot</w:t>
            </w:r>
          </w:p>
        </w:tc>
        <w:tc>
          <w:tcPr>
            <w:tcW w:type="dxa" w:w="2880"/>
            <w:shd w:fill="FFFFFF"/>
            <w:tcMar>
              <w:top w:w="80" w:type="dxa"/>
              <w:bottom w:w="80" w:type="dxa"/>
              <w:left w:w="120" w:type="dxa"/>
              <w:right w:w="120" w:type="dxa"/>
            </w:tcMar>
          </w:tcPr>
          <w:p>
            <w:pPr>
              <w:jc w:val="left"/>
            </w:pPr>
            <w:r>
              <w:rPr>
                <w:rFonts w:ascii="Calibri" w:hAnsi="Calibri"/>
                <w:color w:val="1E293B"/>
                <w:sz w:val="19"/>
              </w:rPr>
              <w:t>Product, Engineering, Sales Ops, Leadership</w:t>
            </w:r>
          </w:p>
        </w:tc>
        <w:tc>
          <w:tcPr>
            <w:tcW w:type="dxa" w:w="1728"/>
            <w:shd w:fill="FFFFFF"/>
            <w:tcMar>
              <w:top w:w="80" w:type="dxa"/>
              <w:bottom w:w="80" w:type="dxa"/>
              <w:left w:w="120" w:type="dxa"/>
              <w:right w:w="120" w:type="dxa"/>
            </w:tcMar>
          </w:tcPr>
          <w:p>
            <w:pPr>
              <w:jc w:val="left"/>
            </w:pPr>
            <w:r>
              <w:rPr>
                <w:rFonts w:ascii="Calibri" w:hAnsi="Calibri"/>
                <w:color w:val="1E293B"/>
                <w:sz w:val="19"/>
              </w:rPr>
              <w:t>Approved for Review</w:t>
            </w:r>
          </w:p>
        </w:tc>
      </w:tr>
    </w:tbl>
    <w:p>
      <w:pPr>
        <w:spacing w:after="120"/>
      </w:pPr>
    </w:p>
    <w:p>
      <w:pPr>
        <w:keepNext/>
        <w:spacing w:before="360" w:after="120"/>
      </w:pPr>
      <w:r>
        <w:rPr>
          <w:rFonts w:ascii="Calibri" w:hAnsi="Calibri"/>
          <w:b/>
          <w:color w:val="0F2A4A"/>
          <w:sz w:val="32"/>
        </w:rPr>
        <w:t>1. Executive Summary &amp; Business Justification</w:t>
      </w:r>
    </w:p>
    <w:p>
      <w:pPr>
        <w:spacing w:before="0" w:after="120" w:line="276" w:lineRule="auto"/>
      </w:pPr>
      <w:r>
        <w:rPr>
          <w:rFonts w:ascii="Calibri" w:hAnsi="Calibri"/>
          <w:b/>
          <w:color w:val="0F172A"/>
          <w:sz w:val="21"/>
        </w:rPr>
        <w:t xml:space="preserve">The Business Problem: </w:t>
      </w:r>
      <w:r>
        <w:rPr>
          <w:rFonts w:ascii="Calibri" w:hAnsi="Calibri"/>
          <w:color w:val="334155"/>
          <w:sz w:val="21"/>
        </w:rPr>
        <w:t>Modern enterprise sales professionals spend as much as 30% to 40% of their working hours trapped in administrative overhead: logging calls, manually transcribing meeting takeaways, searching through fragmented email threads, updating stages, and guessing at pipeline risk. This administrative burden directly impacts revenue—stalling active deals and causing deal slippage across quarters.</w:t>
      </w:r>
    </w:p>
    <w:p>
      <w:pPr>
        <w:spacing w:before="0" w:after="120" w:line="276" w:lineRule="auto"/>
      </w:pPr>
      <w:r>
        <w:rPr>
          <w:rFonts w:ascii="Calibri" w:hAnsi="Calibri"/>
          <w:b/>
          <w:color w:val="0F172A"/>
          <w:sz w:val="21"/>
        </w:rPr>
        <w:t xml:space="preserve">The Solution: </w:t>
      </w:r>
      <w:r>
        <w:rPr>
          <w:rFonts w:ascii="Calibri" w:hAnsi="Calibri"/>
          <w:color w:val="334155"/>
          <w:sz w:val="21"/>
        </w:rPr>
        <w:t>The CRM Sales AI Platform transforms passive CRM databases into an active, intelligent partner. By combining an Enterprise LLM Gateway, Permission-Aware Retrieval-Augmented Generation (RAG), and deterministic tool invocation, the platform provides proactive pipeline risk detection, automated pre-call briefings, context-aware email drafting, and audited CRM record synchronization.</w:t>
      </w:r>
    </w:p>
    <w:p>
      <w:pPr>
        <w:spacing w:before="0" w:after="120" w:line="276" w:lineRule="auto"/>
      </w:pPr>
      <w:r>
        <w:rPr>
          <w:rFonts w:ascii="Calibri" w:hAnsi="Calibri"/>
          <w:b/>
          <w:color w:val="0F172A"/>
          <w:sz w:val="21"/>
        </w:rPr>
        <w:t xml:space="preserve">Enterprise Safeguards: </w:t>
      </w:r>
      <w:r>
        <w:rPr>
          <w:rFonts w:ascii="Calibri" w:hAnsi="Calibri"/>
          <w:color w:val="334155"/>
          <w:sz w:val="21"/>
        </w:rPr>
        <w:t>Unlike generic generative AI assistants, this system is deeply enterprise-grounded. It executes actions under strict Role-Based Access Controls (RBAC), enforces hard human approval gates for critical actions (e.g., pricing, contract revisions, and outbound communications), and logs every tool invocation for continuous auditability.</w:t>
      </w:r>
    </w:p>
    <w:p>
      <w:pPr>
        <w:keepNext/>
        <w:spacing w:before="360" w:after="120"/>
      </w:pPr>
      <w:r>
        <w:rPr>
          <w:rFonts w:ascii="Calibri" w:hAnsi="Calibri"/>
          <w:b/>
          <w:color w:val="0F2A4A"/>
          <w:sz w:val="32"/>
        </w:rPr>
        <w:t>2. Target User Personas &amp; Pain Points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484"/>
        <w:gridCol w:w="2484"/>
        <w:gridCol w:w="2484"/>
        <w:gridCol w:w="2484"/>
      </w:tblGrid>
      <w:tr>
        <w:tc>
          <w:tcPr>
            <w:tcW w:type="dxa" w:w="1872"/>
            <w:shd w:fill="1E3A8A"/>
            <w:tcMar>
              <w:top w:w="100" w:type="dxa"/>
              <w:bottom w:w="100" w:type="dxa"/>
              <w:left w:w="120" w:type="dxa"/>
              <w:right w:w="120" w:type="dxa"/>
            </w:tcMar>
          </w:tcPr>
          <w:p>
            <w:pPr>
              <w:jc w:val="left"/>
            </w:pPr>
            <w:r>
              <w:rPr>
                <w:rFonts w:ascii="Calibri" w:hAnsi="Calibri"/>
                <w:b/>
                <w:color w:val="FFFFFF"/>
                <w:sz w:val="20"/>
              </w:rPr>
              <w:t>Persona</w:t>
            </w:r>
          </w:p>
        </w:tc>
        <w:tc>
          <w:tcPr>
            <w:tcW w:type="dxa" w:w="2304"/>
            <w:shd w:fill="1E3A8A"/>
            <w:tcMar>
              <w:top w:w="100" w:type="dxa"/>
              <w:bottom w:w="100" w:type="dxa"/>
              <w:left w:w="120" w:type="dxa"/>
              <w:right w:w="120" w:type="dxa"/>
            </w:tcMar>
          </w:tcPr>
          <w:p>
            <w:pPr>
              <w:jc w:val="left"/>
            </w:pPr>
            <w:r>
              <w:rPr>
                <w:rFonts w:ascii="Calibri" w:hAnsi="Calibri"/>
                <w:b/>
                <w:color w:val="FFFFFF"/>
                <w:sz w:val="20"/>
              </w:rPr>
              <w:t>Core Responsibilities</w:t>
            </w:r>
          </w:p>
        </w:tc>
        <w:tc>
          <w:tcPr>
            <w:tcW w:type="dxa" w:w="2592"/>
            <w:shd w:fill="1E3A8A"/>
            <w:tcMar>
              <w:top w:w="100" w:type="dxa"/>
              <w:bottom w:w="100" w:type="dxa"/>
              <w:left w:w="120" w:type="dxa"/>
              <w:right w:w="120" w:type="dxa"/>
            </w:tcMar>
          </w:tcPr>
          <w:p>
            <w:pPr>
              <w:jc w:val="left"/>
            </w:pPr>
            <w:r>
              <w:rPr>
                <w:rFonts w:ascii="Calibri" w:hAnsi="Calibri"/>
                <w:b/>
                <w:color w:val="FFFFFF"/>
                <w:sz w:val="20"/>
              </w:rPr>
              <w:t>Primary Pain Points</w:t>
            </w:r>
          </w:p>
        </w:tc>
        <w:tc>
          <w:tcPr>
            <w:tcW w:type="dxa" w:w="2880"/>
            <w:shd w:fill="1E3A8A"/>
            <w:tcMar>
              <w:top w:w="100" w:type="dxa"/>
              <w:bottom w:w="100" w:type="dxa"/>
              <w:left w:w="120" w:type="dxa"/>
              <w:right w:w="120" w:type="dxa"/>
            </w:tcMar>
          </w:tcPr>
          <w:p>
            <w:pPr>
              <w:jc w:val="left"/>
            </w:pPr>
            <w:r>
              <w:rPr>
                <w:rFonts w:ascii="Calibri" w:hAnsi="Calibri"/>
                <w:b/>
                <w:color w:val="FFFFFF"/>
                <w:sz w:val="20"/>
              </w:rPr>
              <w:t>Key AI Copilot Capabilities</w:t>
            </w:r>
          </w:p>
        </w:tc>
      </w:tr>
      <w:tr>
        <w:tc>
          <w:tcPr>
            <w:tcW w:type="dxa" w:w="1872"/>
            <w:shd w:fill="FFFFFF"/>
            <w:tcMar>
              <w:top w:w="80" w:type="dxa"/>
              <w:bottom w:w="80" w:type="dxa"/>
              <w:left w:w="120" w:type="dxa"/>
              <w:right w:w="120" w:type="dxa"/>
            </w:tcMar>
          </w:tcPr>
          <w:p>
            <w:pPr>
              <w:jc w:val="left"/>
            </w:pPr>
            <w:r>
              <w:rPr>
                <w:rFonts w:ascii="Calibri" w:hAnsi="Calibri"/>
                <w:color w:val="1E293B"/>
                <w:sz w:val="19"/>
              </w:rPr>
              <w:t>Account Executive (AE)</w:t>
            </w:r>
          </w:p>
        </w:tc>
        <w:tc>
          <w:tcPr>
            <w:tcW w:type="dxa" w:w="2304"/>
            <w:shd w:fill="FFFFFF"/>
            <w:tcMar>
              <w:top w:w="80" w:type="dxa"/>
              <w:bottom w:w="80" w:type="dxa"/>
              <w:left w:w="120" w:type="dxa"/>
              <w:right w:w="120" w:type="dxa"/>
            </w:tcMar>
          </w:tcPr>
          <w:p>
            <w:pPr>
              <w:jc w:val="left"/>
            </w:pPr>
            <w:r>
              <w:rPr>
                <w:rFonts w:ascii="Calibri" w:hAnsi="Calibri"/>
                <w:color w:val="1E293B"/>
                <w:sz w:val="19"/>
              </w:rPr>
              <w:t>Closing mid-market &amp; enterprise pipeline; negotiating contracts and managing client relationships.</w:t>
            </w:r>
          </w:p>
        </w:tc>
        <w:tc>
          <w:tcPr>
            <w:tcW w:type="dxa" w:w="2592"/>
            <w:shd w:fill="FFFFFF"/>
            <w:tcMar>
              <w:top w:w="80" w:type="dxa"/>
              <w:bottom w:w="80" w:type="dxa"/>
              <w:left w:w="120" w:type="dxa"/>
              <w:right w:w="120" w:type="dxa"/>
            </w:tcMar>
          </w:tcPr>
          <w:p>
            <w:pPr>
              <w:jc w:val="left"/>
            </w:pPr>
            <w:r>
              <w:rPr>
                <w:rFonts w:ascii="Calibri" w:hAnsi="Calibri"/>
                <w:color w:val="1E293B"/>
                <w:sz w:val="19"/>
              </w:rPr>
              <w:t>Spends 45+ minutes prepping for each prospect meeting; struggles to spot stalled deals across 30+ opportunities.</w:t>
            </w:r>
          </w:p>
        </w:tc>
        <w:tc>
          <w:tcPr>
            <w:tcW w:type="dxa" w:w="2880"/>
            <w:shd w:fill="FFFFFF"/>
            <w:tcMar>
              <w:top w:w="80" w:type="dxa"/>
              <w:bottom w:w="80" w:type="dxa"/>
              <w:left w:w="120" w:type="dxa"/>
              <w:right w:w="120" w:type="dxa"/>
            </w:tcMar>
          </w:tcPr>
          <w:p>
            <w:pPr>
              <w:jc w:val="left"/>
            </w:pPr>
            <w:r>
              <w:rPr>
                <w:rFonts w:ascii="Calibri" w:hAnsi="Calibri"/>
                <w:color w:val="1E293B"/>
                <w:sz w:val="19"/>
              </w:rPr>
              <w:t>Automated account briefing, risk &amp; stagnation alerts, contextual follow-up drafting, one-click meeting logging.</w:t>
            </w:r>
          </w:p>
        </w:tc>
      </w:tr>
      <w:tr>
        <w:tc>
          <w:tcPr>
            <w:tcW w:type="dxa" w:w="1872"/>
            <w:shd w:fill="F8FAFC"/>
            <w:tcMar>
              <w:top w:w="80" w:type="dxa"/>
              <w:bottom w:w="80" w:type="dxa"/>
              <w:left w:w="120" w:type="dxa"/>
              <w:right w:w="120" w:type="dxa"/>
            </w:tcMar>
          </w:tcPr>
          <w:p>
            <w:pPr>
              <w:jc w:val="left"/>
            </w:pPr>
            <w:r>
              <w:rPr>
                <w:rFonts w:ascii="Calibri" w:hAnsi="Calibri"/>
                <w:color w:val="1E293B"/>
                <w:sz w:val="19"/>
              </w:rPr>
              <w:t>Sales Development Rep (SDR)</w:t>
            </w:r>
          </w:p>
        </w:tc>
        <w:tc>
          <w:tcPr>
            <w:tcW w:type="dxa" w:w="2304"/>
            <w:shd w:fill="F8FAFC"/>
            <w:tcMar>
              <w:top w:w="80" w:type="dxa"/>
              <w:bottom w:w="80" w:type="dxa"/>
              <w:left w:w="120" w:type="dxa"/>
              <w:right w:w="120" w:type="dxa"/>
            </w:tcMar>
          </w:tcPr>
          <w:p>
            <w:pPr>
              <w:jc w:val="left"/>
            </w:pPr>
            <w:r>
              <w:rPr>
                <w:rFonts w:ascii="Calibri" w:hAnsi="Calibri"/>
                <w:color w:val="1E293B"/>
                <w:sz w:val="19"/>
              </w:rPr>
              <w:t>Prospecting, qualifying inbound/outbound leads, and booking initial discovery calls.</w:t>
            </w:r>
          </w:p>
        </w:tc>
        <w:tc>
          <w:tcPr>
            <w:tcW w:type="dxa" w:w="2592"/>
            <w:shd w:fill="F8FAFC"/>
            <w:tcMar>
              <w:top w:w="80" w:type="dxa"/>
              <w:bottom w:w="80" w:type="dxa"/>
              <w:left w:w="120" w:type="dxa"/>
              <w:right w:w="120" w:type="dxa"/>
            </w:tcMar>
          </w:tcPr>
          <w:p>
            <w:pPr>
              <w:jc w:val="left"/>
            </w:pPr>
            <w:r>
              <w:rPr>
                <w:rFonts w:ascii="Calibri" w:hAnsi="Calibri"/>
                <w:color w:val="1E293B"/>
                <w:sz w:val="19"/>
              </w:rPr>
              <w:t>High context-switching between LinkedIn, email, and CRM; generic templates result in low reply rates.</w:t>
            </w:r>
          </w:p>
        </w:tc>
        <w:tc>
          <w:tcPr>
            <w:tcW w:type="dxa" w:w="2880"/>
            <w:shd w:fill="F8FAFC"/>
            <w:tcMar>
              <w:top w:w="80" w:type="dxa"/>
              <w:bottom w:w="80" w:type="dxa"/>
              <w:left w:w="120" w:type="dxa"/>
              <w:right w:w="120" w:type="dxa"/>
            </w:tcMar>
          </w:tcPr>
          <w:p>
            <w:pPr>
              <w:jc w:val="left"/>
            </w:pPr>
            <w:r>
              <w:rPr>
                <w:rFonts w:ascii="Calibri" w:hAnsi="Calibri"/>
                <w:color w:val="1E293B"/>
                <w:sz w:val="19"/>
              </w:rPr>
              <w:t>Semantic lead scoring, automated ICP qualification, hyper-personalized outreach suggestions based on recent signals.</w:t>
            </w:r>
          </w:p>
        </w:tc>
      </w:tr>
      <w:tr>
        <w:tc>
          <w:tcPr>
            <w:tcW w:type="dxa" w:w="1872"/>
            <w:shd w:fill="FFFFFF"/>
            <w:tcMar>
              <w:top w:w="80" w:type="dxa"/>
              <w:bottom w:w="80" w:type="dxa"/>
              <w:left w:w="120" w:type="dxa"/>
              <w:right w:w="120" w:type="dxa"/>
            </w:tcMar>
          </w:tcPr>
          <w:p>
            <w:pPr>
              <w:jc w:val="left"/>
            </w:pPr>
            <w:r>
              <w:rPr>
                <w:rFonts w:ascii="Calibri" w:hAnsi="Calibri"/>
                <w:color w:val="1E293B"/>
                <w:sz w:val="19"/>
              </w:rPr>
              <w:t>Sales Manager / VP</w:t>
            </w:r>
          </w:p>
        </w:tc>
        <w:tc>
          <w:tcPr>
            <w:tcW w:type="dxa" w:w="2304"/>
            <w:shd w:fill="FFFFFF"/>
            <w:tcMar>
              <w:top w:w="80" w:type="dxa"/>
              <w:bottom w:w="80" w:type="dxa"/>
              <w:left w:w="120" w:type="dxa"/>
              <w:right w:w="120" w:type="dxa"/>
            </w:tcMar>
          </w:tcPr>
          <w:p>
            <w:pPr>
              <w:jc w:val="left"/>
            </w:pPr>
            <w:r>
              <w:rPr>
                <w:rFonts w:ascii="Calibri" w:hAnsi="Calibri"/>
                <w:color w:val="1E293B"/>
                <w:sz w:val="19"/>
              </w:rPr>
              <w:t>Pipeline forecasting, team quota attainment, coaching reps, and reviewing deal approvals.</w:t>
            </w:r>
          </w:p>
        </w:tc>
        <w:tc>
          <w:tcPr>
            <w:tcW w:type="dxa" w:w="2592"/>
            <w:shd w:fill="FFFFFF"/>
            <w:tcMar>
              <w:top w:w="80" w:type="dxa"/>
              <w:bottom w:w="80" w:type="dxa"/>
              <w:left w:w="120" w:type="dxa"/>
              <w:right w:w="120" w:type="dxa"/>
            </w:tcMar>
          </w:tcPr>
          <w:p>
            <w:pPr>
              <w:jc w:val="left"/>
            </w:pPr>
            <w:r>
              <w:rPr>
                <w:rFonts w:ascii="Calibri" w:hAnsi="Calibri"/>
                <w:color w:val="1E293B"/>
                <w:sz w:val="19"/>
              </w:rPr>
              <w:t>Forecast blind spots; reps hold outdated opportunity close dates and probabilities without management visibility.</w:t>
            </w:r>
          </w:p>
        </w:tc>
        <w:tc>
          <w:tcPr>
            <w:tcW w:type="dxa" w:w="2880"/>
            <w:shd w:fill="FFFFFF"/>
            <w:tcMar>
              <w:top w:w="80" w:type="dxa"/>
              <w:bottom w:w="80" w:type="dxa"/>
              <w:left w:w="120" w:type="dxa"/>
              <w:right w:w="120" w:type="dxa"/>
            </w:tcMar>
          </w:tcPr>
          <w:p>
            <w:pPr>
              <w:jc w:val="left"/>
            </w:pPr>
            <w:r>
              <w:rPr>
                <w:rFonts w:ascii="Calibri" w:hAnsi="Calibri"/>
                <w:color w:val="1E293B"/>
                <w:sz w:val="19"/>
              </w:rPr>
              <w:t>Automated pipeline risk rollups, forecast discrepancy analysis, fast approval queue for rep-proposed actions.</w:t>
            </w:r>
          </w:p>
        </w:tc>
      </w:tr>
      <w:tr>
        <w:tc>
          <w:tcPr>
            <w:tcW w:type="dxa" w:w="1872"/>
            <w:shd w:fill="F8FAFC"/>
            <w:tcMar>
              <w:top w:w="80" w:type="dxa"/>
              <w:bottom w:w="80" w:type="dxa"/>
              <w:left w:w="120" w:type="dxa"/>
              <w:right w:w="120" w:type="dxa"/>
            </w:tcMar>
          </w:tcPr>
          <w:p>
            <w:pPr>
              <w:jc w:val="left"/>
            </w:pPr>
            <w:r>
              <w:rPr>
                <w:rFonts w:ascii="Calibri" w:hAnsi="Calibri"/>
                <w:color w:val="1E293B"/>
                <w:sz w:val="19"/>
              </w:rPr>
              <w:t>Sales Ops / CRM Admin</w:t>
            </w:r>
          </w:p>
        </w:tc>
        <w:tc>
          <w:tcPr>
            <w:tcW w:type="dxa" w:w="2304"/>
            <w:shd w:fill="F8FAFC"/>
            <w:tcMar>
              <w:top w:w="80" w:type="dxa"/>
              <w:bottom w:w="80" w:type="dxa"/>
              <w:left w:w="120" w:type="dxa"/>
              <w:right w:w="120" w:type="dxa"/>
            </w:tcMar>
          </w:tcPr>
          <w:p>
            <w:pPr>
              <w:jc w:val="left"/>
            </w:pPr>
            <w:r>
              <w:rPr>
                <w:rFonts w:ascii="Calibri" w:hAnsi="Calibri"/>
                <w:color w:val="1E293B"/>
                <w:sz w:val="19"/>
              </w:rPr>
              <w:t>Data hygiene, CRM compliance, security configuration, and multi-tenant access control.</w:t>
            </w:r>
          </w:p>
        </w:tc>
        <w:tc>
          <w:tcPr>
            <w:tcW w:type="dxa" w:w="2592"/>
            <w:shd w:fill="F8FAFC"/>
            <w:tcMar>
              <w:top w:w="80" w:type="dxa"/>
              <w:bottom w:w="80" w:type="dxa"/>
              <w:left w:w="120" w:type="dxa"/>
              <w:right w:w="120" w:type="dxa"/>
            </w:tcMar>
          </w:tcPr>
          <w:p>
            <w:pPr>
              <w:jc w:val="left"/>
            </w:pPr>
            <w:r>
              <w:rPr>
                <w:rFonts w:ascii="Calibri" w:hAnsi="Calibri"/>
                <w:color w:val="1E293B"/>
                <w:sz w:val="19"/>
              </w:rPr>
              <w:t>AI hallucinations writing corrupt data into production; unauthorized reps seeing cross-territory data.</w:t>
            </w:r>
          </w:p>
        </w:tc>
        <w:tc>
          <w:tcPr>
            <w:tcW w:type="dxa" w:w="2880"/>
            <w:shd w:fill="F8FAFC"/>
            <w:tcMar>
              <w:top w:w="80" w:type="dxa"/>
              <w:bottom w:w="80" w:type="dxa"/>
              <w:left w:w="120" w:type="dxa"/>
              <w:right w:w="120" w:type="dxa"/>
            </w:tcMar>
          </w:tcPr>
          <w:p>
            <w:pPr>
              <w:jc w:val="left"/>
            </w:pPr>
            <w:r>
              <w:rPr>
                <w:rFonts w:ascii="Calibri" w:hAnsi="Calibri"/>
                <w:color w:val="1E293B"/>
                <w:sz w:val="19"/>
              </w:rPr>
              <w:t>Strict RBAC/tenant-scoped retrieval, mandatory Human-in-the-Loop gates, full end-to-end audit trail of tool runs.</w:t>
            </w:r>
          </w:p>
        </w:tc>
      </w:tr>
    </w:tbl>
    <w:p>
      <w:pPr>
        <w:spacing w:after="120"/>
      </w:pPr>
    </w:p>
    <w:p>
      <w:pPr>
        <w:keepNext/>
        <w:spacing w:before="360" w:after="120"/>
      </w:pPr>
      <w:r>
        <w:rPr>
          <w:rFonts w:ascii="Calibri" w:hAnsi="Calibri"/>
          <w:b/>
          <w:color w:val="0F2A4A"/>
          <w:sz w:val="32"/>
        </w:rPr>
        <w:t>3. Product Scope &amp; Functional Requirements</w:t>
      </w:r>
    </w:p>
    <w:p>
      <w:pPr>
        <w:spacing w:before="0" w:after="120" w:line="276" w:lineRule="auto"/>
      </w:pPr>
      <w:r>
        <w:rPr>
          <w:rFonts w:ascii="Calibri" w:hAnsi="Calibri"/>
          <w:color w:val="334155"/>
          <w:sz w:val="21"/>
        </w:rPr>
        <w:t>To ensure delivery excellence and risk control, platform capabilities are divided strictly into a Minimum Viable Product (MVP v1.0) and future iterations: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484"/>
        <w:gridCol w:w="2484"/>
        <w:gridCol w:w="2484"/>
        <w:gridCol w:w="2484"/>
      </w:tblGrid>
      <w:tr>
        <w:tc>
          <w:tcPr>
            <w:tcW w:type="dxa" w:w="2160"/>
            <w:shd w:fill="1E3A8A"/>
            <w:tcMar>
              <w:top w:w="100" w:type="dxa"/>
              <w:bottom w:w="100" w:type="dxa"/>
              <w:left w:w="120" w:type="dxa"/>
              <w:right w:w="120" w:type="dxa"/>
            </w:tcMar>
          </w:tcPr>
          <w:p>
            <w:pPr>
              <w:jc w:val="left"/>
            </w:pPr>
            <w:r>
              <w:rPr>
                <w:rFonts w:ascii="Calibri" w:hAnsi="Calibri"/>
                <w:b/>
                <w:color w:val="FFFFFF"/>
                <w:sz w:val="20"/>
              </w:rPr>
              <w:t>Requirement Category</w:t>
            </w:r>
          </w:p>
        </w:tc>
        <w:tc>
          <w:tcPr>
            <w:tcW w:type="dxa" w:w="1584"/>
            <w:shd w:fill="1E3A8A"/>
            <w:tcMar>
              <w:top w:w="100" w:type="dxa"/>
              <w:bottom w:w="100" w:type="dxa"/>
              <w:left w:w="120" w:type="dxa"/>
              <w:right w:w="120" w:type="dxa"/>
            </w:tcMar>
          </w:tcPr>
          <w:p>
            <w:pPr>
              <w:jc w:val="left"/>
            </w:pPr>
            <w:r>
              <w:rPr>
                <w:rFonts w:ascii="Calibri" w:hAnsi="Calibri"/>
                <w:b/>
                <w:color w:val="FFFFFF"/>
                <w:sz w:val="20"/>
              </w:rPr>
              <w:t>Priority</w:t>
            </w:r>
          </w:p>
        </w:tc>
        <w:tc>
          <w:tcPr>
            <w:tcW w:type="dxa" w:w="3456"/>
            <w:shd w:fill="1E3A8A"/>
            <w:tcMar>
              <w:top w:w="100" w:type="dxa"/>
              <w:bottom w:w="100" w:type="dxa"/>
              <w:left w:w="120" w:type="dxa"/>
              <w:right w:w="120" w:type="dxa"/>
            </w:tcMar>
          </w:tcPr>
          <w:p>
            <w:pPr>
              <w:jc w:val="left"/>
            </w:pPr>
            <w:r>
              <w:rPr>
                <w:rFonts w:ascii="Calibri" w:hAnsi="Calibri"/>
                <w:b/>
                <w:color w:val="FFFFFF"/>
                <w:sz w:val="20"/>
              </w:rPr>
              <w:t>Feature Description</w:t>
            </w:r>
          </w:p>
        </w:tc>
        <w:tc>
          <w:tcPr>
            <w:tcW w:type="dxa" w:w="2880"/>
            <w:shd w:fill="1E3A8A"/>
            <w:tcMar>
              <w:top w:w="100" w:type="dxa"/>
              <w:bottom w:w="100" w:type="dxa"/>
              <w:left w:w="120" w:type="dxa"/>
              <w:right w:w="120" w:type="dxa"/>
            </w:tcMar>
          </w:tcPr>
          <w:p>
            <w:pPr>
              <w:jc w:val="left"/>
            </w:pPr>
            <w:r>
              <w:rPr>
                <w:rFonts w:ascii="Calibri" w:hAnsi="Calibri"/>
                <w:b/>
                <w:color w:val="FFFFFF"/>
                <w:sz w:val="20"/>
              </w:rPr>
              <w:t>Acceptance Criteria</w:t>
            </w:r>
          </w:p>
        </w:tc>
      </w:tr>
      <w:tr>
        <w:tc>
          <w:tcPr>
            <w:tcW w:type="dxa" w:w="2160"/>
            <w:shd w:fill="FFFFFF"/>
            <w:tcMar>
              <w:top w:w="80" w:type="dxa"/>
              <w:bottom w:w="80" w:type="dxa"/>
              <w:left w:w="120" w:type="dxa"/>
              <w:right w:w="120" w:type="dxa"/>
            </w:tcMar>
          </w:tcPr>
          <w:p>
            <w:pPr>
              <w:jc w:val="left"/>
            </w:pPr>
            <w:r>
              <w:rPr>
                <w:rFonts w:ascii="Calibri" w:hAnsi="Calibri"/>
                <w:color w:val="1E293B"/>
                <w:sz w:val="19"/>
              </w:rPr>
              <w:t>Deal Risk Intelligence</w:t>
            </w:r>
          </w:p>
        </w:tc>
        <w:tc>
          <w:tcPr>
            <w:tcW w:type="dxa" w:w="1584"/>
            <w:shd w:fill="FFFFFF"/>
            <w:tcMar>
              <w:top w:w="80" w:type="dxa"/>
              <w:bottom w:w="80" w:type="dxa"/>
              <w:left w:w="120" w:type="dxa"/>
              <w:right w:w="120" w:type="dxa"/>
            </w:tcMar>
          </w:tcPr>
          <w:p>
            <w:pPr>
              <w:jc w:val="left"/>
            </w:pPr>
            <w:r>
              <w:rPr>
                <w:rFonts w:ascii="Calibri" w:hAnsi="Calibri"/>
                <w:color w:val="1E293B"/>
                <w:sz w:val="19"/>
              </w:rPr>
              <w:t>Must Have (v1)</w:t>
            </w:r>
          </w:p>
        </w:tc>
        <w:tc>
          <w:tcPr>
            <w:tcW w:type="dxa" w:w="3456"/>
            <w:shd w:fill="FFFFFF"/>
            <w:tcMar>
              <w:top w:w="80" w:type="dxa"/>
              <w:bottom w:w="80" w:type="dxa"/>
              <w:left w:w="120" w:type="dxa"/>
              <w:right w:w="120" w:type="dxa"/>
            </w:tcMar>
          </w:tcPr>
          <w:p>
            <w:pPr>
              <w:jc w:val="left"/>
            </w:pPr>
            <w:r>
              <w:rPr>
                <w:rFonts w:ascii="Calibri" w:hAnsi="Calibri"/>
                <w:color w:val="1E293B"/>
                <w:sz w:val="19"/>
              </w:rPr>
              <w:t>Identify pipeline opportunities with inactivity, delayed close dates, or lost executive sponsorship.</w:t>
            </w:r>
          </w:p>
        </w:tc>
        <w:tc>
          <w:tcPr>
            <w:tcW w:type="dxa" w:w="2880"/>
            <w:shd w:fill="FFFFFF"/>
            <w:tcMar>
              <w:top w:w="80" w:type="dxa"/>
              <w:bottom w:w="80" w:type="dxa"/>
              <w:left w:w="120" w:type="dxa"/>
              <w:right w:w="120" w:type="dxa"/>
            </w:tcMar>
          </w:tcPr>
          <w:p>
            <w:pPr>
              <w:jc w:val="left"/>
            </w:pPr>
            <w:r>
              <w:rPr>
                <w:rFonts w:ascii="Calibri" w:hAnsi="Calibri"/>
                <w:color w:val="1E293B"/>
                <w:sz w:val="19"/>
              </w:rPr>
              <w:t>Flags deals with &gt;14 days inactivity and presents actionable reasons with cited CRM records.</w:t>
            </w:r>
          </w:p>
        </w:tc>
      </w:tr>
      <w:tr>
        <w:tc>
          <w:tcPr>
            <w:tcW w:type="dxa" w:w="2160"/>
            <w:shd w:fill="F8FAFC"/>
            <w:tcMar>
              <w:top w:w="80" w:type="dxa"/>
              <w:bottom w:w="80" w:type="dxa"/>
              <w:left w:w="120" w:type="dxa"/>
              <w:right w:w="120" w:type="dxa"/>
            </w:tcMar>
          </w:tcPr>
          <w:p>
            <w:pPr>
              <w:jc w:val="left"/>
            </w:pPr>
            <w:r>
              <w:rPr>
                <w:rFonts w:ascii="Calibri" w:hAnsi="Calibri"/>
                <w:color w:val="1E293B"/>
                <w:sz w:val="19"/>
              </w:rPr>
              <w:t>Permission-Aware RAG</w:t>
            </w:r>
          </w:p>
        </w:tc>
        <w:tc>
          <w:tcPr>
            <w:tcW w:type="dxa" w:w="1584"/>
            <w:shd w:fill="F8FAFC"/>
            <w:tcMar>
              <w:top w:w="80" w:type="dxa"/>
              <w:bottom w:w="80" w:type="dxa"/>
              <w:left w:w="120" w:type="dxa"/>
              <w:right w:w="120" w:type="dxa"/>
            </w:tcMar>
          </w:tcPr>
          <w:p>
            <w:pPr>
              <w:jc w:val="left"/>
            </w:pPr>
            <w:r>
              <w:rPr>
                <w:rFonts w:ascii="Calibri" w:hAnsi="Calibri"/>
                <w:color w:val="1E293B"/>
                <w:sz w:val="19"/>
              </w:rPr>
              <w:t>Must Have (v1)</w:t>
            </w:r>
          </w:p>
        </w:tc>
        <w:tc>
          <w:tcPr>
            <w:tcW w:type="dxa" w:w="3456"/>
            <w:shd w:fill="F8FAFC"/>
            <w:tcMar>
              <w:top w:w="80" w:type="dxa"/>
              <w:bottom w:w="80" w:type="dxa"/>
              <w:left w:w="120" w:type="dxa"/>
              <w:right w:w="120" w:type="dxa"/>
            </w:tcMar>
          </w:tcPr>
          <w:p>
            <w:pPr>
              <w:jc w:val="left"/>
            </w:pPr>
            <w:r>
              <w:rPr>
                <w:rFonts w:ascii="Calibri" w:hAnsi="Calibri"/>
                <w:color w:val="1E293B"/>
                <w:sz w:val="19"/>
              </w:rPr>
              <w:t>Retrieve knowledge from notes, emails, support tickets, and pricing rules strictly respecting user RBAC.</w:t>
            </w:r>
          </w:p>
        </w:tc>
        <w:tc>
          <w:tcPr>
            <w:tcW w:type="dxa" w:w="2880"/>
            <w:shd w:fill="F8FAFC"/>
            <w:tcMar>
              <w:top w:w="80" w:type="dxa"/>
              <w:bottom w:w="80" w:type="dxa"/>
              <w:left w:w="120" w:type="dxa"/>
              <w:right w:w="120" w:type="dxa"/>
            </w:tcMar>
          </w:tcPr>
          <w:p>
            <w:pPr>
              <w:jc w:val="left"/>
            </w:pPr>
            <w:r>
              <w:rPr>
                <w:rFonts w:ascii="Calibri" w:hAnsi="Calibri"/>
                <w:color w:val="1E293B"/>
                <w:sz w:val="19"/>
              </w:rPr>
              <w:t>Users never see data from accounts outside their assigned territory or tenant.</w:t>
            </w:r>
          </w:p>
        </w:tc>
      </w:tr>
      <w:tr>
        <w:tc>
          <w:tcPr>
            <w:tcW w:type="dxa" w:w="2160"/>
            <w:shd w:fill="FFFFFF"/>
            <w:tcMar>
              <w:top w:w="80" w:type="dxa"/>
              <w:bottom w:w="80" w:type="dxa"/>
              <w:left w:w="120" w:type="dxa"/>
              <w:right w:w="120" w:type="dxa"/>
            </w:tcMar>
          </w:tcPr>
          <w:p>
            <w:pPr>
              <w:jc w:val="left"/>
            </w:pPr>
            <w:r>
              <w:rPr>
                <w:rFonts w:ascii="Calibri" w:hAnsi="Calibri"/>
                <w:color w:val="1E293B"/>
                <w:sz w:val="19"/>
              </w:rPr>
              <w:t>Controlled Tool Execution</w:t>
            </w:r>
          </w:p>
        </w:tc>
        <w:tc>
          <w:tcPr>
            <w:tcW w:type="dxa" w:w="1584"/>
            <w:shd w:fill="FFFFFF"/>
            <w:tcMar>
              <w:top w:w="80" w:type="dxa"/>
              <w:bottom w:w="80" w:type="dxa"/>
              <w:left w:w="120" w:type="dxa"/>
              <w:right w:w="120" w:type="dxa"/>
            </w:tcMar>
          </w:tcPr>
          <w:p>
            <w:pPr>
              <w:jc w:val="left"/>
            </w:pPr>
            <w:r>
              <w:rPr>
                <w:rFonts w:ascii="Calibri" w:hAnsi="Calibri"/>
                <w:color w:val="1E293B"/>
                <w:sz w:val="19"/>
              </w:rPr>
              <w:t>Must Have (v1)</w:t>
            </w:r>
          </w:p>
        </w:tc>
        <w:tc>
          <w:tcPr>
            <w:tcW w:type="dxa" w:w="3456"/>
            <w:shd w:fill="FFFFFF"/>
            <w:tcMar>
              <w:top w:w="80" w:type="dxa"/>
              <w:bottom w:w="80" w:type="dxa"/>
              <w:left w:w="120" w:type="dxa"/>
              <w:right w:w="120" w:type="dxa"/>
            </w:tcMar>
          </w:tcPr>
          <w:p>
            <w:pPr>
              <w:jc w:val="left"/>
            </w:pPr>
            <w:r>
              <w:rPr>
                <w:rFonts w:ascii="Calibri" w:hAnsi="Calibri"/>
                <w:color w:val="1E293B"/>
                <w:sz w:val="19"/>
              </w:rPr>
              <w:t>Execute safe CRM mutations (create task, update stage, log meeting note) via structured schema tools.</w:t>
            </w:r>
          </w:p>
        </w:tc>
        <w:tc>
          <w:tcPr>
            <w:tcW w:type="dxa" w:w="2880"/>
            <w:shd w:fill="FFFFFF"/>
            <w:tcMar>
              <w:top w:w="80" w:type="dxa"/>
              <w:bottom w:w="80" w:type="dxa"/>
              <w:left w:w="120" w:type="dxa"/>
              <w:right w:w="120" w:type="dxa"/>
            </w:tcMar>
          </w:tcPr>
          <w:p>
            <w:pPr>
              <w:jc w:val="left"/>
            </w:pPr>
            <w:r>
              <w:rPr>
                <w:rFonts w:ascii="Calibri" w:hAnsi="Calibri"/>
                <w:color w:val="1E293B"/>
                <w:sz w:val="19"/>
              </w:rPr>
              <w:t>All tool calls validate parameter schemas and provide rollback tokens.</w:t>
            </w:r>
          </w:p>
        </w:tc>
      </w:tr>
      <w:tr>
        <w:tc>
          <w:tcPr>
            <w:tcW w:type="dxa" w:w="2160"/>
            <w:shd w:fill="F8FAFC"/>
            <w:tcMar>
              <w:top w:w="80" w:type="dxa"/>
              <w:bottom w:w="80" w:type="dxa"/>
              <w:left w:w="120" w:type="dxa"/>
              <w:right w:w="120" w:type="dxa"/>
            </w:tcMar>
          </w:tcPr>
          <w:p>
            <w:pPr>
              <w:jc w:val="left"/>
            </w:pPr>
            <w:r>
              <w:rPr>
                <w:rFonts w:ascii="Calibri" w:hAnsi="Calibri"/>
                <w:color w:val="1E293B"/>
                <w:sz w:val="19"/>
              </w:rPr>
              <w:t>Human-in-the-Loop (HITL)</w:t>
            </w:r>
          </w:p>
        </w:tc>
        <w:tc>
          <w:tcPr>
            <w:tcW w:type="dxa" w:w="1584"/>
            <w:shd w:fill="F8FAFC"/>
            <w:tcMar>
              <w:top w:w="80" w:type="dxa"/>
              <w:bottom w:w="80" w:type="dxa"/>
              <w:left w:w="120" w:type="dxa"/>
              <w:right w:w="120" w:type="dxa"/>
            </w:tcMar>
          </w:tcPr>
          <w:p>
            <w:pPr>
              <w:jc w:val="left"/>
            </w:pPr>
            <w:r>
              <w:rPr>
                <w:rFonts w:ascii="Calibri" w:hAnsi="Calibri"/>
                <w:color w:val="1E293B"/>
                <w:sz w:val="19"/>
              </w:rPr>
              <w:t>Must Have (v1)</w:t>
            </w:r>
          </w:p>
        </w:tc>
        <w:tc>
          <w:tcPr>
            <w:tcW w:type="dxa" w:w="3456"/>
            <w:shd w:fill="F8FAFC"/>
            <w:tcMar>
              <w:top w:w="80" w:type="dxa"/>
              <w:bottom w:w="80" w:type="dxa"/>
              <w:left w:w="120" w:type="dxa"/>
              <w:right w:w="120" w:type="dxa"/>
            </w:tcMar>
          </w:tcPr>
          <w:p>
            <w:pPr>
              <w:jc w:val="left"/>
            </w:pPr>
            <w:r>
              <w:rPr>
                <w:rFonts w:ascii="Calibri" w:hAnsi="Calibri"/>
                <w:color w:val="1E293B"/>
                <w:sz w:val="19"/>
              </w:rPr>
              <w:t>Approval gateway for high-stakes actions (sending customer emails, updating deal values &gt;$50k).</w:t>
            </w:r>
          </w:p>
        </w:tc>
        <w:tc>
          <w:tcPr>
            <w:tcW w:type="dxa" w:w="2880"/>
            <w:shd w:fill="F8FAFC"/>
            <w:tcMar>
              <w:top w:w="80" w:type="dxa"/>
              <w:bottom w:w="80" w:type="dxa"/>
              <w:left w:w="120" w:type="dxa"/>
              <w:right w:w="120" w:type="dxa"/>
            </w:tcMar>
          </w:tcPr>
          <w:p>
            <w:pPr>
              <w:jc w:val="left"/>
            </w:pPr>
            <w:r>
              <w:rPr>
                <w:rFonts w:ascii="Calibri" w:hAnsi="Calibri"/>
                <w:color w:val="1E293B"/>
                <w:sz w:val="19"/>
              </w:rPr>
              <w:t>Generates pending state in database; executes only upon signed user/manager confirmation.</w:t>
            </w:r>
          </w:p>
        </w:tc>
      </w:tr>
      <w:tr>
        <w:tc>
          <w:tcPr>
            <w:tcW w:type="dxa" w:w="2160"/>
            <w:shd w:fill="FFFFFF"/>
            <w:tcMar>
              <w:top w:w="80" w:type="dxa"/>
              <w:bottom w:w="80" w:type="dxa"/>
              <w:left w:w="120" w:type="dxa"/>
              <w:right w:w="120" w:type="dxa"/>
            </w:tcMar>
          </w:tcPr>
          <w:p>
            <w:pPr>
              <w:jc w:val="left"/>
            </w:pPr>
            <w:r>
              <w:rPr>
                <w:rFonts w:ascii="Calibri" w:hAnsi="Calibri"/>
                <w:color w:val="1E293B"/>
                <w:sz w:val="19"/>
              </w:rPr>
              <w:t>Audit &amp; Observability</w:t>
            </w:r>
          </w:p>
        </w:tc>
        <w:tc>
          <w:tcPr>
            <w:tcW w:type="dxa" w:w="1584"/>
            <w:shd w:fill="FFFFFF"/>
            <w:tcMar>
              <w:top w:w="80" w:type="dxa"/>
              <w:bottom w:w="80" w:type="dxa"/>
              <w:left w:w="120" w:type="dxa"/>
              <w:right w:w="120" w:type="dxa"/>
            </w:tcMar>
          </w:tcPr>
          <w:p>
            <w:pPr>
              <w:jc w:val="left"/>
            </w:pPr>
            <w:r>
              <w:rPr>
                <w:rFonts w:ascii="Calibri" w:hAnsi="Calibri"/>
                <w:color w:val="1E293B"/>
                <w:sz w:val="19"/>
              </w:rPr>
              <w:t>Must Have (v1)</w:t>
            </w:r>
          </w:p>
        </w:tc>
        <w:tc>
          <w:tcPr>
            <w:tcW w:type="dxa" w:w="3456"/>
            <w:shd w:fill="FFFFFF"/>
            <w:tcMar>
              <w:top w:w="80" w:type="dxa"/>
              <w:bottom w:w="80" w:type="dxa"/>
              <w:left w:w="120" w:type="dxa"/>
              <w:right w:w="120" w:type="dxa"/>
            </w:tcMar>
          </w:tcPr>
          <w:p>
            <w:pPr>
              <w:jc w:val="left"/>
            </w:pPr>
            <w:r>
              <w:rPr>
                <w:rFonts w:ascii="Calibri" w:hAnsi="Calibri"/>
                <w:color w:val="1E293B"/>
                <w:sz w:val="19"/>
              </w:rPr>
              <w:t>End-to-end tracing of prompt, context, tool calls, user decisions, and token consumption.</w:t>
            </w:r>
          </w:p>
        </w:tc>
        <w:tc>
          <w:tcPr>
            <w:tcW w:type="dxa" w:w="2880"/>
            <w:shd w:fill="FFFFFF"/>
            <w:tcMar>
              <w:top w:w="80" w:type="dxa"/>
              <w:bottom w:w="80" w:type="dxa"/>
              <w:left w:w="120" w:type="dxa"/>
              <w:right w:w="120" w:type="dxa"/>
            </w:tcMar>
          </w:tcPr>
          <w:p>
            <w:pPr>
              <w:jc w:val="left"/>
            </w:pPr>
            <w:r>
              <w:rPr>
                <w:rFonts w:ascii="Calibri" w:hAnsi="Calibri"/>
                <w:color w:val="1E293B"/>
                <w:sz w:val="19"/>
              </w:rPr>
              <w:t>Logs every run with trace ID, user ID, tenant ID, and latency metrics.</w:t>
            </w:r>
          </w:p>
        </w:tc>
      </w:tr>
      <w:tr>
        <w:tc>
          <w:tcPr>
            <w:tcW w:type="dxa" w:w="2160"/>
            <w:shd w:fill="F8FAFC"/>
            <w:tcMar>
              <w:top w:w="80" w:type="dxa"/>
              <w:bottom w:w="80" w:type="dxa"/>
              <w:left w:w="120" w:type="dxa"/>
              <w:right w:w="120" w:type="dxa"/>
            </w:tcMar>
          </w:tcPr>
          <w:p>
            <w:pPr>
              <w:jc w:val="left"/>
            </w:pPr>
            <w:r>
              <w:rPr>
                <w:rFonts w:ascii="Calibri" w:hAnsi="Calibri"/>
                <w:color w:val="1E293B"/>
                <w:sz w:val="19"/>
              </w:rPr>
              <w:t>Calendar &amp; Email Sync</w:t>
            </w:r>
          </w:p>
        </w:tc>
        <w:tc>
          <w:tcPr>
            <w:tcW w:type="dxa" w:w="1584"/>
            <w:shd w:fill="F8FAFC"/>
            <w:tcMar>
              <w:top w:w="80" w:type="dxa"/>
              <w:bottom w:w="80" w:type="dxa"/>
              <w:left w:w="120" w:type="dxa"/>
              <w:right w:w="120" w:type="dxa"/>
            </w:tcMar>
          </w:tcPr>
          <w:p>
            <w:pPr>
              <w:jc w:val="left"/>
            </w:pPr>
            <w:r>
              <w:rPr>
                <w:rFonts w:ascii="Calibri" w:hAnsi="Calibri"/>
                <w:color w:val="1E293B"/>
                <w:sz w:val="19"/>
              </w:rPr>
              <w:t>Should Have (v1.1)</w:t>
            </w:r>
          </w:p>
        </w:tc>
        <w:tc>
          <w:tcPr>
            <w:tcW w:type="dxa" w:w="3456"/>
            <w:shd w:fill="F8FAFC"/>
            <w:tcMar>
              <w:top w:w="80" w:type="dxa"/>
              <w:bottom w:w="80" w:type="dxa"/>
              <w:left w:w="120" w:type="dxa"/>
              <w:right w:w="120" w:type="dxa"/>
            </w:tcMar>
          </w:tcPr>
          <w:p>
            <w:pPr>
              <w:jc w:val="left"/>
            </w:pPr>
            <w:r>
              <w:rPr>
                <w:rFonts w:ascii="Calibri" w:hAnsi="Calibri"/>
                <w:color w:val="1E293B"/>
                <w:sz w:val="19"/>
              </w:rPr>
              <w:t>Deep bi-directional integration with Google Workspace and Microsoft 365 Outlook.</w:t>
            </w:r>
          </w:p>
        </w:tc>
        <w:tc>
          <w:tcPr>
            <w:tcW w:type="dxa" w:w="2880"/>
            <w:shd w:fill="F8FAFC"/>
            <w:tcMar>
              <w:top w:w="80" w:type="dxa"/>
              <w:bottom w:w="80" w:type="dxa"/>
              <w:left w:w="120" w:type="dxa"/>
              <w:right w:w="120" w:type="dxa"/>
            </w:tcMar>
          </w:tcPr>
          <w:p>
            <w:pPr>
              <w:jc w:val="left"/>
            </w:pPr>
            <w:r>
              <w:rPr>
                <w:rFonts w:ascii="Calibri" w:hAnsi="Calibri"/>
                <w:color w:val="1E293B"/>
                <w:sz w:val="19"/>
              </w:rPr>
              <w:t>Pre-reads incoming customer threads and suggests draft responses inside the CRM mail composer.</w:t>
            </w:r>
          </w:p>
        </w:tc>
      </w:tr>
      <w:tr>
        <w:tc>
          <w:tcPr>
            <w:tcW w:type="dxa" w:w="2160"/>
            <w:shd w:fill="FFFFFF"/>
            <w:tcMar>
              <w:top w:w="80" w:type="dxa"/>
              <w:bottom w:w="80" w:type="dxa"/>
              <w:left w:w="120" w:type="dxa"/>
              <w:right w:w="120" w:type="dxa"/>
            </w:tcMar>
          </w:tcPr>
          <w:p>
            <w:pPr>
              <w:jc w:val="left"/>
            </w:pPr>
            <w:r>
              <w:rPr>
                <w:rFonts w:ascii="Calibri" w:hAnsi="Calibri"/>
                <w:color w:val="1E293B"/>
                <w:sz w:val="19"/>
              </w:rPr>
              <w:t>Direct Autonomous Outbound</w:t>
            </w:r>
          </w:p>
        </w:tc>
        <w:tc>
          <w:tcPr>
            <w:tcW w:type="dxa" w:w="1584"/>
            <w:shd w:fill="FFFFFF"/>
            <w:tcMar>
              <w:top w:w="80" w:type="dxa"/>
              <w:bottom w:w="80" w:type="dxa"/>
              <w:left w:w="120" w:type="dxa"/>
              <w:right w:w="120" w:type="dxa"/>
            </w:tcMar>
          </w:tcPr>
          <w:p>
            <w:pPr>
              <w:jc w:val="left"/>
            </w:pPr>
            <w:r>
              <w:rPr>
                <w:rFonts w:ascii="Calibri" w:hAnsi="Calibri"/>
                <w:color w:val="1E293B"/>
                <w:sz w:val="19"/>
              </w:rPr>
              <w:t>Won't Have (v1)</w:t>
            </w:r>
          </w:p>
        </w:tc>
        <w:tc>
          <w:tcPr>
            <w:tcW w:type="dxa" w:w="3456"/>
            <w:shd w:fill="FFFFFF"/>
            <w:tcMar>
              <w:top w:w="80" w:type="dxa"/>
              <w:bottom w:w="80" w:type="dxa"/>
              <w:left w:w="120" w:type="dxa"/>
              <w:right w:w="120" w:type="dxa"/>
            </w:tcMar>
          </w:tcPr>
          <w:p>
            <w:pPr>
              <w:jc w:val="left"/>
            </w:pPr>
            <w:r>
              <w:rPr>
                <w:rFonts w:ascii="Calibri" w:hAnsi="Calibri"/>
                <w:color w:val="1E293B"/>
                <w:sz w:val="19"/>
              </w:rPr>
              <w:t>Sending unreviewed cold emails or communicating with external leads without rep review.</w:t>
            </w:r>
          </w:p>
        </w:tc>
        <w:tc>
          <w:tcPr>
            <w:tcW w:type="dxa" w:w="2880"/>
            <w:shd w:fill="FFFFFF"/>
            <w:tcMar>
              <w:top w:w="80" w:type="dxa"/>
              <w:bottom w:w="80" w:type="dxa"/>
              <w:left w:w="120" w:type="dxa"/>
              <w:right w:w="120" w:type="dxa"/>
            </w:tcMar>
          </w:tcPr>
          <w:p>
            <w:pPr>
              <w:jc w:val="left"/>
            </w:pPr>
            <w:r>
              <w:rPr>
                <w:rFonts w:ascii="Calibri" w:hAnsi="Calibri"/>
                <w:color w:val="1E293B"/>
                <w:sz w:val="19"/>
              </w:rPr>
              <w:t>Zero unreviewed external communications permitted by system architecture.</w:t>
            </w:r>
          </w:p>
        </w:tc>
      </w:tr>
    </w:tbl>
    <w:p>
      <w:pPr>
        <w:spacing w:after="120"/>
      </w:pPr>
    </w:p>
    <w:p>
      <w:pPr>
        <w:keepNext/>
        <w:spacing w:before="360" w:after="120"/>
      </w:pPr>
      <w:r>
        <w:rPr>
          <w:rFonts w:ascii="Calibri" w:hAnsi="Calibri"/>
          <w:b/>
          <w:color w:val="0F2A4A"/>
          <w:sz w:val="32"/>
        </w:rPr>
        <w:t>4. Measurable Success Metrics &amp; KPIs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484"/>
        <w:gridCol w:w="2484"/>
        <w:gridCol w:w="2484"/>
        <w:gridCol w:w="2484"/>
      </w:tblGrid>
      <w:tr>
        <w:tc>
          <w:tcPr>
            <w:tcW w:type="dxa" w:w="2160"/>
            <w:shd w:fill="1E3A8A"/>
            <w:tcMar>
              <w:top w:w="100" w:type="dxa"/>
              <w:bottom w:w="100" w:type="dxa"/>
              <w:left w:w="120" w:type="dxa"/>
              <w:right w:w="120" w:type="dxa"/>
            </w:tcMar>
          </w:tcPr>
          <w:p>
            <w:pPr>
              <w:jc w:val="left"/>
            </w:pPr>
            <w:r>
              <w:rPr>
                <w:rFonts w:ascii="Calibri" w:hAnsi="Calibri"/>
                <w:b/>
                <w:color w:val="FFFFFF"/>
                <w:sz w:val="20"/>
              </w:rPr>
              <w:t>Metric Category</w:t>
            </w:r>
          </w:p>
        </w:tc>
        <w:tc>
          <w:tcPr>
            <w:tcW w:type="dxa" w:w="2592"/>
            <w:shd w:fill="1E3A8A"/>
            <w:tcMar>
              <w:top w:w="100" w:type="dxa"/>
              <w:bottom w:w="100" w:type="dxa"/>
              <w:left w:w="120" w:type="dxa"/>
              <w:right w:w="120" w:type="dxa"/>
            </w:tcMar>
          </w:tcPr>
          <w:p>
            <w:pPr>
              <w:jc w:val="left"/>
            </w:pPr>
            <w:r>
              <w:rPr>
                <w:rFonts w:ascii="Calibri" w:hAnsi="Calibri"/>
                <w:b/>
                <w:color w:val="FFFFFF"/>
                <w:sz w:val="20"/>
              </w:rPr>
              <w:t>Target Objective</w:t>
            </w:r>
          </w:p>
        </w:tc>
        <w:tc>
          <w:tcPr>
            <w:tcW w:type="dxa" w:w="2880"/>
            <w:shd w:fill="1E3A8A"/>
            <w:tcMar>
              <w:top w:w="100" w:type="dxa"/>
              <w:bottom w:w="100" w:type="dxa"/>
              <w:left w:w="120" w:type="dxa"/>
              <w:right w:w="120" w:type="dxa"/>
            </w:tcMar>
          </w:tcPr>
          <w:p>
            <w:pPr>
              <w:jc w:val="left"/>
            </w:pPr>
            <w:r>
              <w:rPr>
                <w:rFonts w:ascii="Calibri" w:hAnsi="Calibri"/>
                <w:b/>
                <w:color w:val="FFFFFF"/>
                <w:sz w:val="20"/>
              </w:rPr>
              <w:t>Measurement Method</w:t>
            </w:r>
          </w:p>
        </w:tc>
        <w:tc>
          <w:tcPr>
            <w:tcW w:type="dxa" w:w="2016"/>
            <w:shd w:fill="1E3A8A"/>
            <w:tcMar>
              <w:top w:w="100" w:type="dxa"/>
              <w:bottom w:w="100" w:type="dxa"/>
              <w:left w:w="120" w:type="dxa"/>
              <w:right w:w="120" w:type="dxa"/>
            </w:tcMar>
          </w:tcPr>
          <w:p>
            <w:pPr>
              <w:jc w:val="left"/>
            </w:pPr>
            <w:r>
              <w:rPr>
                <w:rFonts w:ascii="Calibri" w:hAnsi="Calibri"/>
                <w:b/>
                <w:color w:val="FFFFFF"/>
                <w:sz w:val="20"/>
              </w:rPr>
              <w:t>Target Benchmark</w:t>
            </w:r>
          </w:p>
        </w:tc>
      </w:tr>
      <w:tr>
        <w:tc>
          <w:tcPr>
            <w:tcW w:type="dxa" w:w="2160"/>
            <w:shd w:fill="FFFFFF"/>
            <w:tcMar>
              <w:top w:w="80" w:type="dxa"/>
              <w:bottom w:w="80" w:type="dxa"/>
              <w:left w:w="120" w:type="dxa"/>
              <w:right w:w="120" w:type="dxa"/>
            </w:tcMar>
          </w:tcPr>
          <w:p>
            <w:pPr>
              <w:jc w:val="left"/>
            </w:pPr>
            <w:r>
              <w:rPr>
                <w:rFonts w:ascii="Calibri" w:hAnsi="Calibri"/>
                <w:color w:val="1E293B"/>
                <w:sz w:val="19"/>
              </w:rPr>
              <w:t>Sales Productivity</w:t>
            </w:r>
          </w:p>
        </w:tc>
        <w:tc>
          <w:tcPr>
            <w:tcW w:type="dxa" w:w="2592"/>
            <w:shd w:fill="FFFFFF"/>
            <w:tcMar>
              <w:top w:w="80" w:type="dxa"/>
              <w:bottom w:w="80" w:type="dxa"/>
              <w:left w:w="120" w:type="dxa"/>
              <w:right w:w="120" w:type="dxa"/>
            </w:tcMar>
          </w:tcPr>
          <w:p>
            <w:pPr>
              <w:jc w:val="left"/>
            </w:pPr>
            <w:r>
              <w:rPr>
                <w:rFonts w:ascii="Calibri" w:hAnsi="Calibri"/>
                <w:color w:val="1E293B"/>
                <w:sz w:val="19"/>
              </w:rPr>
              <w:t>Reduce manual CRM data entry and prep time</w:t>
            </w:r>
          </w:p>
        </w:tc>
        <w:tc>
          <w:tcPr>
            <w:tcW w:type="dxa" w:w="2880"/>
            <w:shd w:fill="FFFFFF"/>
            <w:tcMar>
              <w:top w:w="80" w:type="dxa"/>
              <w:bottom w:w="80" w:type="dxa"/>
              <w:left w:w="120" w:type="dxa"/>
              <w:right w:w="120" w:type="dxa"/>
            </w:tcMar>
          </w:tcPr>
          <w:p>
            <w:pPr>
              <w:jc w:val="left"/>
            </w:pPr>
            <w:r>
              <w:rPr>
                <w:rFonts w:ascii="Calibri" w:hAnsi="Calibri"/>
                <w:color w:val="1E293B"/>
                <w:sz w:val="19"/>
              </w:rPr>
              <w:t>Time-motion study &amp; telemetry on session duration</w:t>
            </w:r>
          </w:p>
        </w:tc>
        <w:tc>
          <w:tcPr>
            <w:tcW w:type="dxa" w:w="2016"/>
            <w:shd w:fill="FFFFFF"/>
            <w:tcMar>
              <w:top w:w="80" w:type="dxa"/>
              <w:bottom w:w="80" w:type="dxa"/>
              <w:left w:w="120" w:type="dxa"/>
              <w:right w:w="120" w:type="dxa"/>
            </w:tcMar>
          </w:tcPr>
          <w:p>
            <w:pPr>
              <w:jc w:val="left"/>
            </w:pPr>
            <w:r>
              <w:rPr>
                <w:rFonts w:ascii="Calibri" w:hAnsi="Calibri"/>
                <w:color w:val="1E293B"/>
                <w:sz w:val="19"/>
              </w:rPr>
              <w:t>Save ≥ 3 hours/rep/week</w:t>
            </w:r>
          </w:p>
        </w:tc>
      </w:tr>
      <w:tr>
        <w:tc>
          <w:tcPr>
            <w:tcW w:type="dxa" w:w="2160"/>
            <w:shd w:fill="F8FAFC"/>
            <w:tcMar>
              <w:top w:w="80" w:type="dxa"/>
              <w:bottom w:w="80" w:type="dxa"/>
              <w:left w:w="120" w:type="dxa"/>
              <w:right w:w="120" w:type="dxa"/>
            </w:tcMar>
          </w:tcPr>
          <w:p>
            <w:pPr>
              <w:jc w:val="left"/>
            </w:pPr>
            <w:r>
              <w:rPr>
                <w:rFonts w:ascii="Calibri" w:hAnsi="Calibri"/>
                <w:color w:val="1E293B"/>
                <w:sz w:val="19"/>
              </w:rPr>
              <w:t>User Adoption</w:t>
            </w:r>
          </w:p>
        </w:tc>
        <w:tc>
          <w:tcPr>
            <w:tcW w:type="dxa" w:w="2592"/>
            <w:shd w:fill="F8FAFC"/>
            <w:tcMar>
              <w:top w:w="80" w:type="dxa"/>
              <w:bottom w:w="80" w:type="dxa"/>
              <w:left w:w="120" w:type="dxa"/>
              <w:right w:w="120" w:type="dxa"/>
            </w:tcMar>
          </w:tcPr>
          <w:p>
            <w:pPr>
              <w:jc w:val="left"/>
            </w:pPr>
            <w:r>
              <w:rPr>
                <w:rFonts w:ascii="Calibri" w:hAnsi="Calibri"/>
                <w:color w:val="1E293B"/>
                <w:sz w:val="19"/>
              </w:rPr>
              <w:t>Weekly Active Rep engagement</w:t>
            </w:r>
          </w:p>
        </w:tc>
        <w:tc>
          <w:tcPr>
            <w:tcW w:type="dxa" w:w="2880"/>
            <w:shd w:fill="F8FAFC"/>
            <w:tcMar>
              <w:top w:w="80" w:type="dxa"/>
              <w:bottom w:w="80" w:type="dxa"/>
              <w:left w:w="120" w:type="dxa"/>
              <w:right w:w="120" w:type="dxa"/>
            </w:tcMar>
          </w:tcPr>
          <w:p>
            <w:pPr>
              <w:jc w:val="left"/>
            </w:pPr>
            <w:r>
              <w:rPr>
                <w:rFonts w:ascii="Calibri" w:hAnsi="Calibri"/>
                <w:color w:val="1E293B"/>
                <w:sz w:val="19"/>
              </w:rPr>
              <w:t>Percentage of active AEs/SDRs invoking AI weekly</w:t>
            </w:r>
          </w:p>
        </w:tc>
        <w:tc>
          <w:tcPr>
            <w:tcW w:type="dxa" w:w="2016"/>
            <w:shd w:fill="F8FAFC"/>
            <w:tcMar>
              <w:top w:w="80" w:type="dxa"/>
              <w:bottom w:w="80" w:type="dxa"/>
              <w:left w:w="120" w:type="dxa"/>
              <w:right w:w="120" w:type="dxa"/>
            </w:tcMar>
          </w:tcPr>
          <w:p>
            <w:pPr>
              <w:jc w:val="left"/>
            </w:pPr>
            <w:r>
              <w:rPr>
                <w:rFonts w:ascii="Calibri" w:hAnsi="Calibri"/>
                <w:color w:val="1E293B"/>
                <w:sz w:val="19"/>
              </w:rPr>
              <w:t>≥ 70% weekly active usage</w:t>
            </w:r>
          </w:p>
        </w:tc>
      </w:tr>
      <w:tr>
        <w:tc>
          <w:tcPr>
            <w:tcW w:type="dxa" w:w="2160"/>
            <w:shd w:fill="FFFFFF"/>
            <w:tcMar>
              <w:top w:w="80" w:type="dxa"/>
              <w:bottom w:w="80" w:type="dxa"/>
              <w:left w:w="120" w:type="dxa"/>
              <w:right w:w="120" w:type="dxa"/>
            </w:tcMar>
          </w:tcPr>
          <w:p>
            <w:pPr>
              <w:jc w:val="left"/>
            </w:pPr>
            <w:r>
              <w:rPr>
                <w:rFonts w:ascii="Calibri" w:hAnsi="Calibri"/>
                <w:color w:val="1E293B"/>
                <w:sz w:val="19"/>
              </w:rPr>
              <w:t>Recommendation Accuracy</w:t>
            </w:r>
          </w:p>
        </w:tc>
        <w:tc>
          <w:tcPr>
            <w:tcW w:type="dxa" w:w="2592"/>
            <w:shd w:fill="FFFFFF"/>
            <w:tcMar>
              <w:top w:w="80" w:type="dxa"/>
              <w:bottom w:w="80" w:type="dxa"/>
              <w:left w:w="120" w:type="dxa"/>
              <w:right w:w="120" w:type="dxa"/>
            </w:tcMar>
          </w:tcPr>
          <w:p>
            <w:pPr>
              <w:jc w:val="left"/>
            </w:pPr>
            <w:r>
              <w:rPr>
                <w:rFonts w:ascii="Calibri" w:hAnsi="Calibri"/>
                <w:color w:val="1E293B"/>
                <w:sz w:val="19"/>
              </w:rPr>
              <w:t>Rep acceptance rate of AI suggestions</w:t>
            </w:r>
          </w:p>
        </w:tc>
        <w:tc>
          <w:tcPr>
            <w:tcW w:type="dxa" w:w="2880"/>
            <w:shd w:fill="FFFFFF"/>
            <w:tcMar>
              <w:top w:w="80" w:type="dxa"/>
              <w:bottom w:w="80" w:type="dxa"/>
              <w:left w:w="120" w:type="dxa"/>
              <w:right w:w="120" w:type="dxa"/>
            </w:tcMar>
          </w:tcPr>
          <w:p>
            <w:pPr>
              <w:jc w:val="left"/>
            </w:pPr>
            <w:r>
              <w:rPr>
                <w:rFonts w:ascii="Calibri" w:hAnsi="Calibri"/>
                <w:color w:val="1E293B"/>
                <w:sz w:val="19"/>
              </w:rPr>
              <w:t>Ratio of accepted vs dismissed AI recommendations</w:t>
            </w:r>
          </w:p>
        </w:tc>
        <w:tc>
          <w:tcPr>
            <w:tcW w:type="dxa" w:w="2016"/>
            <w:shd w:fill="FFFFFF"/>
            <w:tcMar>
              <w:top w:w="80" w:type="dxa"/>
              <w:bottom w:w="80" w:type="dxa"/>
              <w:left w:w="120" w:type="dxa"/>
              <w:right w:w="120" w:type="dxa"/>
            </w:tcMar>
          </w:tcPr>
          <w:p>
            <w:pPr>
              <w:jc w:val="left"/>
            </w:pPr>
            <w:r>
              <w:rPr>
                <w:rFonts w:ascii="Calibri" w:hAnsi="Calibri"/>
                <w:color w:val="1E293B"/>
                <w:sz w:val="19"/>
              </w:rPr>
              <w:t>≥ 80% acceptance rate</w:t>
            </w:r>
          </w:p>
        </w:tc>
      </w:tr>
      <w:tr>
        <w:tc>
          <w:tcPr>
            <w:tcW w:type="dxa" w:w="2160"/>
            <w:shd w:fill="F8FAFC"/>
            <w:tcMar>
              <w:top w:w="80" w:type="dxa"/>
              <w:bottom w:w="80" w:type="dxa"/>
              <w:left w:w="120" w:type="dxa"/>
              <w:right w:w="120" w:type="dxa"/>
            </w:tcMar>
          </w:tcPr>
          <w:p>
            <w:pPr>
              <w:jc w:val="left"/>
            </w:pPr>
            <w:r>
              <w:rPr>
                <w:rFonts w:ascii="Calibri" w:hAnsi="Calibri"/>
                <w:color w:val="1E293B"/>
                <w:sz w:val="19"/>
              </w:rPr>
              <w:t>Pipeline Velocity</w:t>
            </w:r>
          </w:p>
        </w:tc>
        <w:tc>
          <w:tcPr>
            <w:tcW w:type="dxa" w:w="2592"/>
            <w:shd w:fill="F8FAFC"/>
            <w:tcMar>
              <w:top w:w="80" w:type="dxa"/>
              <w:bottom w:w="80" w:type="dxa"/>
              <w:left w:w="120" w:type="dxa"/>
              <w:right w:w="120" w:type="dxa"/>
            </w:tcMar>
          </w:tcPr>
          <w:p>
            <w:pPr>
              <w:jc w:val="left"/>
            </w:pPr>
            <w:r>
              <w:rPr>
                <w:rFonts w:ascii="Calibri" w:hAnsi="Calibri"/>
                <w:color w:val="1E293B"/>
                <w:sz w:val="19"/>
              </w:rPr>
              <w:t>Decrease days spent in stalled stages</w:t>
            </w:r>
          </w:p>
        </w:tc>
        <w:tc>
          <w:tcPr>
            <w:tcW w:type="dxa" w:w="2880"/>
            <w:shd w:fill="F8FAFC"/>
            <w:tcMar>
              <w:top w:w="80" w:type="dxa"/>
              <w:bottom w:w="80" w:type="dxa"/>
              <w:left w:w="120" w:type="dxa"/>
              <w:right w:w="120" w:type="dxa"/>
            </w:tcMar>
          </w:tcPr>
          <w:p>
            <w:pPr>
              <w:jc w:val="left"/>
            </w:pPr>
            <w:r>
              <w:rPr>
                <w:rFonts w:ascii="Calibri" w:hAnsi="Calibri"/>
                <w:color w:val="1E293B"/>
                <w:sz w:val="19"/>
              </w:rPr>
              <w:t>CRM opportunity duration metrics</w:t>
            </w:r>
          </w:p>
        </w:tc>
        <w:tc>
          <w:tcPr>
            <w:tcW w:type="dxa" w:w="2016"/>
            <w:shd w:fill="F8FAFC"/>
            <w:tcMar>
              <w:top w:w="80" w:type="dxa"/>
              <w:bottom w:w="80" w:type="dxa"/>
              <w:left w:w="120" w:type="dxa"/>
              <w:right w:w="120" w:type="dxa"/>
            </w:tcMar>
          </w:tcPr>
          <w:p>
            <w:pPr>
              <w:jc w:val="left"/>
            </w:pPr>
            <w:r>
              <w:rPr>
                <w:rFonts w:ascii="Calibri" w:hAnsi="Calibri"/>
                <w:color w:val="1E293B"/>
                <w:sz w:val="19"/>
              </w:rPr>
              <w:t>15% reduction in deal stall duration</w:t>
            </w:r>
          </w:p>
        </w:tc>
      </w:tr>
      <w:tr>
        <w:tc>
          <w:tcPr>
            <w:tcW w:type="dxa" w:w="2160"/>
            <w:shd w:fill="FFFFFF"/>
            <w:tcMar>
              <w:top w:w="80" w:type="dxa"/>
              <w:bottom w:w="80" w:type="dxa"/>
              <w:left w:w="120" w:type="dxa"/>
              <w:right w:w="120" w:type="dxa"/>
            </w:tcMar>
          </w:tcPr>
          <w:p>
            <w:pPr>
              <w:jc w:val="left"/>
            </w:pPr>
            <w:r>
              <w:rPr>
                <w:rFonts w:ascii="Calibri" w:hAnsi="Calibri"/>
                <w:color w:val="1E293B"/>
                <w:sz w:val="19"/>
              </w:rPr>
              <w:t>Data Security &amp; Safety</w:t>
            </w:r>
          </w:p>
        </w:tc>
        <w:tc>
          <w:tcPr>
            <w:tcW w:type="dxa" w:w="2592"/>
            <w:shd w:fill="FFFFFF"/>
            <w:tcMar>
              <w:top w:w="80" w:type="dxa"/>
              <w:bottom w:w="80" w:type="dxa"/>
              <w:left w:w="120" w:type="dxa"/>
              <w:right w:w="120" w:type="dxa"/>
            </w:tcMar>
          </w:tcPr>
          <w:p>
            <w:pPr>
              <w:jc w:val="left"/>
            </w:pPr>
            <w:r>
              <w:rPr>
                <w:rFonts w:ascii="Calibri" w:hAnsi="Calibri"/>
                <w:color w:val="1E293B"/>
                <w:sz w:val="19"/>
              </w:rPr>
              <w:t>Zero unauthorized data leaks or corrupted data</w:t>
            </w:r>
          </w:p>
        </w:tc>
        <w:tc>
          <w:tcPr>
            <w:tcW w:type="dxa" w:w="2880"/>
            <w:shd w:fill="FFFFFF"/>
            <w:tcMar>
              <w:top w:w="80" w:type="dxa"/>
              <w:bottom w:w="80" w:type="dxa"/>
              <w:left w:w="120" w:type="dxa"/>
              <w:right w:w="120" w:type="dxa"/>
            </w:tcMar>
          </w:tcPr>
          <w:p>
            <w:pPr>
              <w:jc w:val="left"/>
            </w:pPr>
            <w:r>
              <w:rPr>
                <w:rFonts w:ascii="Calibri" w:hAnsi="Calibri"/>
                <w:color w:val="1E293B"/>
                <w:sz w:val="19"/>
              </w:rPr>
              <w:t>Security audits and automated regression testing</w:t>
            </w:r>
          </w:p>
        </w:tc>
        <w:tc>
          <w:tcPr>
            <w:tcW w:type="dxa" w:w="2016"/>
            <w:shd w:fill="FFFFFF"/>
            <w:tcMar>
              <w:top w:w="80" w:type="dxa"/>
              <w:bottom w:w="80" w:type="dxa"/>
              <w:left w:w="120" w:type="dxa"/>
              <w:right w:w="120" w:type="dxa"/>
            </w:tcMar>
          </w:tcPr>
          <w:p>
            <w:pPr>
              <w:jc w:val="left"/>
            </w:pPr>
            <w:r>
              <w:rPr>
                <w:rFonts w:ascii="Calibri" w:hAnsi="Calibri"/>
                <w:color w:val="1E293B"/>
                <w:sz w:val="19"/>
              </w:rPr>
              <w:t>0 cross-tenant/cross-role leak incidents</w:t>
            </w:r>
          </w:p>
        </w:tc>
      </w:tr>
    </w:tbl>
    <w:p>
      <w:pPr>
        <w:spacing w:after="120"/>
      </w:pPr>
    </w:p>
    <w:p>
      <w:pPr>
        <w:keepNext/>
        <w:spacing w:before="360" w:after="120"/>
      </w:pPr>
      <w:r>
        <w:rPr>
          <w:rFonts w:ascii="Calibri" w:hAnsi="Calibri"/>
          <w:b/>
          <w:color w:val="0F2A4A"/>
          <w:sz w:val="32"/>
        </w:rPr>
        <w:t>5. High-Level Technical Architecture</w:t>
      </w:r>
    </w:p>
    <w:p>
      <w:pPr>
        <w:spacing w:before="0" w:after="120" w:line="276" w:lineRule="auto"/>
      </w:pPr>
      <w:r>
        <w:rPr>
          <w:rFonts w:ascii="Calibri" w:hAnsi="Calibri"/>
          <w:color w:val="334155"/>
          <w:sz w:val="21"/>
        </w:rPr>
        <w:t>The architecture decouples the front-end user experience from model orchestration, retrieval pipelines, and core CRM databases. This ensures that LLM provider outages, rate limits, or context variations never disrupt the primary CRM transactional system.</w:t>
      </w:r>
    </w:p>
    <w:tbl>
      <w:tblPr>
        <w:tblW w:type="auto" w:w="0"/>
        <w:jc w:val="center"/>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top w:val="none"/>
              <w:left w:val="single" w:sz="24" w:space="0" w:color="1E3A8A"/>
              <w:bottom w:val="none"/>
              <w:right w:val="none"/>
            </w:tcBorders>
          </w:tcPr>
          <w:p>
            <w:pPr>
              <w:spacing w:before="40" w:after="80"/>
            </w:pPr>
            <w:r>
              <w:rPr>
                <w:rFonts w:ascii="Calibri" w:hAnsi="Calibri"/>
                <w:b/>
                <w:color w:val="1E3A8A"/>
                <w:sz w:val="21"/>
              </w:rPr>
              <w:t>📌 ARCHITECTURAL FLOW &amp; LAYER RESPONSIBILITIES</w:t>
              <w:br/>
            </w:r>
          </w:p>
          <w:p>
            <w:pPr>
              <w:spacing w:before="40" w:after="60" w:line="276" w:lineRule="auto"/>
            </w:pPr>
            <w:r>
              <w:rPr>
                <w:rFonts w:ascii="Calibri" w:hAnsi="Calibri"/>
                <w:color w:val="334155"/>
                <w:sz w:val="20"/>
              </w:rPr>
              <w:t>1. Presentation Layer: Web CRM UI (React/Next.js) with real-time SSE streaming for interactive chat and embedded contextual widgets.</w:t>
            </w:r>
          </w:p>
          <w:p>
            <w:pPr>
              <w:spacing w:before="40" w:after="60" w:line="276" w:lineRule="auto"/>
            </w:pPr>
            <w:r>
              <w:rPr>
                <w:rFonts w:ascii="Calibri" w:hAnsi="Calibri"/>
                <w:color w:val="334155"/>
                <w:sz w:val="20"/>
              </w:rPr>
              <w:t>2. Security &amp; Identity: OAuth 2.0 / OIDC identity validation and strict Tenant/RBAC policy enforcement on every inbound payload.</w:t>
            </w:r>
          </w:p>
          <w:p>
            <w:pPr>
              <w:spacing w:before="40" w:after="60" w:line="276" w:lineRule="auto"/>
            </w:pPr>
            <w:r>
              <w:rPr>
                <w:rFonts w:ascii="Calibri" w:hAnsi="Calibri"/>
                <w:color w:val="334155"/>
                <w:sz w:val="20"/>
              </w:rPr>
              <w:t>3. AI Gateway: Enterprise proxy managing prompt templates, rate limiting, token budgets, model fallback routing, and PII anonymization.</w:t>
            </w:r>
          </w:p>
          <w:p>
            <w:pPr>
              <w:spacing w:before="40" w:after="60" w:line="276" w:lineRule="auto"/>
            </w:pPr>
            <w:r>
              <w:rPr>
                <w:rFonts w:ascii="Calibri" w:hAnsi="Calibri"/>
                <w:color w:val="334155"/>
                <w:sz w:val="20"/>
              </w:rPr>
              <w:t>4. Agent Orchestrator: State machine coordinating intent classification, iterative retrieval, tool execution, and approval suspension.</w:t>
            </w:r>
          </w:p>
          <w:p>
            <w:pPr>
              <w:spacing w:before="40" w:after="60" w:line="276" w:lineRule="auto"/>
            </w:pPr>
            <w:r>
              <w:rPr>
                <w:rFonts w:ascii="Calibri" w:hAnsi="Calibri"/>
                <w:color w:val="334155"/>
                <w:sz w:val="20"/>
              </w:rPr>
              <w:t>5. Permission-Aware Context Engine: Combines vector similarity search with SQL metadata permission filters before feeding prompt context.</w:t>
            </w:r>
          </w:p>
          <w:p>
            <w:pPr>
              <w:spacing w:before="40" w:after="60" w:line="276" w:lineRule="auto"/>
            </w:pPr>
            <w:r>
              <w:rPr>
                <w:rFonts w:ascii="Calibri" w:hAnsi="Calibri"/>
                <w:color w:val="334155"/>
                <w:sz w:val="20"/>
              </w:rPr>
              <w:t>6. Deterministic Tool Bus: Validated APIs for interacting with CRM databases, Google/Office365 calendars, ERP, and email dispatchers.</w:t>
            </w:r>
          </w:p>
          <w:p>
            <w:pPr>
              <w:spacing w:before="40" w:after="60" w:line="276" w:lineRule="auto"/>
            </w:pPr>
            <w:r>
              <w:rPr>
                <w:rFonts w:ascii="Calibri" w:hAnsi="Calibri"/>
                <w:color w:val="334155"/>
                <w:sz w:val="20"/>
              </w:rPr>
              <w:t>7. Governance &amp; Audit: Immutable ledger recording all prompts, retrieved documents, tool payloads, approvals, and outcomes.</w:t>
            </w:r>
          </w:p>
        </w:tc>
      </w:tr>
    </w:tbl>
    <w:p>
      <w:pPr>
        <w:spacing w:after="120"/>
      </w:pPr>
    </w:p>
    <w:p>
      <w:pPr>
        <w:keepNext/>
        <w:spacing w:before="360" w:after="120"/>
      </w:pPr>
      <w:r>
        <w:rPr>
          <w:rFonts w:ascii="Calibri" w:hAnsi="Calibri"/>
          <w:b/>
          <w:color w:val="0F2A4A"/>
          <w:sz w:val="32"/>
        </w:rPr>
        <w:t>6. Enterprise LLM Gateway &amp; Routing Strategy</w:t>
      </w:r>
    </w:p>
    <w:p>
      <w:pPr>
        <w:spacing w:before="0" w:after="120" w:line="276" w:lineRule="auto"/>
      </w:pPr>
      <w:r>
        <w:rPr>
          <w:rFonts w:ascii="Calibri" w:hAnsi="Calibri"/>
          <w:color w:val="334155"/>
          <w:sz w:val="21"/>
        </w:rPr>
        <w:t>To prevent single-vendor lock-in, manage enterprise API costs, and guarantee high availability, the platform operates behind a centralized LLM Gateway.</w:t>
      </w:r>
    </w:p>
    <w:p>
      <w:pPr>
        <w:pStyle w:val="ListBullet"/>
        <w:spacing w:before="20" w:after="60" w:line="276" w:lineRule="auto"/>
      </w:pPr>
      <w:r>
        <w:rPr>
          <w:rFonts w:ascii="Calibri" w:hAnsi="Calibri"/>
          <w:b/>
          <w:color w:val="0F172A"/>
          <w:sz w:val="20"/>
        </w:rPr>
        <w:t xml:space="preserve">Tiered Model Routing: </w:t>
      </w:r>
      <w:r>
        <w:rPr>
          <w:rFonts w:ascii="Calibri" w:hAnsi="Calibri"/>
          <w:color w:val="334155"/>
          <w:sz w:val="20"/>
        </w:rPr>
        <w:t>Route fast, simple tasks (e.g., entity extraction, intent detection) to lightweight models (e.g., Claude 3.5 Haiku / GPT-4o-mini). Complex reasoning, deal risk analysis, and multi-step tool calls are routed to high-capacity frontier models (e.g., Claude 3.5 Sonnet / GPT-4o).</w:t>
      </w:r>
    </w:p>
    <w:p>
      <w:pPr>
        <w:pStyle w:val="ListBullet"/>
        <w:spacing w:before="20" w:after="60" w:line="276" w:lineRule="auto"/>
      </w:pPr>
      <w:r>
        <w:rPr>
          <w:rFonts w:ascii="Calibri" w:hAnsi="Calibri"/>
          <w:b/>
          <w:color w:val="0F172A"/>
          <w:sz w:val="20"/>
        </w:rPr>
        <w:t xml:space="preserve">Automated Failover: </w:t>
      </w:r>
      <w:r>
        <w:rPr>
          <w:rFonts w:ascii="Calibri" w:hAnsi="Calibri"/>
          <w:color w:val="334155"/>
          <w:sz w:val="20"/>
        </w:rPr>
        <w:t>If the primary LLM provider suffers an outage, rate limit (HTTP 429), or latency spike (&gt;5s), the gateway automatically falls back to an alternate enterprise provider without dropping user state.</w:t>
      </w:r>
    </w:p>
    <w:p>
      <w:pPr>
        <w:pStyle w:val="ListBullet"/>
        <w:spacing w:before="20" w:after="60" w:line="276" w:lineRule="auto"/>
      </w:pPr>
      <w:r>
        <w:rPr>
          <w:rFonts w:ascii="Calibri" w:hAnsi="Calibri"/>
          <w:b/>
          <w:color w:val="0F172A"/>
          <w:sz w:val="20"/>
        </w:rPr>
        <w:t xml:space="preserve">PII &amp; Secrets Scrubbing: </w:t>
      </w:r>
      <w:r>
        <w:rPr>
          <w:rFonts w:ascii="Calibri" w:hAnsi="Calibri"/>
          <w:color w:val="334155"/>
          <w:sz w:val="20"/>
        </w:rPr>
        <w:t>All inbound customer messages and notes pass through automated regex and NER masking to scrub customer credit cards, social security numbers, or sensitive PII prior to model ingress.</w:t>
      </w:r>
    </w:p>
    <w:p>
      <w:pPr>
        <w:pStyle w:val="ListBullet"/>
        <w:spacing w:before="20" w:after="60" w:line="276" w:lineRule="auto"/>
      </w:pPr>
      <w:r>
        <w:rPr>
          <w:rFonts w:ascii="Calibri" w:hAnsi="Calibri"/>
          <w:b/>
          <w:color w:val="0F172A"/>
          <w:sz w:val="20"/>
        </w:rPr>
        <w:t xml:space="preserve">Cost &amp; Token Accounting: </w:t>
      </w:r>
      <w:r>
        <w:rPr>
          <w:rFonts w:ascii="Calibri" w:hAnsi="Calibri"/>
          <w:color w:val="334155"/>
          <w:sz w:val="20"/>
        </w:rPr>
        <w:t>Per-team token limits, budget alerts, and real-time inference cost tracking per sales organization.</w:t>
      </w:r>
    </w:p>
    <w:p>
      <w:pPr>
        <w:keepNext/>
        <w:spacing w:before="360" w:after="120"/>
      </w:pPr>
      <w:r>
        <w:rPr>
          <w:rFonts w:ascii="Calibri" w:hAnsi="Calibri"/>
          <w:b/>
          <w:color w:val="0F2A4A"/>
          <w:sz w:val="32"/>
        </w:rPr>
        <w:t>7. Permission-Aware RAG &amp; Context Engine</w:t>
      </w:r>
    </w:p>
    <w:p>
      <w:pPr>
        <w:spacing w:before="0" w:after="120" w:line="276" w:lineRule="auto"/>
      </w:pPr>
      <w:r>
        <w:rPr>
          <w:rFonts w:ascii="Calibri" w:hAnsi="Calibri"/>
          <w:color w:val="334155"/>
          <w:sz w:val="21"/>
        </w:rPr>
        <w:t>The Context Engine replaces naive vector search with a secure, permission-filtered retrieval architecture. In enterprise B2B sales, an account executive in Region A must never retrieve deals or pricing notes belonging to Region B, even if the semantic query matches perfectly.</w:t>
      </w:r>
    </w:p>
    <w:p>
      <w:pPr>
        <w:keepNext/>
        <w:spacing w:before="280" w:after="80"/>
      </w:pPr>
      <w:r>
        <w:rPr>
          <w:rFonts w:ascii="Calibri" w:hAnsi="Calibri"/>
          <w:b/>
          <w:color w:val="1E3A8A"/>
          <w:sz w:val="26"/>
        </w:rPr>
        <w:t>Ingestion &amp; Partitioning Pipeline</w:t>
      </w:r>
    </w:p>
    <w:p>
      <w:pPr>
        <w:pStyle w:val="ListBullet"/>
        <w:spacing w:before="20" w:after="60" w:line="276" w:lineRule="auto"/>
      </w:pPr>
      <w:r>
        <w:rPr>
          <w:rFonts w:ascii="Calibri" w:hAnsi="Calibri"/>
          <w:b/>
          <w:color w:val="0F172A"/>
          <w:sz w:val="20"/>
        </w:rPr>
        <w:t xml:space="preserve">1. Multichannel Ingestion: </w:t>
      </w:r>
      <w:r>
        <w:rPr>
          <w:rFonts w:ascii="Calibri" w:hAnsi="Calibri"/>
          <w:color w:val="334155"/>
          <w:sz w:val="20"/>
        </w:rPr>
        <w:t>Extract text from customer emails, call transcripts, pricing docs, PDFs, support tickets, and meeting summaries.</w:t>
      </w:r>
    </w:p>
    <w:p>
      <w:pPr>
        <w:pStyle w:val="ListBullet"/>
        <w:spacing w:before="20" w:after="60" w:line="276" w:lineRule="auto"/>
      </w:pPr>
      <w:r>
        <w:rPr>
          <w:rFonts w:ascii="Calibri" w:hAnsi="Calibri"/>
          <w:b/>
          <w:color w:val="0F172A"/>
          <w:sz w:val="20"/>
        </w:rPr>
        <w:t xml:space="preserve">2. Document Normalization: </w:t>
      </w:r>
      <w:r>
        <w:rPr>
          <w:rFonts w:ascii="Calibri" w:hAnsi="Calibri"/>
          <w:color w:val="334155"/>
          <w:sz w:val="20"/>
        </w:rPr>
        <w:t>Sanitize whitespace, remove redundant HTML tags, and redact confidential credential tokens.</w:t>
      </w:r>
    </w:p>
    <w:p>
      <w:pPr>
        <w:pStyle w:val="ListBullet"/>
        <w:spacing w:before="20" w:after="60" w:line="276" w:lineRule="auto"/>
      </w:pPr>
      <w:r>
        <w:rPr>
          <w:rFonts w:ascii="Calibri" w:hAnsi="Calibri"/>
          <w:b/>
          <w:color w:val="0F172A"/>
          <w:sz w:val="20"/>
        </w:rPr>
        <w:t xml:space="preserve">3. Context-Preserving Chunking: </w:t>
      </w:r>
      <w:r>
        <w:rPr>
          <w:rFonts w:ascii="Calibri" w:hAnsi="Calibri"/>
          <w:color w:val="334155"/>
          <w:sz w:val="20"/>
        </w:rPr>
        <w:t>Split documents using semantic boundary chunking (512–1024 tokens) with a 10% overlap to preserve conversational context.</w:t>
      </w:r>
    </w:p>
    <w:p>
      <w:pPr>
        <w:pStyle w:val="ListBullet"/>
        <w:spacing w:before="20" w:after="60" w:line="276" w:lineRule="auto"/>
      </w:pPr>
      <w:r>
        <w:rPr>
          <w:rFonts w:ascii="Calibri" w:hAnsi="Calibri"/>
          <w:b/>
          <w:color w:val="0F172A"/>
          <w:sz w:val="20"/>
        </w:rPr>
        <w:t xml:space="preserve">4. Metadata Stamping: </w:t>
      </w:r>
      <w:r>
        <w:rPr>
          <w:rFonts w:ascii="Calibri" w:hAnsi="Calibri"/>
          <w:color w:val="334155"/>
          <w:sz w:val="20"/>
        </w:rPr>
        <w:t>Every chunk is stamped with immutable metadata: {tenant_id, account_id, owner_id, territory_id, security_clearance, updated_at}.</w:t>
      </w:r>
    </w:p>
    <w:p>
      <w:pPr>
        <w:pStyle w:val="ListBullet"/>
        <w:spacing w:before="20" w:after="60" w:line="276" w:lineRule="auto"/>
      </w:pPr>
      <w:r>
        <w:rPr>
          <w:rFonts w:ascii="Calibri" w:hAnsi="Calibri"/>
          <w:b/>
          <w:color w:val="0F172A"/>
          <w:sz w:val="20"/>
        </w:rPr>
        <w:t xml:space="preserve">5. Secure Vector Storage: </w:t>
      </w:r>
      <w:r>
        <w:rPr>
          <w:rFonts w:ascii="Calibri" w:hAnsi="Calibri"/>
          <w:color w:val="334155"/>
          <w:sz w:val="20"/>
        </w:rPr>
        <w:t>Vectors are stored in PostgreSQL using the pgvector extension with HNSW indexing for sub-50ms similarity search.</w:t>
      </w:r>
    </w:p>
    <w:p>
      <w:pPr>
        <w:keepNext/>
        <w:spacing w:before="280" w:after="80"/>
      </w:pPr>
      <w:r>
        <w:rPr>
          <w:rFonts w:ascii="Calibri" w:hAnsi="Calibri"/>
          <w:b/>
          <w:color w:val="1E3A8A"/>
          <w:sz w:val="26"/>
        </w:rPr>
        <w:t>Permission-Filtered Retrieval Algorithm</w:t>
      </w:r>
    </w:p>
    <w:p>
      <w:pPr>
        <w:spacing w:before="0" w:after="120" w:line="276" w:lineRule="auto"/>
      </w:pPr>
      <w:r>
        <w:rPr>
          <w:rFonts w:ascii="Calibri" w:hAnsi="Calibri"/>
          <w:color w:val="334155"/>
          <w:sz w:val="21"/>
        </w:rPr>
        <w:t>When an AI request arrives, the engine retrieves the requesting user's security token and injects hard SQL filter constraints into the vector query: `WHERE tenant_id = :user_tenant AND (owner_id = :user_id OR territory_id IN (:user_territories))`. Only chunks passing this security boundary are returned to the LLM's context window. This guarantees zero possibility of cross-territory data contamination.</w:t>
      </w:r>
    </w:p>
    <w:p>
      <w:pPr>
        <w:keepNext/>
        <w:spacing w:before="360" w:after="120"/>
      </w:pPr>
      <w:r>
        <w:rPr>
          <w:rFonts w:ascii="Calibri" w:hAnsi="Calibri"/>
          <w:b/>
          <w:color w:val="0F2A4A"/>
          <w:sz w:val="32"/>
        </w:rPr>
        <w:t>8. Tool Definitions &amp; API Execution Schema</w:t>
      </w:r>
    </w:p>
    <w:p>
      <w:pPr>
        <w:spacing w:before="0" w:after="120" w:line="276" w:lineRule="auto"/>
      </w:pPr>
      <w:r>
        <w:rPr>
          <w:rFonts w:ascii="Calibri" w:hAnsi="Calibri"/>
          <w:color w:val="334155"/>
          <w:sz w:val="21"/>
        </w:rPr>
        <w:t>The LLM is strictly prohibited from executing raw SQL queries or modifying production tables directly. All environment interactions occur through deterministic, strongly-typed tool APIs equipped with input validation and idempotency tokens.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3312"/>
        <w:gridCol w:w="3312"/>
        <w:gridCol w:w="3312"/>
      </w:tblGrid>
      <w:tr>
        <w:tc>
          <w:tcPr>
            <w:tcW w:type="dxa" w:w="1728"/>
            <w:shd w:fill="1E3A8A"/>
            <w:tcMar>
              <w:top w:w="100" w:type="dxa"/>
              <w:bottom w:w="100" w:type="dxa"/>
              <w:left w:w="120" w:type="dxa"/>
              <w:right w:w="120" w:type="dxa"/>
            </w:tcMar>
          </w:tcPr>
          <w:p>
            <w:pPr>
              <w:jc w:val="left"/>
            </w:pPr>
            <w:r>
              <w:rPr>
                <w:rFonts w:ascii="Calibri" w:hAnsi="Calibri"/>
                <w:b/>
                <w:color w:val="FFFFFF"/>
                <w:sz w:val="20"/>
              </w:rPr>
              <w:t>Category</w:t>
            </w:r>
          </w:p>
        </w:tc>
        <w:tc>
          <w:tcPr>
            <w:tcW w:type="dxa" w:w="3744"/>
            <w:shd w:fill="1E3A8A"/>
            <w:tcMar>
              <w:top w:w="100" w:type="dxa"/>
              <w:bottom w:w="100" w:type="dxa"/>
              <w:left w:w="120" w:type="dxa"/>
              <w:right w:w="120" w:type="dxa"/>
            </w:tcMar>
          </w:tcPr>
          <w:p>
            <w:pPr>
              <w:jc w:val="left"/>
            </w:pPr>
            <w:r>
              <w:rPr>
                <w:rFonts w:ascii="Calibri" w:hAnsi="Calibri"/>
                <w:b/>
                <w:color w:val="FFFFFF"/>
                <w:sz w:val="20"/>
              </w:rPr>
              <w:t>Function Signature</w:t>
            </w:r>
          </w:p>
        </w:tc>
        <w:tc>
          <w:tcPr>
            <w:tcW w:type="dxa" w:w="4608"/>
            <w:shd w:fill="1E3A8A"/>
            <w:tcMar>
              <w:top w:w="100" w:type="dxa"/>
              <w:bottom w:w="100" w:type="dxa"/>
              <w:left w:w="120" w:type="dxa"/>
              <w:right w:w="120" w:type="dxa"/>
            </w:tcMar>
          </w:tcPr>
          <w:p>
            <w:pPr>
              <w:jc w:val="left"/>
            </w:pPr>
            <w:r>
              <w:rPr>
                <w:rFonts w:ascii="Calibri" w:hAnsi="Calibri"/>
                <w:b/>
                <w:color w:val="FFFFFF"/>
                <w:sz w:val="20"/>
              </w:rPr>
              <w:t>Description &amp; Safety Mechanism</w:t>
            </w:r>
          </w:p>
        </w:tc>
      </w:tr>
      <w:tr>
        <w:tc>
          <w:tcPr>
            <w:tcW w:type="dxa" w:w="1728"/>
            <w:shd w:fill="FFFFFF"/>
            <w:tcMar>
              <w:top w:w="80" w:type="dxa"/>
              <w:bottom w:w="80" w:type="dxa"/>
              <w:left w:w="120" w:type="dxa"/>
              <w:right w:w="120" w:type="dxa"/>
            </w:tcMar>
          </w:tcPr>
          <w:p>
            <w:pPr>
              <w:jc w:val="left"/>
            </w:pPr>
            <w:r>
              <w:rPr>
                <w:rFonts w:ascii="Calibri" w:hAnsi="Calibri"/>
                <w:color w:val="1E293B"/>
                <w:sz w:val="19"/>
              </w:rPr>
              <w:t>Customer</w:t>
            </w:r>
          </w:p>
        </w:tc>
        <w:tc>
          <w:tcPr>
            <w:tcW w:type="dxa" w:w="3744"/>
            <w:shd w:fill="FFFFFF"/>
            <w:tcMar>
              <w:top w:w="80" w:type="dxa"/>
              <w:bottom w:w="80" w:type="dxa"/>
              <w:left w:w="120" w:type="dxa"/>
              <w:right w:w="120" w:type="dxa"/>
            </w:tcMar>
          </w:tcPr>
          <w:p>
            <w:pPr>
              <w:jc w:val="left"/>
            </w:pPr>
            <w:r>
              <w:rPr>
                <w:rFonts w:ascii="Calibri" w:hAnsi="Calibri"/>
                <w:color w:val="1E293B"/>
                <w:sz w:val="19"/>
              </w:rPr>
              <w:t>get_customer(customer_id)</w:t>
              <w:br/>
              <w:t>search_customers(query, filters)</w:t>
            </w:r>
          </w:p>
        </w:tc>
        <w:tc>
          <w:tcPr>
            <w:tcW w:type="dxa" w:w="4608"/>
            <w:shd w:fill="FFFFFF"/>
            <w:tcMar>
              <w:top w:w="80" w:type="dxa"/>
              <w:bottom w:w="80" w:type="dxa"/>
              <w:left w:w="120" w:type="dxa"/>
              <w:right w:w="120" w:type="dxa"/>
            </w:tcMar>
          </w:tcPr>
          <w:p>
            <w:pPr>
              <w:jc w:val="left"/>
            </w:pPr>
            <w:r>
              <w:rPr>
                <w:rFonts w:ascii="Calibri" w:hAnsi="Calibri"/>
                <w:color w:val="1E293B"/>
                <w:sz w:val="19"/>
              </w:rPr>
              <w:t>Retrieves customer profile, assigned rep, open tickets, and contract status. Read-only.</w:t>
            </w:r>
          </w:p>
        </w:tc>
      </w:tr>
      <w:tr>
        <w:tc>
          <w:tcPr>
            <w:tcW w:type="dxa" w:w="1728"/>
            <w:shd w:fill="F8FAFC"/>
            <w:tcMar>
              <w:top w:w="80" w:type="dxa"/>
              <w:bottom w:w="80" w:type="dxa"/>
              <w:left w:w="120" w:type="dxa"/>
              <w:right w:w="120" w:type="dxa"/>
            </w:tcMar>
          </w:tcPr>
          <w:p>
            <w:pPr>
              <w:jc w:val="left"/>
            </w:pPr>
            <w:r>
              <w:rPr>
                <w:rFonts w:ascii="Calibri" w:hAnsi="Calibri"/>
                <w:color w:val="1E293B"/>
                <w:sz w:val="19"/>
              </w:rPr>
              <w:t>Lead</w:t>
            </w:r>
          </w:p>
        </w:tc>
        <w:tc>
          <w:tcPr>
            <w:tcW w:type="dxa" w:w="3744"/>
            <w:shd w:fill="F8FAFC"/>
            <w:tcMar>
              <w:top w:w="80" w:type="dxa"/>
              <w:bottom w:w="80" w:type="dxa"/>
              <w:left w:w="120" w:type="dxa"/>
              <w:right w:w="120" w:type="dxa"/>
            </w:tcMar>
          </w:tcPr>
          <w:p>
            <w:pPr>
              <w:jc w:val="left"/>
            </w:pPr>
            <w:r>
              <w:rPr>
                <w:rFonts w:ascii="Calibri" w:hAnsi="Calibri"/>
                <w:color w:val="1E293B"/>
                <w:sz w:val="19"/>
              </w:rPr>
              <w:t>qualify_lead(lead_id, score, reasons)</w:t>
              <w:br/>
              <w:t>assign_lead(lead_id, rep_id)</w:t>
            </w:r>
          </w:p>
        </w:tc>
        <w:tc>
          <w:tcPr>
            <w:tcW w:type="dxa" w:w="4608"/>
            <w:shd w:fill="F8FAFC"/>
            <w:tcMar>
              <w:top w:w="80" w:type="dxa"/>
              <w:bottom w:w="80" w:type="dxa"/>
              <w:left w:w="120" w:type="dxa"/>
              <w:right w:w="120" w:type="dxa"/>
            </w:tcMar>
          </w:tcPr>
          <w:p>
            <w:pPr>
              <w:jc w:val="left"/>
            </w:pPr>
            <w:r>
              <w:rPr>
                <w:rFonts w:ascii="Calibri" w:hAnsi="Calibri"/>
                <w:color w:val="1E293B"/>
                <w:sz w:val="19"/>
              </w:rPr>
              <w:t>Evaluates inbound lead against ICP and routes to territory owner. Validates schema before commit.</w:t>
            </w:r>
          </w:p>
        </w:tc>
      </w:tr>
      <w:tr>
        <w:tc>
          <w:tcPr>
            <w:tcW w:type="dxa" w:w="1728"/>
            <w:shd w:fill="FFFFFF"/>
            <w:tcMar>
              <w:top w:w="80" w:type="dxa"/>
              <w:bottom w:w="80" w:type="dxa"/>
              <w:left w:w="120" w:type="dxa"/>
              <w:right w:w="120" w:type="dxa"/>
            </w:tcMar>
          </w:tcPr>
          <w:p>
            <w:pPr>
              <w:jc w:val="left"/>
            </w:pPr>
            <w:r>
              <w:rPr>
                <w:rFonts w:ascii="Calibri" w:hAnsi="Calibri"/>
                <w:color w:val="1E293B"/>
                <w:sz w:val="19"/>
              </w:rPr>
              <w:t>Opportunity</w:t>
            </w:r>
          </w:p>
        </w:tc>
        <w:tc>
          <w:tcPr>
            <w:tcW w:type="dxa" w:w="3744"/>
            <w:shd w:fill="FFFFFF"/>
            <w:tcMar>
              <w:top w:w="80" w:type="dxa"/>
              <w:bottom w:w="80" w:type="dxa"/>
              <w:left w:w="120" w:type="dxa"/>
              <w:right w:w="120" w:type="dxa"/>
            </w:tcMar>
          </w:tcPr>
          <w:p>
            <w:pPr>
              <w:jc w:val="left"/>
            </w:pPr>
            <w:r>
              <w:rPr>
                <w:rFonts w:ascii="Calibri" w:hAnsi="Calibri"/>
                <w:color w:val="1E293B"/>
                <w:sz w:val="19"/>
              </w:rPr>
              <w:t>get_opportunities(filters)</w:t>
              <w:br/>
              <w:t>calculate_probability(opp_id)</w:t>
              <w:br/>
              <w:t>change_stage(opp_id, new_stage)</w:t>
            </w:r>
          </w:p>
        </w:tc>
        <w:tc>
          <w:tcPr>
            <w:tcW w:type="dxa" w:w="4608"/>
            <w:shd w:fill="FFFFFF"/>
            <w:tcMar>
              <w:top w:w="80" w:type="dxa"/>
              <w:bottom w:w="80" w:type="dxa"/>
              <w:left w:w="120" w:type="dxa"/>
              <w:right w:w="120" w:type="dxa"/>
            </w:tcMar>
          </w:tcPr>
          <w:p>
            <w:pPr>
              <w:jc w:val="left"/>
            </w:pPr>
            <w:r>
              <w:rPr>
                <w:rFonts w:ascii="Calibri" w:hAnsi="Calibri"/>
                <w:color w:val="1E293B"/>
                <w:sz w:val="19"/>
              </w:rPr>
              <w:t>Analyzes deal velocity, stage progression, and risk factors. High-value stage updates require confirmation.</w:t>
            </w:r>
          </w:p>
        </w:tc>
      </w:tr>
      <w:tr>
        <w:tc>
          <w:tcPr>
            <w:tcW w:type="dxa" w:w="1728"/>
            <w:shd w:fill="F8FAFC"/>
            <w:tcMar>
              <w:top w:w="80" w:type="dxa"/>
              <w:bottom w:w="80" w:type="dxa"/>
              <w:left w:w="120" w:type="dxa"/>
              <w:right w:w="120" w:type="dxa"/>
            </w:tcMar>
          </w:tcPr>
          <w:p>
            <w:pPr>
              <w:jc w:val="left"/>
            </w:pPr>
            <w:r>
              <w:rPr>
                <w:rFonts w:ascii="Calibri" w:hAnsi="Calibri"/>
                <w:color w:val="1E293B"/>
                <w:sz w:val="19"/>
              </w:rPr>
              <w:t>Activity</w:t>
            </w:r>
          </w:p>
        </w:tc>
        <w:tc>
          <w:tcPr>
            <w:tcW w:type="dxa" w:w="3744"/>
            <w:shd w:fill="F8FAFC"/>
            <w:tcMar>
              <w:top w:w="80" w:type="dxa"/>
              <w:bottom w:w="80" w:type="dxa"/>
              <w:left w:w="120" w:type="dxa"/>
              <w:right w:w="120" w:type="dxa"/>
            </w:tcMar>
          </w:tcPr>
          <w:p>
            <w:pPr>
              <w:jc w:val="left"/>
            </w:pPr>
            <w:r>
              <w:rPr>
                <w:rFonts w:ascii="Calibri" w:hAnsi="Calibri"/>
                <w:color w:val="1E293B"/>
                <w:sz w:val="19"/>
              </w:rPr>
              <w:t>create_task(opp_id, title, due_date)</w:t>
              <w:br/>
              <w:t>schedule_followup(contact_id, date, notes)</w:t>
            </w:r>
          </w:p>
        </w:tc>
        <w:tc>
          <w:tcPr>
            <w:tcW w:type="dxa" w:w="4608"/>
            <w:shd w:fill="F8FAFC"/>
            <w:tcMar>
              <w:top w:w="80" w:type="dxa"/>
              <w:bottom w:w="80" w:type="dxa"/>
              <w:left w:w="120" w:type="dxa"/>
              <w:right w:w="120" w:type="dxa"/>
            </w:tcMar>
          </w:tcPr>
          <w:p>
            <w:pPr>
              <w:jc w:val="left"/>
            </w:pPr>
            <w:r>
              <w:rPr>
                <w:rFonts w:ascii="Calibri" w:hAnsi="Calibri"/>
                <w:color w:val="1E293B"/>
                <w:sz w:val="19"/>
              </w:rPr>
              <w:t>Creates CRM task objects and calendar invitations. Fully idempotent to prevent duplicate tasks.</w:t>
            </w:r>
          </w:p>
        </w:tc>
      </w:tr>
      <w:tr>
        <w:tc>
          <w:tcPr>
            <w:tcW w:type="dxa" w:w="1728"/>
            <w:shd w:fill="FFFFFF"/>
            <w:tcMar>
              <w:top w:w="80" w:type="dxa"/>
              <w:bottom w:w="80" w:type="dxa"/>
              <w:left w:w="120" w:type="dxa"/>
              <w:right w:w="120" w:type="dxa"/>
            </w:tcMar>
          </w:tcPr>
          <w:p>
            <w:pPr>
              <w:jc w:val="left"/>
            </w:pPr>
            <w:r>
              <w:rPr>
                <w:rFonts w:ascii="Calibri" w:hAnsi="Calibri"/>
                <w:color w:val="1E293B"/>
                <w:sz w:val="19"/>
              </w:rPr>
              <w:t>Analytics</w:t>
            </w:r>
          </w:p>
        </w:tc>
        <w:tc>
          <w:tcPr>
            <w:tcW w:type="dxa" w:w="3744"/>
            <w:shd w:fill="FFFFFF"/>
            <w:tcMar>
              <w:top w:w="80" w:type="dxa"/>
              <w:bottom w:w="80" w:type="dxa"/>
              <w:left w:w="120" w:type="dxa"/>
              <w:right w:w="120" w:type="dxa"/>
            </w:tcMar>
          </w:tcPr>
          <w:p>
            <w:pPr>
              <w:jc w:val="left"/>
            </w:pPr>
            <w:r>
              <w:rPr>
                <w:rFonts w:ascii="Calibri" w:hAnsi="Calibri"/>
                <w:color w:val="1E293B"/>
                <w:sz w:val="19"/>
              </w:rPr>
              <w:t>get_pipeline_health(rep_id, quarter)</w:t>
              <w:br/>
              <w:t>get_conversion_rate(timeframe)</w:t>
            </w:r>
          </w:p>
        </w:tc>
        <w:tc>
          <w:tcPr>
            <w:tcW w:type="dxa" w:w="4608"/>
            <w:shd w:fill="FFFFFF"/>
            <w:tcMar>
              <w:top w:w="80" w:type="dxa"/>
              <w:bottom w:w="80" w:type="dxa"/>
              <w:left w:w="120" w:type="dxa"/>
              <w:right w:w="120" w:type="dxa"/>
            </w:tcMar>
          </w:tcPr>
          <w:p>
            <w:pPr>
              <w:jc w:val="left"/>
            </w:pPr>
            <w:r>
              <w:rPr>
                <w:rFonts w:ascii="Calibri" w:hAnsi="Calibri"/>
                <w:color w:val="1E293B"/>
                <w:sz w:val="19"/>
              </w:rPr>
              <w:t>Aggregates revenue forecasts, conversion trends, and quota attainment summaries. Read-only.</w:t>
            </w:r>
          </w:p>
        </w:tc>
      </w:tr>
    </w:tbl>
    <w:p>
      <w:pPr>
        <w:spacing w:after="120"/>
      </w:pPr>
    </w:p>
    <w:p>
      <w:pPr>
        <w:keepNext/>
        <w:spacing w:before="360" w:after="120"/>
      </w:pPr>
      <w:r>
        <w:rPr>
          <w:rFonts w:ascii="Calibri" w:hAnsi="Calibri"/>
          <w:b/>
          <w:color w:val="0F2A4A"/>
          <w:sz w:val="32"/>
        </w:rPr>
        <w:t>9. Multi-Layer Guardrails &amp; Safety Controls</w:t>
      </w:r>
    </w:p>
    <w:p>
      <w:pPr>
        <w:spacing w:before="0" w:after="120" w:line="276" w:lineRule="auto"/>
      </w:pPr>
      <w:r>
        <w:rPr>
          <w:rFonts w:ascii="Calibri" w:hAnsi="Calibri"/>
          <w:color w:val="334155"/>
          <w:sz w:val="21"/>
        </w:rPr>
        <w:t>The platform incorporates a three-tiered guardrail defense model to safeguard system integrity and enterprise data:</w:t>
      </w:r>
    </w:p>
    <w:p>
      <w:pPr>
        <w:pStyle w:val="ListBullet"/>
        <w:spacing w:before="20" w:after="60" w:line="276" w:lineRule="auto"/>
      </w:pPr>
      <w:r>
        <w:rPr>
          <w:rFonts w:ascii="Calibri" w:hAnsi="Calibri"/>
          <w:b/>
          <w:color w:val="0F172A"/>
          <w:sz w:val="20"/>
        </w:rPr>
        <w:t xml:space="preserve">1. Ingress Guardrails: </w:t>
      </w:r>
      <w:r>
        <w:rPr>
          <w:rFonts w:ascii="Calibri" w:hAnsi="Calibri"/>
          <w:color w:val="334155"/>
          <w:sz w:val="20"/>
        </w:rPr>
        <w:t>Inspects user queries for jailbreak patterns, prompt injections, unauthorized administrative commands, and malicious payloads.</w:t>
      </w:r>
    </w:p>
    <w:p>
      <w:pPr>
        <w:pStyle w:val="ListBullet"/>
        <w:spacing w:before="20" w:after="60" w:line="276" w:lineRule="auto"/>
      </w:pPr>
      <w:r>
        <w:rPr>
          <w:rFonts w:ascii="Calibri" w:hAnsi="Calibri"/>
          <w:b/>
          <w:color w:val="0F172A"/>
          <w:sz w:val="20"/>
        </w:rPr>
        <w:t xml:space="preserve">2. Execution Guardrails: </w:t>
      </w:r>
      <w:r>
        <w:rPr>
          <w:rFonts w:ascii="Calibri" w:hAnsi="Calibri"/>
          <w:color w:val="334155"/>
          <w:sz w:val="20"/>
        </w:rPr>
        <w:t>Every tool execution verifies API scopes, validates JSON schemas with Pydantic, checks rate limits, and requires unique idempotency keys.</w:t>
      </w:r>
    </w:p>
    <w:p>
      <w:pPr>
        <w:pStyle w:val="ListBullet"/>
        <w:spacing w:before="20" w:after="60" w:line="276" w:lineRule="auto"/>
      </w:pPr>
      <w:r>
        <w:rPr>
          <w:rFonts w:ascii="Calibri" w:hAnsi="Calibri"/>
          <w:b/>
          <w:color w:val="0F172A"/>
          <w:sz w:val="20"/>
        </w:rPr>
        <w:t xml:space="preserve">3. Egress Guardrails: </w:t>
      </w:r>
      <w:r>
        <w:rPr>
          <w:rFonts w:ascii="Calibri" w:hAnsi="Calibri"/>
          <w:color w:val="334155"/>
          <w:sz w:val="20"/>
        </w:rPr>
        <w:t>Responses are cross-referenced against retrieved source documents. If factual claims cannot be grounded in CRM data, the system flags the statement or falls back gracefully rather than hallucinating.</w:t>
      </w:r>
    </w:p>
    <w:p>
      <w:pPr>
        <w:keepNext/>
        <w:spacing w:before="360" w:after="120"/>
      </w:pPr>
      <w:r>
        <w:rPr>
          <w:rFonts w:ascii="Calibri" w:hAnsi="Calibri"/>
          <w:b/>
          <w:color w:val="0F2A4A"/>
          <w:sz w:val="32"/>
        </w:rPr>
        <w:t>10. Human-in-the-Loop (HITL) &amp; State Machine</w:t>
      </w:r>
    </w:p>
    <w:p>
      <w:pPr>
        <w:spacing w:before="0" w:after="120" w:line="276" w:lineRule="auto"/>
      </w:pPr>
      <w:r>
        <w:rPr>
          <w:rFonts w:ascii="Calibri" w:hAnsi="Calibri"/>
          <w:color w:val="334155"/>
          <w:sz w:val="21"/>
        </w:rPr>
        <w:t>Autonomous agents must never make unilateral, irreversible decisions that impact customer relationships or financial commitments. The system classifies every action into low, medium, or high risk, enforcing human sign-off where appropriate.</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484"/>
        <w:gridCol w:w="2484"/>
        <w:gridCol w:w="2484"/>
        <w:gridCol w:w="2484"/>
      </w:tblGrid>
      <w:tr>
        <w:tc>
          <w:tcPr>
            <w:tcW w:type="dxa" w:w="2160"/>
            <w:shd w:fill="1E3A8A"/>
            <w:tcMar>
              <w:top w:w="100" w:type="dxa"/>
              <w:bottom w:w="100" w:type="dxa"/>
              <w:left w:w="120" w:type="dxa"/>
              <w:right w:w="120" w:type="dxa"/>
            </w:tcMar>
          </w:tcPr>
          <w:p>
            <w:pPr>
              <w:jc w:val="left"/>
            </w:pPr>
            <w:r>
              <w:rPr>
                <w:rFonts w:ascii="Calibri" w:hAnsi="Calibri"/>
                <w:b/>
                <w:color w:val="FFFFFF"/>
                <w:sz w:val="20"/>
              </w:rPr>
              <w:t>Risk Tier</w:t>
            </w:r>
          </w:p>
        </w:tc>
        <w:tc>
          <w:tcPr>
            <w:tcW w:type="dxa" w:w="3168"/>
            <w:shd w:fill="1E3A8A"/>
            <w:tcMar>
              <w:top w:w="100" w:type="dxa"/>
              <w:bottom w:w="100" w:type="dxa"/>
              <w:left w:w="120" w:type="dxa"/>
              <w:right w:w="120" w:type="dxa"/>
            </w:tcMar>
          </w:tcPr>
          <w:p>
            <w:pPr>
              <w:jc w:val="left"/>
            </w:pPr>
            <w:r>
              <w:rPr>
                <w:rFonts w:ascii="Calibri" w:hAnsi="Calibri"/>
                <w:b/>
                <w:color w:val="FFFFFF"/>
                <w:sz w:val="20"/>
              </w:rPr>
              <w:t>Action Types</w:t>
            </w:r>
          </w:p>
        </w:tc>
        <w:tc>
          <w:tcPr>
            <w:tcW w:type="dxa" w:w="2592"/>
            <w:shd w:fill="1E3A8A"/>
            <w:tcMar>
              <w:top w:w="100" w:type="dxa"/>
              <w:bottom w:w="100" w:type="dxa"/>
              <w:left w:w="120" w:type="dxa"/>
              <w:right w:w="120" w:type="dxa"/>
            </w:tcMar>
          </w:tcPr>
          <w:p>
            <w:pPr>
              <w:jc w:val="left"/>
            </w:pPr>
            <w:r>
              <w:rPr>
                <w:rFonts w:ascii="Calibri" w:hAnsi="Calibri"/>
                <w:b/>
                <w:color w:val="FFFFFF"/>
                <w:sz w:val="20"/>
              </w:rPr>
              <w:t>Approval Requirement</w:t>
            </w:r>
          </w:p>
        </w:tc>
        <w:tc>
          <w:tcPr>
            <w:tcW w:type="dxa" w:w="2160"/>
            <w:shd w:fill="1E3A8A"/>
            <w:tcMar>
              <w:top w:w="100" w:type="dxa"/>
              <w:bottom w:w="100" w:type="dxa"/>
              <w:left w:w="120" w:type="dxa"/>
              <w:right w:w="120" w:type="dxa"/>
            </w:tcMar>
          </w:tcPr>
          <w:p>
            <w:pPr>
              <w:jc w:val="left"/>
            </w:pPr>
            <w:r>
              <w:rPr>
                <w:rFonts w:ascii="Calibri" w:hAnsi="Calibri"/>
                <w:b/>
                <w:color w:val="FFFFFF"/>
                <w:sz w:val="20"/>
              </w:rPr>
              <w:t>Execution Mechanism</w:t>
            </w:r>
          </w:p>
        </w:tc>
      </w:tr>
      <w:tr>
        <w:tc>
          <w:tcPr>
            <w:tcW w:type="dxa" w:w="2160"/>
            <w:shd w:fill="FFFFFF"/>
            <w:tcMar>
              <w:top w:w="80" w:type="dxa"/>
              <w:bottom w:w="80" w:type="dxa"/>
              <w:left w:w="120" w:type="dxa"/>
              <w:right w:w="120" w:type="dxa"/>
            </w:tcMar>
          </w:tcPr>
          <w:p>
            <w:pPr>
              <w:jc w:val="left"/>
            </w:pPr>
            <w:r>
              <w:rPr>
                <w:rFonts w:ascii="Calibri" w:hAnsi="Calibri"/>
                <w:color w:val="1E293B"/>
                <w:sz w:val="19"/>
              </w:rPr>
              <w:t>Tier 1: Read-Only</w:t>
            </w:r>
          </w:p>
        </w:tc>
        <w:tc>
          <w:tcPr>
            <w:tcW w:type="dxa" w:w="3168"/>
            <w:shd w:fill="FFFFFF"/>
            <w:tcMar>
              <w:top w:w="80" w:type="dxa"/>
              <w:bottom w:w="80" w:type="dxa"/>
              <w:left w:w="120" w:type="dxa"/>
              <w:right w:w="120" w:type="dxa"/>
            </w:tcMar>
          </w:tcPr>
          <w:p>
            <w:pPr>
              <w:jc w:val="left"/>
            </w:pPr>
            <w:r>
              <w:rPr>
                <w:rFonts w:ascii="Calibri" w:hAnsi="Calibri"/>
                <w:color w:val="1E293B"/>
                <w:sz w:val="19"/>
              </w:rPr>
              <w:t>Search records, view risk analysis, summarize notes</w:t>
            </w:r>
          </w:p>
        </w:tc>
        <w:tc>
          <w:tcPr>
            <w:tcW w:type="dxa" w:w="2592"/>
            <w:shd w:fill="FFFFFF"/>
            <w:tcMar>
              <w:top w:w="80" w:type="dxa"/>
              <w:bottom w:w="80" w:type="dxa"/>
              <w:left w:w="120" w:type="dxa"/>
              <w:right w:w="120" w:type="dxa"/>
            </w:tcMar>
          </w:tcPr>
          <w:p>
            <w:pPr>
              <w:jc w:val="left"/>
            </w:pPr>
            <w:r>
              <w:rPr>
                <w:rFonts w:ascii="Calibri" w:hAnsi="Calibri"/>
                <w:color w:val="1E293B"/>
                <w:sz w:val="19"/>
              </w:rPr>
              <w:t>No Approval Required</w:t>
            </w:r>
          </w:p>
        </w:tc>
        <w:tc>
          <w:tcPr>
            <w:tcW w:type="dxa" w:w="2160"/>
            <w:shd w:fill="FFFFFF"/>
            <w:tcMar>
              <w:top w:w="80" w:type="dxa"/>
              <w:bottom w:w="80" w:type="dxa"/>
              <w:left w:w="120" w:type="dxa"/>
              <w:right w:w="120" w:type="dxa"/>
            </w:tcMar>
          </w:tcPr>
          <w:p>
            <w:pPr>
              <w:jc w:val="left"/>
            </w:pPr>
            <w:r>
              <w:rPr>
                <w:rFonts w:ascii="Calibri" w:hAnsi="Calibri"/>
                <w:color w:val="1E293B"/>
                <w:sz w:val="19"/>
              </w:rPr>
              <w:t>Executed immediately in real-time streaming.</w:t>
            </w:r>
          </w:p>
        </w:tc>
      </w:tr>
      <w:tr>
        <w:tc>
          <w:tcPr>
            <w:tcW w:type="dxa" w:w="2160"/>
            <w:shd w:fill="F8FAFC"/>
            <w:tcMar>
              <w:top w:w="80" w:type="dxa"/>
              <w:bottom w:w="80" w:type="dxa"/>
              <w:left w:w="120" w:type="dxa"/>
              <w:right w:w="120" w:type="dxa"/>
            </w:tcMar>
          </w:tcPr>
          <w:p>
            <w:pPr>
              <w:jc w:val="left"/>
            </w:pPr>
            <w:r>
              <w:rPr>
                <w:rFonts w:ascii="Calibri" w:hAnsi="Calibri"/>
                <w:color w:val="1E293B"/>
                <w:sz w:val="19"/>
              </w:rPr>
              <w:t>Tier 2: Low-Impact Mutation</w:t>
            </w:r>
          </w:p>
        </w:tc>
        <w:tc>
          <w:tcPr>
            <w:tcW w:type="dxa" w:w="3168"/>
            <w:shd w:fill="F8FAFC"/>
            <w:tcMar>
              <w:top w:w="80" w:type="dxa"/>
              <w:bottom w:w="80" w:type="dxa"/>
              <w:left w:w="120" w:type="dxa"/>
              <w:right w:w="120" w:type="dxa"/>
            </w:tcMar>
          </w:tcPr>
          <w:p>
            <w:pPr>
              <w:jc w:val="left"/>
            </w:pPr>
            <w:r>
              <w:rPr>
                <w:rFonts w:ascii="Calibri" w:hAnsi="Calibri"/>
                <w:color w:val="1E293B"/>
                <w:sz w:val="19"/>
              </w:rPr>
              <w:t>Create internal follow-up task, add meeting note, update lead status</w:t>
            </w:r>
          </w:p>
        </w:tc>
        <w:tc>
          <w:tcPr>
            <w:tcW w:type="dxa" w:w="2592"/>
            <w:shd w:fill="F8FAFC"/>
            <w:tcMar>
              <w:top w:w="80" w:type="dxa"/>
              <w:bottom w:w="80" w:type="dxa"/>
              <w:left w:w="120" w:type="dxa"/>
              <w:right w:w="120" w:type="dxa"/>
            </w:tcMar>
          </w:tcPr>
          <w:p>
            <w:pPr>
              <w:jc w:val="left"/>
            </w:pPr>
            <w:r>
              <w:rPr>
                <w:rFonts w:ascii="Calibri" w:hAnsi="Calibri"/>
                <w:color w:val="1E293B"/>
                <w:sz w:val="19"/>
              </w:rPr>
              <w:t>Implicit Rep Confirmation</w:t>
            </w:r>
          </w:p>
        </w:tc>
        <w:tc>
          <w:tcPr>
            <w:tcW w:type="dxa" w:w="2160"/>
            <w:shd w:fill="F8FAFC"/>
            <w:tcMar>
              <w:top w:w="80" w:type="dxa"/>
              <w:bottom w:w="80" w:type="dxa"/>
              <w:left w:w="120" w:type="dxa"/>
              <w:right w:w="120" w:type="dxa"/>
            </w:tcMar>
          </w:tcPr>
          <w:p>
            <w:pPr>
              <w:jc w:val="left"/>
            </w:pPr>
            <w:r>
              <w:rPr>
                <w:rFonts w:ascii="Calibri" w:hAnsi="Calibri"/>
                <w:color w:val="1E293B"/>
                <w:sz w:val="19"/>
              </w:rPr>
              <w:t>Executed with a 10-second undo toast notification in the UI.</w:t>
            </w:r>
          </w:p>
        </w:tc>
      </w:tr>
      <w:tr>
        <w:tc>
          <w:tcPr>
            <w:tcW w:type="dxa" w:w="2160"/>
            <w:shd w:fill="FFFFFF"/>
            <w:tcMar>
              <w:top w:w="80" w:type="dxa"/>
              <w:bottom w:w="80" w:type="dxa"/>
              <w:left w:w="120" w:type="dxa"/>
              <w:right w:w="120" w:type="dxa"/>
            </w:tcMar>
          </w:tcPr>
          <w:p>
            <w:pPr>
              <w:jc w:val="left"/>
            </w:pPr>
            <w:r>
              <w:rPr>
                <w:rFonts w:ascii="Calibri" w:hAnsi="Calibri"/>
                <w:color w:val="1E293B"/>
                <w:sz w:val="19"/>
              </w:rPr>
              <w:t>Tier 3: High-Impact External</w:t>
            </w:r>
          </w:p>
        </w:tc>
        <w:tc>
          <w:tcPr>
            <w:tcW w:type="dxa" w:w="3168"/>
            <w:shd w:fill="FFFFFF"/>
            <w:tcMar>
              <w:top w:w="80" w:type="dxa"/>
              <w:bottom w:w="80" w:type="dxa"/>
              <w:left w:w="120" w:type="dxa"/>
              <w:right w:w="120" w:type="dxa"/>
            </w:tcMar>
          </w:tcPr>
          <w:p>
            <w:pPr>
              <w:jc w:val="left"/>
            </w:pPr>
            <w:r>
              <w:rPr>
                <w:rFonts w:ascii="Calibri" w:hAnsi="Calibri"/>
                <w:color w:val="1E293B"/>
                <w:sz w:val="19"/>
              </w:rPr>
              <w:t>Send customer-facing email, propose contract terms, modify deal value &gt;$50k</w:t>
            </w:r>
          </w:p>
        </w:tc>
        <w:tc>
          <w:tcPr>
            <w:tcW w:type="dxa" w:w="2592"/>
            <w:shd w:fill="FFFFFF"/>
            <w:tcMar>
              <w:top w:w="80" w:type="dxa"/>
              <w:bottom w:w="80" w:type="dxa"/>
              <w:left w:w="120" w:type="dxa"/>
              <w:right w:w="120" w:type="dxa"/>
            </w:tcMar>
          </w:tcPr>
          <w:p>
            <w:pPr>
              <w:jc w:val="left"/>
            </w:pPr>
            <w:r>
              <w:rPr>
                <w:rFonts w:ascii="Calibri" w:hAnsi="Calibri"/>
                <w:color w:val="1E293B"/>
                <w:sz w:val="19"/>
              </w:rPr>
              <w:t>Explicit Human Approval Gate</w:t>
            </w:r>
          </w:p>
        </w:tc>
        <w:tc>
          <w:tcPr>
            <w:tcW w:type="dxa" w:w="2160"/>
            <w:shd w:fill="FFFFFF"/>
            <w:tcMar>
              <w:top w:w="80" w:type="dxa"/>
              <w:bottom w:w="80" w:type="dxa"/>
              <w:left w:w="120" w:type="dxa"/>
              <w:right w:w="120" w:type="dxa"/>
            </w:tcMar>
          </w:tcPr>
          <w:p>
            <w:pPr>
              <w:jc w:val="left"/>
            </w:pPr>
            <w:r>
              <w:rPr>
                <w:rFonts w:ascii="Calibri" w:hAnsi="Calibri"/>
                <w:color w:val="1E293B"/>
                <w:sz w:val="19"/>
              </w:rPr>
              <w:t>Agent enters suspended state; creates actionable approval card with full diff and rationale.</w:t>
            </w:r>
          </w:p>
        </w:tc>
      </w:tr>
    </w:tbl>
    <w:p>
      <w:pPr>
        <w:spacing w:after="120"/>
      </w:pPr>
    </w:p>
    <w:p>
      <w:pPr>
        <w:spacing w:before="0" w:after="120" w:line="276" w:lineRule="auto"/>
      </w:pPr>
      <w:r>
        <w:rPr>
          <w:rFonts w:ascii="Calibri" w:hAnsi="Calibri"/>
          <w:b/>
          <w:color w:val="0F172A"/>
          <w:sz w:val="21"/>
        </w:rPr>
        <w:t xml:space="preserve">Timeout &amp; Fallback Handling: </w:t>
      </w:r>
      <w:r>
        <w:rPr>
          <w:rFonts w:ascii="Calibri" w:hAnsi="Calibri"/>
          <w:color w:val="334155"/>
          <w:sz w:val="21"/>
        </w:rPr>
        <w:t>State Persistence &amp; Escalation: Approval state is managed in a durable workflow engine (Temporal / LangGraph Checkpointer). If an approval request is not acted on within 24 hours, the request automatically expires, notifications are dispatched to the assigned rep, and no destructive action is committed.</w:t>
      </w:r>
    </w:p>
    <w:p>
      <w:pPr>
        <w:keepNext/>
        <w:spacing w:before="360" w:after="120"/>
      </w:pPr>
      <w:r>
        <w:rPr>
          <w:rFonts w:ascii="Calibri" w:hAnsi="Calibri"/>
          <w:b/>
          <w:color w:val="0F2A4A"/>
          <w:sz w:val="32"/>
        </w:rPr>
        <w:t>11. End-to-End Enterprise Scenario Walkthrough</w:t>
      </w:r>
    </w:p>
    <w:p>
      <w:pPr>
        <w:spacing w:before="0" w:after="120" w:line="276" w:lineRule="auto"/>
      </w:pPr>
      <w:r>
        <w:rPr>
          <w:rFonts w:ascii="Calibri" w:hAnsi="Calibri"/>
          <w:b/>
          <w:color w:val="0F172A"/>
          <w:sz w:val="21"/>
        </w:rPr>
        <w:t xml:space="preserve">Real-World Use Case: </w:t>
      </w:r>
      <w:r>
        <w:rPr>
          <w:rFonts w:ascii="Calibri" w:hAnsi="Calibri"/>
          <w:color w:val="334155"/>
          <w:sz w:val="21"/>
        </w:rPr>
        <w:t>Scenario: An Account Executive asks: “Which of my key Q3 enterprise deals are at risk of slipping, and what should I do today?”</w:t>
      </w:r>
    </w:p>
    <w:p>
      <w:pPr>
        <w:pStyle w:val="ListBullet"/>
        <w:spacing w:before="20" w:after="60" w:line="276" w:lineRule="auto"/>
      </w:pPr>
      <w:r>
        <w:rPr>
          <w:rFonts w:ascii="Calibri" w:hAnsi="Calibri"/>
          <w:b/>
          <w:color w:val="0F172A"/>
          <w:sz w:val="20"/>
        </w:rPr>
        <w:t xml:space="preserve">Step 1 - Authentication &amp; RBAC Check: </w:t>
      </w:r>
      <w:r>
        <w:rPr>
          <w:rFonts w:ascii="Calibri" w:hAnsi="Calibri"/>
          <w:color w:val="334155"/>
          <w:sz w:val="20"/>
        </w:rPr>
        <w:t>The web client passes the JWT session to the backend. The system validates AE identity, tenant ID (Acme Corp), and assigned accounts.</w:t>
      </w:r>
    </w:p>
    <w:p>
      <w:pPr>
        <w:pStyle w:val="ListBullet"/>
        <w:spacing w:before="20" w:after="60" w:line="276" w:lineRule="auto"/>
      </w:pPr>
      <w:r>
        <w:rPr>
          <w:rFonts w:ascii="Calibri" w:hAnsi="Calibri"/>
          <w:b/>
          <w:color w:val="0F172A"/>
          <w:sz w:val="20"/>
        </w:rPr>
        <w:t xml:space="preserve">Step 2 - Intent Understanding: </w:t>
      </w:r>
      <w:r>
        <w:rPr>
          <w:rFonts w:ascii="Calibri" w:hAnsi="Calibri"/>
          <w:color w:val="334155"/>
          <w:sz w:val="20"/>
        </w:rPr>
        <w:t>The LLM Gateway parses the intent: Pipeline Risk Analysis + Remediation Recommendations.</w:t>
      </w:r>
    </w:p>
    <w:p>
      <w:pPr>
        <w:pStyle w:val="ListBullet"/>
        <w:spacing w:before="20" w:after="60" w:line="276" w:lineRule="auto"/>
      </w:pPr>
      <w:r>
        <w:rPr>
          <w:rFonts w:ascii="Calibri" w:hAnsi="Calibri"/>
          <w:b/>
          <w:color w:val="0F172A"/>
          <w:sz w:val="20"/>
        </w:rPr>
        <w:t xml:space="preserve">Step 3 - Data Retrieval: </w:t>
      </w:r>
      <w:r>
        <w:rPr>
          <w:rFonts w:ascii="Calibri" w:hAnsi="Calibri"/>
          <w:color w:val="334155"/>
          <w:sz w:val="20"/>
        </w:rPr>
        <w:t>The agent invokes `get_opportunities(owner_id='AE_102', stage='Negotiation', close_date='Q3')` returning 8 active deals.</w:t>
      </w:r>
    </w:p>
    <w:p>
      <w:pPr>
        <w:pStyle w:val="ListBullet"/>
        <w:spacing w:before="20" w:after="60" w:line="276" w:lineRule="auto"/>
      </w:pPr>
      <w:r>
        <w:rPr>
          <w:rFonts w:ascii="Calibri" w:hAnsi="Calibri"/>
          <w:b/>
          <w:color w:val="0F172A"/>
          <w:sz w:val="20"/>
        </w:rPr>
        <w:t xml:space="preserve">Step 4 - Semantic Context Retrieval: </w:t>
      </w:r>
      <w:r>
        <w:rPr>
          <w:rFonts w:ascii="Calibri" w:hAnsi="Calibri"/>
          <w:color w:val="334155"/>
          <w:sz w:val="20"/>
        </w:rPr>
        <w:t>The Context Engine searches recent emails and meeting notes for those 8 accounts. It uncovers that the champion at 'GlobalLogistics Corp' resigned two weeks ago, and no meeting has occurred since.</w:t>
      </w:r>
    </w:p>
    <w:p>
      <w:pPr>
        <w:pStyle w:val="ListBullet"/>
        <w:spacing w:before="20" w:after="60" w:line="276" w:lineRule="auto"/>
      </w:pPr>
      <w:r>
        <w:rPr>
          <w:rFonts w:ascii="Calibri" w:hAnsi="Calibri"/>
          <w:b/>
          <w:color w:val="0F172A"/>
          <w:sz w:val="20"/>
        </w:rPr>
        <w:t xml:space="preserve">Step 5 - Risk Evaluation: </w:t>
      </w:r>
      <w:r>
        <w:rPr>
          <w:rFonts w:ascii="Calibri" w:hAnsi="Calibri"/>
          <w:color w:val="334155"/>
          <w:sz w:val="20"/>
        </w:rPr>
        <w:t>The model cross-references deal value ($120k), days inactive (18 days), and champion loss. It flags 'GlobalLogistics' as High Risk.</w:t>
      </w:r>
    </w:p>
    <w:p>
      <w:pPr>
        <w:pStyle w:val="ListBullet"/>
        <w:spacing w:before="20" w:after="60" w:line="276" w:lineRule="auto"/>
      </w:pPr>
      <w:r>
        <w:rPr>
          <w:rFonts w:ascii="Calibri" w:hAnsi="Calibri"/>
          <w:b/>
          <w:color w:val="0F172A"/>
          <w:sz w:val="20"/>
        </w:rPr>
        <w:t xml:space="preserve">Step 6 - Recommendation &amp; Draft Generation: </w:t>
      </w:r>
      <w:r>
        <w:rPr>
          <w:rFonts w:ascii="Calibri" w:hAnsi="Calibri"/>
          <w:color w:val="334155"/>
          <w:sz w:val="20"/>
        </w:rPr>
        <w:t>The copilot displays a risk breakdown card explaining: 'Champion departed; 18 days without touchpoint.' It recommends reaching out to the VP of Operations and presents a pre-drafted personalized email.</w:t>
      </w:r>
    </w:p>
    <w:p>
      <w:pPr>
        <w:pStyle w:val="ListBullet"/>
        <w:spacing w:before="20" w:after="60" w:line="276" w:lineRule="auto"/>
      </w:pPr>
      <w:r>
        <w:rPr>
          <w:rFonts w:ascii="Calibri" w:hAnsi="Calibri"/>
          <w:b/>
          <w:color w:val="0F172A"/>
          <w:sz w:val="20"/>
        </w:rPr>
        <w:t xml:space="preserve">Step 7 - Human-in-the-Loop Approval: </w:t>
      </w:r>
      <w:r>
        <w:rPr>
          <w:rFonts w:ascii="Calibri" w:hAnsi="Calibri"/>
          <w:color w:val="334155"/>
          <w:sz w:val="20"/>
        </w:rPr>
        <w:t>Because sending an external email is a Tier 3 action, the system halts. It presents the draft to the AE with an [Approve &amp; Send] button. The AE edits two sentences and clicks Approve.</w:t>
      </w:r>
    </w:p>
    <w:p>
      <w:pPr>
        <w:pStyle w:val="ListBullet"/>
        <w:spacing w:before="20" w:after="60" w:line="276" w:lineRule="auto"/>
      </w:pPr>
      <w:r>
        <w:rPr>
          <w:rFonts w:ascii="Calibri" w:hAnsi="Calibri"/>
          <w:b/>
          <w:color w:val="0F172A"/>
          <w:sz w:val="20"/>
        </w:rPr>
        <w:t xml:space="preserve">Step 8 - Execution &amp; Audit: </w:t>
      </w:r>
      <w:r>
        <w:rPr>
          <w:rFonts w:ascii="Calibri" w:hAnsi="Calibri"/>
          <w:color w:val="334155"/>
          <w:sz w:val="20"/>
        </w:rPr>
        <w:t>The email is dispatched via the CRM email tool, a CRM task is logged, and the entire audit trace is committed to the database.</w:t>
      </w:r>
    </w:p>
    <w:p>
      <w:pPr>
        <w:keepNext/>
        <w:spacing w:before="360" w:after="120"/>
      </w:pPr>
      <w:r>
        <w:rPr>
          <w:rFonts w:ascii="Calibri" w:hAnsi="Calibri"/>
          <w:b/>
          <w:color w:val="0F2A4A"/>
          <w:sz w:val="32"/>
        </w:rPr>
        <w:t>12. Evaluation Framework, Observability &amp; SLAs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484"/>
        <w:gridCol w:w="2484"/>
        <w:gridCol w:w="2484"/>
        <w:gridCol w:w="2484"/>
      </w:tblGrid>
      <w:tr>
        <w:tc>
          <w:tcPr>
            <w:tcW w:type="dxa" w:w="2592"/>
            <w:shd w:fill="1E3A8A"/>
            <w:tcMar>
              <w:top w:w="100" w:type="dxa"/>
              <w:bottom w:w="100" w:type="dxa"/>
              <w:left w:w="120" w:type="dxa"/>
              <w:right w:w="120" w:type="dxa"/>
            </w:tcMar>
          </w:tcPr>
          <w:p>
            <w:pPr>
              <w:jc w:val="left"/>
            </w:pPr>
            <w:r>
              <w:rPr>
                <w:rFonts w:ascii="Calibri" w:hAnsi="Calibri"/>
                <w:b/>
                <w:color w:val="FFFFFF"/>
                <w:sz w:val="20"/>
              </w:rPr>
              <w:t>Evaluation Metric</w:t>
            </w:r>
          </w:p>
        </w:tc>
        <w:tc>
          <w:tcPr>
            <w:tcW w:type="dxa" w:w="2592"/>
            <w:shd w:fill="1E3A8A"/>
            <w:tcMar>
              <w:top w:w="100" w:type="dxa"/>
              <w:bottom w:w="100" w:type="dxa"/>
              <w:left w:w="120" w:type="dxa"/>
              <w:right w:w="120" w:type="dxa"/>
            </w:tcMar>
          </w:tcPr>
          <w:p>
            <w:pPr>
              <w:jc w:val="left"/>
            </w:pPr>
            <w:r>
              <w:rPr>
                <w:rFonts w:ascii="Calibri" w:hAnsi="Calibri"/>
                <w:b/>
                <w:color w:val="FFFFFF"/>
                <w:sz w:val="20"/>
              </w:rPr>
              <w:t>Target Threshold</w:t>
            </w:r>
          </w:p>
        </w:tc>
        <w:tc>
          <w:tcPr>
            <w:tcW w:type="dxa" w:w="2592"/>
            <w:shd w:fill="1E3A8A"/>
            <w:tcMar>
              <w:top w:w="100" w:type="dxa"/>
              <w:bottom w:w="100" w:type="dxa"/>
              <w:left w:w="120" w:type="dxa"/>
              <w:right w:w="120" w:type="dxa"/>
            </w:tcMar>
          </w:tcPr>
          <w:p>
            <w:pPr>
              <w:jc w:val="left"/>
            </w:pPr>
            <w:r>
              <w:rPr>
                <w:rFonts w:ascii="Calibri" w:hAnsi="Calibri"/>
                <w:b/>
                <w:color w:val="FFFFFF"/>
                <w:sz w:val="20"/>
              </w:rPr>
              <w:t>Measurement Tooling</w:t>
            </w:r>
          </w:p>
        </w:tc>
        <w:tc>
          <w:tcPr>
            <w:tcW w:type="dxa" w:w="2304"/>
            <w:shd w:fill="1E3A8A"/>
            <w:tcMar>
              <w:top w:w="100" w:type="dxa"/>
              <w:bottom w:w="100" w:type="dxa"/>
              <w:left w:w="120" w:type="dxa"/>
              <w:right w:w="120" w:type="dxa"/>
            </w:tcMar>
          </w:tcPr>
          <w:p>
            <w:pPr>
              <w:jc w:val="left"/>
            </w:pPr>
            <w:r>
              <w:rPr>
                <w:rFonts w:ascii="Calibri" w:hAnsi="Calibri"/>
                <w:b/>
                <w:color w:val="FFFFFF"/>
                <w:sz w:val="20"/>
              </w:rPr>
              <w:t>Corrective Action on Breach</w:t>
            </w:r>
          </w:p>
        </w:tc>
      </w:tr>
      <w:tr>
        <w:tc>
          <w:tcPr>
            <w:tcW w:type="dxa" w:w="2592"/>
            <w:shd w:fill="FFFFFF"/>
            <w:tcMar>
              <w:top w:w="80" w:type="dxa"/>
              <w:bottom w:w="80" w:type="dxa"/>
              <w:left w:w="120" w:type="dxa"/>
              <w:right w:w="120" w:type="dxa"/>
            </w:tcMar>
          </w:tcPr>
          <w:p>
            <w:pPr>
              <w:jc w:val="left"/>
            </w:pPr>
            <w:r>
              <w:rPr>
                <w:rFonts w:ascii="Calibri" w:hAnsi="Calibri"/>
                <w:color w:val="1E293B"/>
                <w:sz w:val="19"/>
              </w:rPr>
              <w:t>Interactive Response Latency</w:t>
            </w:r>
          </w:p>
        </w:tc>
        <w:tc>
          <w:tcPr>
            <w:tcW w:type="dxa" w:w="2592"/>
            <w:shd w:fill="FFFFFF"/>
            <w:tcMar>
              <w:top w:w="80" w:type="dxa"/>
              <w:bottom w:w="80" w:type="dxa"/>
              <w:left w:w="120" w:type="dxa"/>
              <w:right w:w="120" w:type="dxa"/>
            </w:tcMar>
          </w:tcPr>
          <w:p>
            <w:pPr>
              <w:jc w:val="left"/>
            </w:pPr>
            <w:r>
              <w:rPr>
                <w:rFonts w:ascii="Calibri" w:hAnsi="Calibri"/>
                <w:color w:val="1E293B"/>
                <w:sz w:val="19"/>
              </w:rPr>
              <w:t>P95 &lt; 2.5 seconds (first token &lt; 800ms)</w:t>
            </w:r>
          </w:p>
        </w:tc>
        <w:tc>
          <w:tcPr>
            <w:tcW w:type="dxa" w:w="2592"/>
            <w:shd w:fill="FFFFFF"/>
            <w:tcMar>
              <w:top w:w="80" w:type="dxa"/>
              <w:bottom w:w="80" w:type="dxa"/>
              <w:left w:w="120" w:type="dxa"/>
              <w:right w:w="120" w:type="dxa"/>
            </w:tcMar>
          </w:tcPr>
          <w:p>
            <w:pPr>
              <w:jc w:val="left"/>
            </w:pPr>
            <w:r>
              <w:rPr>
                <w:rFonts w:ascii="Calibri" w:hAnsi="Calibri"/>
                <w:color w:val="1E293B"/>
                <w:sz w:val="19"/>
              </w:rPr>
              <w:t>OpenTelemetry / Prometheus</w:t>
            </w:r>
          </w:p>
        </w:tc>
        <w:tc>
          <w:tcPr>
            <w:tcW w:type="dxa" w:w="2304"/>
            <w:shd w:fill="FFFFFF"/>
            <w:tcMar>
              <w:top w:w="80" w:type="dxa"/>
              <w:bottom w:w="80" w:type="dxa"/>
              <w:left w:w="120" w:type="dxa"/>
              <w:right w:w="120" w:type="dxa"/>
            </w:tcMar>
          </w:tcPr>
          <w:p>
            <w:pPr>
              <w:jc w:val="left"/>
            </w:pPr>
            <w:r>
              <w:rPr>
                <w:rFonts w:ascii="Calibri" w:hAnsi="Calibri"/>
                <w:color w:val="1E293B"/>
                <w:sz w:val="19"/>
              </w:rPr>
              <w:t>Optimize RAG chunk retrieval, enable model token streaming</w:t>
            </w:r>
          </w:p>
        </w:tc>
      </w:tr>
      <w:tr>
        <w:tc>
          <w:tcPr>
            <w:tcW w:type="dxa" w:w="2592"/>
            <w:shd w:fill="F8FAFC"/>
            <w:tcMar>
              <w:top w:w="80" w:type="dxa"/>
              <w:bottom w:w="80" w:type="dxa"/>
              <w:left w:w="120" w:type="dxa"/>
              <w:right w:w="120" w:type="dxa"/>
            </w:tcMar>
          </w:tcPr>
          <w:p>
            <w:pPr>
              <w:jc w:val="left"/>
            </w:pPr>
            <w:r>
              <w:rPr>
                <w:rFonts w:ascii="Calibri" w:hAnsi="Calibri"/>
                <w:color w:val="1E293B"/>
                <w:sz w:val="19"/>
              </w:rPr>
              <w:t>Workflow Completion Time</w:t>
            </w:r>
          </w:p>
        </w:tc>
        <w:tc>
          <w:tcPr>
            <w:tcW w:type="dxa" w:w="2592"/>
            <w:shd w:fill="F8FAFC"/>
            <w:tcMar>
              <w:top w:w="80" w:type="dxa"/>
              <w:bottom w:w="80" w:type="dxa"/>
              <w:left w:w="120" w:type="dxa"/>
              <w:right w:w="120" w:type="dxa"/>
            </w:tcMar>
          </w:tcPr>
          <w:p>
            <w:pPr>
              <w:jc w:val="left"/>
            </w:pPr>
            <w:r>
              <w:rPr>
                <w:rFonts w:ascii="Calibri" w:hAnsi="Calibri"/>
                <w:color w:val="1E293B"/>
                <w:sz w:val="19"/>
              </w:rPr>
              <w:t>Multi-step agent tasks &lt; 12 seconds</w:t>
            </w:r>
          </w:p>
        </w:tc>
        <w:tc>
          <w:tcPr>
            <w:tcW w:type="dxa" w:w="2592"/>
            <w:shd w:fill="F8FAFC"/>
            <w:tcMar>
              <w:top w:w="80" w:type="dxa"/>
              <w:bottom w:w="80" w:type="dxa"/>
              <w:left w:w="120" w:type="dxa"/>
              <w:right w:w="120" w:type="dxa"/>
            </w:tcMar>
          </w:tcPr>
          <w:p>
            <w:pPr>
              <w:jc w:val="left"/>
            </w:pPr>
            <w:r>
              <w:rPr>
                <w:rFonts w:ascii="Calibri" w:hAnsi="Calibri"/>
                <w:color w:val="1E293B"/>
                <w:sz w:val="19"/>
              </w:rPr>
              <w:t>Temporal Workflow Metrics</w:t>
            </w:r>
          </w:p>
        </w:tc>
        <w:tc>
          <w:tcPr>
            <w:tcW w:type="dxa" w:w="2304"/>
            <w:shd w:fill="F8FAFC"/>
            <w:tcMar>
              <w:top w:w="80" w:type="dxa"/>
              <w:bottom w:w="80" w:type="dxa"/>
              <w:left w:w="120" w:type="dxa"/>
              <w:right w:w="120" w:type="dxa"/>
            </w:tcMar>
          </w:tcPr>
          <w:p>
            <w:pPr>
              <w:jc w:val="left"/>
            </w:pPr>
            <w:r>
              <w:rPr>
                <w:rFonts w:ascii="Calibri" w:hAnsi="Calibri"/>
                <w:color w:val="1E293B"/>
                <w:sz w:val="19"/>
              </w:rPr>
              <w:t>Parallelize independent tool queries; refine sub-agent prompt length</w:t>
            </w:r>
          </w:p>
        </w:tc>
      </w:tr>
      <w:tr>
        <w:tc>
          <w:tcPr>
            <w:tcW w:type="dxa" w:w="2592"/>
            <w:shd w:fill="FFFFFF"/>
            <w:tcMar>
              <w:top w:w="80" w:type="dxa"/>
              <w:bottom w:w="80" w:type="dxa"/>
              <w:left w:w="120" w:type="dxa"/>
              <w:right w:w="120" w:type="dxa"/>
            </w:tcMar>
          </w:tcPr>
          <w:p>
            <w:pPr>
              <w:jc w:val="left"/>
            </w:pPr>
            <w:r>
              <w:rPr>
                <w:rFonts w:ascii="Calibri" w:hAnsi="Calibri"/>
                <w:color w:val="1E293B"/>
                <w:sz w:val="19"/>
              </w:rPr>
              <w:t>Grounding &amp; Source Citation</w:t>
            </w:r>
          </w:p>
        </w:tc>
        <w:tc>
          <w:tcPr>
            <w:tcW w:type="dxa" w:w="2592"/>
            <w:shd w:fill="FFFFFF"/>
            <w:tcMar>
              <w:top w:w="80" w:type="dxa"/>
              <w:bottom w:w="80" w:type="dxa"/>
              <w:left w:w="120" w:type="dxa"/>
              <w:right w:w="120" w:type="dxa"/>
            </w:tcMar>
          </w:tcPr>
          <w:p>
            <w:pPr>
              <w:jc w:val="left"/>
            </w:pPr>
            <w:r>
              <w:rPr>
                <w:rFonts w:ascii="Calibri" w:hAnsi="Calibri"/>
                <w:color w:val="1E293B"/>
                <w:sz w:val="19"/>
              </w:rPr>
              <w:t>≥ 98% fact-checked against CRM data</w:t>
            </w:r>
          </w:p>
        </w:tc>
        <w:tc>
          <w:tcPr>
            <w:tcW w:type="dxa" w:w="2592"/>
            <w:shd w:fill="FFFFFF"/>
            <w:tcMar>
              <w:top w:w="80" w:type="dxa"/>
              <w:bottom w:w="80" w:type="dxa"/>
              <w:left w:w="120" w:type="dxa"/>
              <w:right w:w="120" w:type="dxa"/>
            </w:tcMar>
          </w:tcPr>
          <w:p>
            <w:pPr>
              <w:jc w:val="left"/>
            </w:pPr>
            <w:r>
              <w:rPr>
                <w:rFonts w:ascii="Calibri" w:hAnsi="Calibri"/>
                <w:color w:val="1E293B"/>
                <w:sz w:val="19"/>
              </w:rPr>
              <w:t>Langfuse / Ragas Framework</w:t>
            </w:r>
          </w:p>
        </w:tc>
        <w:tc>
          <w:tcPr>
            <w:tcW w:type="dxa" w:w="2304"/>
            <w:shd w:fill="FFFFFF"/>
            <w:tcMar>
              <w:top w:w="80" w:type="dxa"/>
              <w:bottom w:w="80" w:type="dxa"/>
              <w:left w:w="120" w:type="dxa"/>
              <w:right w:w="120" w:type="dxa"/>
            </w:tcMar>
          </w:tcPr>
          <w:p>
            <w:pPr>
              <w:jc w:val="left"/>
            </w:pPr>
            <w:r>
              <w:rPr>
                <w:rFonts w:ascii="Calibri" w:hAnsi="Calibri"/>
                <w:color w:val="1E293B"/>
                <w:sz w:val="19"/>
              </w:rPr>
              <w:t>Tighten context injection prompts and lower LLM generation temperature (0.1)</w:t>
            </w:r>
          </w:p>
        </w:tc>
      </w:tr>
      <w:tr>
        <w:tc>
          <w:tcPr>
            <w:tcW w:type="dxa" w:w="2592"/>
            <w:shd w:fill="F8FAFC"/>
            <w:tcMar>
              <w:top w:w="80" w:type="dxa"/>
              <w:bottom w:w="80" w:type="dxa"/>
              <w:left w:w="120" w:type="dxa"/>
              <w:right w:w="120" w:type="dxa"/>
            </w:tcMar>
          </w:tcPr>
          <w:p>
            <w:pPr>
              <w:jc w:val="left"/>
            </w:pPr>
            <w:r>
              <w:rPr>
                <w:rFonts w:ascii="Calibri" w:hAnsi="Calibri"/>
                <w:color w:val="1E293B"/>
                <w:sz w:val="19"/>
              </w:rPr>
              <w:t>Hallucination Rate</w:t>
            </w:r>
          </w:p>
        </w:tc>
        <w:tc>
          <w:tcPr>
            <w:tcW w:type="dxa" w:w="2592"/>
            <w:shd w:fill="F8FAFC"/>
            <w:tcMar>
              <w:top w:w="80" w:type="dxa"/>
              <w:bottom w:w="80" w:type="dxa"/>
              <w:left w:w="120" w:type="dxa"/>
              <w:right w:w="120" w:type="dxa"/>
            </w:tcMar>
          </w:tcPr>
          <w:p>
            <w:pPr>
              <w:jc w:val="left"/>
            </w:pPr>
            <w:r>
              <w:rPr>
                <w:rFonts w:ascii="Calibri" w:hAnsi="Calibri"/>
                <w:color w:val="1E293B"/>
                <w:sz w:val="19"/>
              </w:rPr>
              <w:t>&lt; 2.0% of total responses</w:t>
            </w:r>
          </w:p>
        </w:tc>
        <w:tc>
          <w:tcPr>
            <w:tcW w:type="dxa" w:w="2592"/>
            <w:shd w:fill="F8FAFC"/>
            <w:tcMar>
              <w:top w:w="80" w:type="dxa"/>
              <w:bottom w:w="80" w:type="dxa"/>
              <w:left w:w="120" w:type="dxa"/>
              <w:right w:w="120" w:type="dxa"/>
            </w:tcMar>
          </w:tcPr>
          <w:p>
            <w:pPr>
              <w:jc w:val="left"/>
            </w:pPr>
            <w:r>
              <w:rPr>
                <w:rFonts w:ascii="Calibri" w:hAnsi="Calibri"/>
                <w:color w:val="1E293B"/>
                <w:sz w:val="19"/>
              </w:rPr>
              <w:t>Continuous LLM-as-a-judge sampling</w:t>
            </w:r>
          </w:p>
        </w:tc>
        <w:tc>
          <w:tcPr>
            <w:tcW w:type="dxa" w:w="2304"/>
            <w:shd w:fill="F8FAFC"/>
            <w:tcMar>
              <w:top w:w="80" w:type="dxa"/>
              <w:bottom w:w="80" w:type="dxa"/>
              <w:left w:w="120" w:type="dxa"/>
              <w:right w:w="120" w:type="dxa"/>
            </w:tcMar>
          </w:tcPr>
          <w:p>
            <w:pPr>
              <w:jc w:val="left"/>
            </w:pPr>
            <w:r>
              <w:rPr>
                <w:rFonts w:ascii="Calibri" w:hAnsi="Calibri"/>
                <w:color w:val="1E293B"/>
                <w:sz w:val="19"/>
              </w:rPr>
              <w:t>Update system prompt with explicit 'I don't know' instructions</w:t>
            </w:r>
          </w:p>
        </w:tc>
      </w:tr>
      <w:tr>
        <w:tc>
          <w:tcPr>
            <w:tcW w:type="dxa" w:w="2592"/>
            <w:shd w:fill="FFFFFF"/>
            <w:tcMar>
              <w:top w:w="80" w:type="dxa"/>
              <w:bottom w:w="80" w:type="dxa"/>
              <w:left w:w="120" w:type="dxa"/>
              <w:right w:w="120" w:type="dxa"/>
            </w:tcMar>
          </w:tcPr>
          <w:p>
            <w:pPr>
              <w:jc w:val="left"/>
            </w:pPr>
            <w:r>
              <w:rPr>
                <w:rFonts w:ascii="Calibri" w:hAnsi="Calibri"/>
                <w:color w:val="1E293B"/>
                <w:sz w:val="19"/>
              </w:rPr>
              <w:t>System Availability &amp; Uptime</w:t>
            </w:r>
          </w:p>
        </w:tc>
        <w:tc>
          <w:tcPr>
            <w:tcW w:type="dxa" w:w="2592"/>
            <w:shd w:fill="FFFFFF"/>
            <w:tcMar>
              <w:top w:w="80" w:type="dxa"/>
              <w:bottom w:w="80" w:type="dxa"/>
              <w:left w:w="120" w:type="dxa"/>
              <w:right w:w="120" w:type="dxa"/>
            </w:tcMar>
          </w:tcPr>
          <w:p>
            <w:pPr>
              <w:jc w:val="left"/>
            </w:pPr>
            <w:r>
              <w:rPr>
                <w:rFonts w:ascii="Calibri" w:hAnsi="Calibri"/>
                <w:color w:val="1E293B"/>
                <w:sz w:val="19"/>
              </w:rPr>
              <w:t>99.9% monthly uptime</w:t>
            </w:r>
          </w:p>
        </w:tc>
        <w:tc>
          <w:tcPr>
            <w:tcW w:type="dxa" w:w="2592"/>
            <w:shd w:fill="FFFFFF"/>
            <w:tcMar>
              <w:top w:w="80" w:type="dxa"/>
              <w:bottom w:w="80" w:type="dxa"/>
              <w:left w:w="120" w:type="dxa"/>
              <w:right w:w="120" w:type="dxa"/>
            </w:tcMar>
          </w:tcPr>
          <w:p>
            <w:pPr>
              <w:jc w:val="left"/>
            </w:pPr>
            <w:r>
              <w:rPr>
                <w:rFonts w:ascii="Calibri" w:hAnsi="Calibri"/>
                <w:color w:val="1E293B"/>
                <w:sz w:val="19"/>
              </w:rPr>
              <w:t>CloudWatch / Datadog synthetic monitors</w:t>
            </w:r>
          </w:p>
        </w:tc>
        <w:tc>
          <w:tcPr>
            <w:tcW w:type="dxa" w:w="2304"/>
            <w:shd w:fill="FFFFFF"/>
            <w:tcMar>
              <w:top w:w="80" w:type="dxa"/>
              <w:bottom w:w="80" w:type="dxa"/>
              <w:left w:w="120" w:type="dxa"/>
              <w:right w:w="120" w:type="dxa"/>
            </w:tcMar>
          </w:tcPr>
          <w:p>
            <w:pPr>
              <w:jc w:val="left"/>
            </w:pPr>
            <w:r>
              <w:rPr>
                <w:rFonts w:ascii="Calibri" w:hAnsi="Calibri"/>
                <w:color w:val="1E293B"/>
                <w:sz w:val="19"/>
              </w:rPr>
              <w:t>Activate multi-region failover and multi-provider LLM routing</w:t>
            </w:r>
          </w:p>
        </w:tc>
      </w:tr>
    </w:tbl>
    <w:p>
      <w:pPr>
        <w:spacing w:after="120"/>
      </w:pPr>
    </w:p>
    <w:p>
      <w:pPr>
        <w:keepNext/>
        <w:spacing w:before="360" w:after="120"/>
      </w:pPr>
      <w:r>
        <w:rPr>
          <w:rFonts w:ascii="Calibri" w:hAnsi="Calibri"/>
          <w:b/>
          <w:color w:val="0F2A4A"/>
          <w:sz w:val="32"/>
        </w:rPr>
        <w:t>13. Recommended Production Technology Stack</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3312"/>
        <w:gridCol w:w="3312"/>
        <w:gridCol w:w="3312"/>
      </w:tblGrid>
      <w:tr>
        <w:tc>
          <w:tcPr>
            <w:tcW w:type="dxa" w:w="2160"/>
            <w:shd w:fill="1E3A8A"/>
            <w:tcMar>
              <w:top w:w="100" w:type="dxa"/>
              <w:bottom w:w="100" w:type="dxa"/>
              <w:left w:w="120" w:type="dxa"/>
              <w:right w:w="120" w:type="dxa"/>
            </w:tcMar>
          </w:tcPr>
          <w:p>
            <w:pPr>
              <w:jc w:val="left"/>
            </w:pPr>
            <w:r>
              <w:rPr>
                <w:rFonts w:ascii="Calibri" w:hAnsi="Calibri"/>
                <w:b/>
                <w:color w:val="FFFFFF"/>
                <w:sz w:val="20"/>
              </w:rPr>
              <w:t>Platform Layer</w:t>
            </w:r>
          </w:p>
        </w:tc>
        <w:tc>
          <w:tcPr>
            <w:tcW w:type="dxa" w:w="3312"/>
            <w:shd w:fill="1E3A8A"/>
            <w:tcMar>
              <w:top w:w="100" w:type="dxa"/>
              <w:bottom w:w="100" w:type="dxa"/>
              <w:left w:w="120" w:type="dxa"/>
              <w:right w:w="120" w:type="dxa"/>
            </w:tcMar>
          </w:tcPr>
          <w:p>
            <w:pPr>
              <w:jc w:val="left"/>
            </w:pPr>
            <w:r>
              <w:rPr>
                <w:rFonts w:ascii="Calibri" w:hAnsi="Calibri"/>
                <w:b/>
                <w:color w:val="FFFFFF"/>
                <w:sz w:val="20"/>
              </w:rPr>
              <w:t>Primary Technology Selection</w:t>
            </w:r>
          </w:p>
        </w:tc>
        <w:tc>
          <w:tcPr>
            <w:tcW w:type="dxa" w:w="4608"/>
            <w:shd w:fill="1E3A8A"/>
            <w:tcMar>
              <w:top w:w="100" w:type="dxa"/>
              <w:bottom w:w="100" w:type="dxa"/>
              <w:left w:w="120" w:type="dxa"/>
              <w:right w:w="120" w:type="dxa"/>
            </w:tcMar>
          </w:tcPr>
          <w:p>
            <w:pPr>
              <w:jc w:val="left"/>
            </w:pPr>
            <w:r>
              <w:rPr>
                <w:rFonts w:ascii="Calibri" w:hAnsi="Calibri"/>
                <w:b/>
                <w:color w:val="FFFFFF"/>
                <w:sz w:val="20"/>
              </w:rPr>
              <w:t>Enterprise Justification</w:t>
            </w:r>
          </w:p>
        </w:tc>
      </w:tr>
      <w:tr>
        <w:tc>
          <w:tcPr>
            <w:tcW w:type="dxa" w:w="2160"/>
            <w:shd w:fill="FFFFFF"/>
            <w:tcMar>
              <w:top w:w="80" w:type="dxa"/>
              <w:bottom w:w="80" w:type="dxa"/>
              <w:left w:w="120" w:type="dxa"/>
              <w:right w:w="120" w:type="dxa"/>
            </w:tcMar>
          </w:tcPr>
          <w:p>
            <w:pPr>
              <w:jc w:val="left"/>
            </w:pPr>
            <w:r>
              <w:rPr>
                <w:rFonts w:ascii="Calibri" w:hAnsi="Calibri"/>
                <w:color w:val="1E293B"/>
                <w:sz w:val="19"/>
              </w:rPr>
              <w:t>Frontend UI</w:t>
            </w:r>
          </w:p>
        </w:tc>
        <w:tc>
          <w:tcPr>
            <w:tcW w:type="dxa" w:w="3312"/>
            <w:shd w:fill="FFFFFF"/>
            <w:tcMar>
              <w:top w:w="80" w:type="dxa"/>
              <w:bottom w:w="80" w:type="dxa"/>
              <w:left w:w="120" w:type="dxa"/>
              <w:right w:w="120" w:type="dxa"/>
            </w:tcMar>
          </w:tcPr>
          <w:p>
            <w:pPr>
              <w:jc w:val="left"/>
            </w:pPr>
            <w:r>
              <w:rPr>
                <w:rFonts w:ascii="Calibri" w:hAnsi="Calibri"/>
                <w:color w:val="1E293B"/>
                <w:sz w:val="19"/>
              </w:rPr>
              <w:t>React / Next.js / TailwindCSS</w:t>
            </w:r>
          </w:p>
        </w:tc>
        <w:tc>
          <w:tcPr>
            <w:tcW w:type="dxa" w:w="4608"/>
            <w:shd w:fill="FFFFFF"/>
            <w:tcMar>
              <w:top w:w="80" w:type="dxa"/>
              <w:bottom w:w="80" w:type="dxa"/>
              <w:left w:w="120" w:type="dxa"/>
              <w:right w:w="120" w:type="dxa"/>
            </w:tcMar>
          </w:tcPr>
          <w:p>
            <w:pPr>
              <w:jc w:val="left"/>
            </w:pPr>
            <w:r>
              <w:rPr>
                <w:rFonts w:ascii="Calibri" w:hAnsi="Calibri"/>
                <w:color w:val="1E293B"/>
                <w:sz w:val="19"/>
              </w:rPr>
              <w:t>Provides responsive component library and native Server-Sent Events (SSE) support for streaming.</w:t>
            </w:r>
          </w:p>
        </w:tc>
      </w:tr>
      <w:tr>
        <w:tc>
          <w:tcPr>
            <w:tcW w:type="dxa" w:w="2160"/>
            <w:shd w:fill="F8FAFC"/>
            <w:tcMar>
              <w:top w:w="80" w:type="dxa"/>
              <w:bottom w:w="80" w:type="dxa"/>
              <w:left w:w="120" w:type="dxa"/>
              <w:right w:w="120" w:type="dxa"/>
            </w:tcMar>
          </w:tcPr>
          <w:p>
            <w:pPr>
              <w:jc w:val="left"/>
            </w:pPr>
            <w:r>
              <w:rPr>
                <w:rFonts w:ascii="Calibri" w:hAnsi="Calibri"/>
                <w:color w:val="1E293B"/>
                <w:sz w:val="19"/>
              </w:rPr>
              <w:t>Backend API</w:t>
            </w:r>
          </w:p>
        </w:tc>
        <w:tc>
          <w:tcPr>
            <w:tcW w:type="dxa" w:w="3312"/>
            <w:shd w:fill="F8FAFC"/>
            <w:tcMar>
              <w:top w:w="80" w:type="dxa"/>
              <w:bottom w:w="80" w:type="dxa"/>
              <w:left w:w="120" w:type="dxa"/>
              <w:right w:w="120" w:type="dxa"/>
            </w:tcMar>
          </w:tcPr>
          <w:p>
            <w:pPr>
              <w:jc w:val="left"/>
            </w:pPr>
            <w:r>
              <w:rPr>
                <w:rFonts w:ascii="Calibri" w:hAnsi="Calibri"/>
                <w:color w:val="1E293B"/>
                <w:sz w:val="19"/>
              </w:rPr>
              <w:t>Python FastAPI (AsyncIO)</w:t>
            </w:r>
          </w:p>
        </w:tc>
        <w:tc>
          <w:tcPr>
            <w:tcW w:type="dxa" w:w="4608"/>
            <w:shd w:fill="F8FAFC"/>
            <w:tcMar>
              <w:top w:w="80" w:type="dxa"/>
              <w:bottom w:w="80" w:type="dxa"/>
              <w:left w:w="120" w:type="dxa"/>
              <w:right w:w="120" w:type="dxa"/>
            </w:tcMar>
          </w:tcPr>
          <w:p>
            <w:pPr>
              <w:jc w:val="left"/>
            </w:pPr>
            <w:r>
              <w:rPr>
                <w:rFonts w:ascii="Calibri" w:hAnsi="Calibri"/>
                <w:color w:val="1E293B"/>
                <w:sz w:val="19"/>
              </w:rPr>
              <w:t>Native Python ecosystem compatibility with AI libraries, async high-throughput performance.</w:t>
            </w:r>
          </w:p>
        </w:tc>
      </w:tr>
      <w:tr>
        <w:tc>
          <w:tcPr>
            <w:tcW w:type="dxa" w:w="2160"/>
            <w:shd w:fill="FFFFFF"/>
            <w:tcMar>
              <w:top w:w="80" w:type="dxa"/>
              <w:bottom w:w="80" w:type="dxa"/>
              <w:left w:w="120" w:type="dxa"/>
              <w:right w:w="120" w:type="dxa"/>
            </w:tcMar>
          </w:tcPr>
          <w:p>
            <w:pPr>
              <w:jc w:val="left"/>
            </w:pPr>
            <w:r>
              <w:rPr>
                <w:rFonts w:ascii="Calibri" w:hAnsi="Calibri"/>
                <w:color w:val="1E293B"/>
                <w:sz w:val="19"/>
              </w:rPr>
              <w:t>Primary LLM</w:t>
            </w:r>
          </w:p>
        </w:tc>
        <w:tc>
          <w:tcPr>
            <w:tcW w:type="dxa" w:w="3312"/>
            <w:shd w:fill="FFFFFF"/>
            <w:tcMar>
              <w:top w:w="80" w:type="dxa"/>
              <w:bottom w:w="80" w:type="dxa"/>
              <w:left w:w="120" w:type="dxa"/>
              <w:right w:w="120" w:type="dxa"/>
            </w:tcMar>
          </w:tcPr>
          <w:p>
            <w:pPr>
              <w:jc w:val="left"/>
            </w:pPr>
            <w:r>
              <w:rPr>
                <w:rFonts w:ascii="Calibri" w:hAnsi="Calibri"/>
                <w:color w:val="1E293B"/>
                <w:sz w:val="19"/>
              </w:rPr>
              <w:t>Claude 3.5 Sonnet / GPT-4o</w:t>
            </w:r>
          </w:p>
        </w:tc>
        <w:tc>
          <w:tcPr>
            <w:tcW w:type="dxa" w:w="4608"/>
            <w:shd w:fill="FFFFFF"/>
            <w:tcMar>
              <w:top w:w="80" w:type="dxa"/>
              <w:bottom w:w="80" w:type="dxa"/>
              <w:left w:w="120" w:type="dxa"/>
              <w:right w:w="120" w:type="dxa"/>
            </w:tcMar>
          </w:tcPr>
          <w:p>
            <w:pPr>
              <w:jc w:val="left"/>
            </w:pPr>
            <w:r>
              <w:rPr>
                <w:rFonts w:ascii="Calibri" w:hAnsi="Calibri"/>
                <w:color w:val="1E293B"/>
                <w:sz w:val="19"/>
              </w:rPr>
              <w:t>Industry-leading reasoning capabilities, function calling precision, and structured JSON output.</w:t>
            </w:r>
          </w:p>
        </w:tc>
      </w:tr>
      <w:tr>
        <w:tc>
          <w:tcPr>
            <w:tcW w:type="dxa" w:w="2160"/>
            <w:shd w:fill="F8FAFC"/>
            <w:tcMar>
              <w:top w:w="80" w:type="dxa"/>
              <w:bottom w:w="80" w:type="dxa"/>
              <w:left w:w="120" w:type="dxa"/>
              <w:right w:w="120" w:type="dxa"/>
            </w:tcMar>
          </w:tcPr>
          <w:p>
            <w:pPr>
              <w:jc w:val="left"/>
            </w:pPr>
            <w:r>
              <w:rPr>
                <w:rFonts w:ascii="Calibri" w:hAnsi="Calibri"/>
                <w:color w:val="1E293B"/>
                <w:sz w:val="19"/>
              </w:rPr>
              <w:t>LLM Gateway</w:t>
            </w:r>
          </w:p>
        </w:tc>
        <w:tc>
          <w:tcPr>
            <w:tcW w:type="dxa" w:w="3312"/>
            <w:shd w:fill="F8FAFC"/>
            <w:tcMar>
              <w:top w:w="80" w:type="dxa"/>
              <w:bottom w:w="80" w:type="dxa"/>
              <w:left w:w="120" w:type="dxa"/>
              <w:right w:w="120" w:type="dxa"/>
            </w:tcMar>
          </w:tcPr>
          <w:p>
            <w:pPr>
              <w:jc w:val="left"/>
            </w:pPr>
            <w:r>
              <w:rPr>
                <w:rFonts w:ascii="Calibri" w:hAnsi="Calibri"/>
                <w:color w:val="1E293B"/>
                <w:sz w:val="19"/>
              </w:rPr>
              <w:t>LiteLLM / Portkey</w:t>
            </w:r>
          </w:p>
        </w:tc>
        <w:tc>
          <w:tcPr>
            <w:tcW w:type="dxa" w:w="4608"/>
            <w:shd w:fill="F8FAFC"/>
            <w:tcMar>
              <w:top w:w="80" w:type="dxa"/>
              <w:bottom w:w="80" w:type="dxa"/>
              <w:left w:w="120" w:type="dxa"/>
              <w:right w:w="120" w:type="dxa"/>
            </w:tcMar>
          </w:tcPr>
          <w:p>
            <w:pPr>
              <w:jc w:val="left"/>
            </w:pPr>
            <w:r>
              <w:rPr>
                <w:rFonts w:ascii="Calibri" w:hAnsi="Calibri"/>
                <w:color w:val="1E293B"/>
                <w:sz w:val="19"/>
              </w:rPr>
              <w:t>Centralized load balancing, model routing, fallback management, and spend tracking.</w:t>
            </w:r>
          </w:p>
        </w:tc>
      </w:tr>
      <w:tr>
        <w:tc>
          <w:tcPr>
            <w:tcW w:type="dxa" w:w="2160"/>
            <w:shd w:fill="FFFFFF"/>
            <w:tcMar>
              <w:top w:w="80" w:type="dxa"/>
              <w:bottom w:w="80" w:type="dxa"/>
              <w:left w:w="120" w:type="dxa"/>
              <w:right w:w="120" w:type="dxa"/>
            </w:tcMar>
          </w:tcPr>
          <w:p>
            <w:pPr>
              <w:jc w:val="left"/>
            </w:pPr>
            <w:r>
              <w:rPr>
                <w:rFonts w:ascii="Calibri" w:hAnsi="Calibri"/>
                <w:color w:val="1E293B"/>
                <w:sz w:val="19"/>
              </w:rPr>
              <w:t>Agent Framework</w:t>
            </w:r>
          </w:p>
        </w:tc>
        <w:tc>
          <w:tcPr>
            <w:tcW w:type="dxa" w:w="3312"/>
            <w:shd w:fill="FFFFFF"/>
            <w:tcMar>
              <w:top w:w="80" w:type="dxa"/>
              <w:bottom w:w="80" w:type="dxa"/>
              <w:left w:w="120" w:type="dxa"/>
              <w:right w:w="120" w:type="dxa"/>
            </w:tcMar>
          </w:tcPr>
          <w:p>
            <w:pPr>
              <w:jc w:val="left"/>
            </w:pPr>
            <w:r>
              <w:rPr>
                <w:rFonts w:ascii="Calibri" w:hAnsi="Calibri"/>
                <w:color w:val="1E293B"/>
                <w:sz w:val="19"/>
              </w:rPr>
              <w:t>LangGraph</w:t>
            </w:r>
          </w:p>
        </w:tc>
        <w:tc>
          <w:tcPr>
            <w:tcW w:type="dxa" w:w="4608"/>
            <w:shd w:fill="FFFFFF"/>
            <w:tcMar>
              <w:top w:w="80" w:type="dxa"/>
              <w:bottom w:w="80" w:type="dxa"/>
              <w:left w:w="120" w:type="dxa"/>
              <w:right w:w="120" w:type="dxa"/>
            </w:tcMar>
          </w:tcPr>
          <w:p>
            <w:pPr>
              <w:jc w:val="left"/>
            </w:pPr>
            <w:r>
              <w:rPr>
                <w:rFonts w:ascii="Calibri" w:hAnsi="Calibri"/>
                <w:color w:val="1E293B"/>
                <w:sz w:val="19"/>
              </w:rPr>
              <w:t>Provides explicit cyclic graph state control, persistence, and native human-in-the-loop pausing.</w:t>
            </w:r>
          </w:p>
        </w:tc>
      </w:tr>
      <w:tr>
        <w:tc>
          <w:tcPr>
            <w:tcW w:type="dxa" w:w="2160"/>
            <w:shd w:fill="F8FAFC"/>
            <w:tcMar>
              <w:top w:w="80" w:type="dxa"/>
              <w:bottom w:w="80" w:type="dxa"/>
              <w:left w:w="120" w:type="dxa"/>
              <w:right w:w="120" w:type="dxa"/>
            </w:tcMar>
          </w:tcPr>
          <w:p>
            <w:pPr>
              <w:jc w:val="left"/>
            </w:pPr>
            <w:r>
              <w:rPr>
                <w:rFonts w:ascii="Calibri" w:hAnsi="Calibri"/>
                <w:color w:val="1E293B"/>
                <w:sz w:val="19"/>
              </w:rPr>
              <w:t>Relational DB</w:t>
            </w:r>
          </w:p>
        </w:tc>
        <w:tc>
          <w:tcPr>
            <w:tcW w:type="dxa" w:w="3312"/>
            <w:shd w:fill="F8FAFC"/>
            <w:tcMar>
              <w:top w:w="80" w:type="dxa"/>
              <w:bottom w:w="80" w:type="dxa"/>
              <w:left w:w="120" w:type="dxa"/>
              <w:right w:w="120" w:type="dxa"/>
            </w:tcMar>
          </w:tcPr>
          <w:p>
            <w:pPr>
              <w:jc w:val="left"/>
            </w:pPr>
            <w:r>
              <w:rPr>
                <w:rFonts w:ascii="Calibri" w:hAnsi="Calibri"/>
                <w:color w:val="1E293B"/>
                <w:sz w:val="19"/>
              </w:rPr>
              <w:t>PostgreSQL 16</w:t>
            </w:r>
          </w:p>
        </w:tc>
        <w:tc>
          <w:tcPr>
            <w:tcW w:type="dxa" w:w="4608"/>
            <w:shd w:fill="F8FAFC"/>
            <w:tcMar>
              <w:top w:w="80" w:type="dxa"/>
              <w:bottom w:w="80" w:type="dxa"/>
              <w:left w:w="120" w:type="dxa"/>
              <w:right w:w="120" w:type="dxa"/>
            </w:tcMar>
          </w:tcPr>
          <w:p>
            <w:pPr>
              <w:jc w:val="left"/>
            </w:pPr>
            <w:r>
              <w:rPr>
                <w:rFonts w:ascii="Calibri" w:hAnsi="Calibri"/>
                <w:color w:val="1E293B"/>
                <w:sz w:val="19"/>
              </w:rPr>
              <w:t>Enterprise transactional store for CRM entities, user accounts, and immutable audit logs.</w:t>
            </w:r>
          </w:p>
        </w:tc>
      </w:tr>
      <w:tr>
        <w:tc>
          <w:tcPr>
            <w:tcW w:type="dxa" w:w="2160"/>
            <w:shd w:fill="FFFFFF"/>
            <w:tcMar>
              <w:top w:w="80" w:type="dxa"/>
              <w:bottom w:w="80" w:type="dxa"/>
              <w:left w:w="120" w:type="dxa"/>
              <w:right w:w="120" w:type="dxa"/>
            </w:tcMar>
          </w:tcPr>
          <w:p>
            <w:pPr>
              <w:jc w:val="left"/>
            </w:pPr>
            <w:r>
              <w:rPr>
                <w:rFonts w:ascii="Calibri" w:hAnsi="Calibri"/>
                <w:color w:val="1E293B"/>
                <w:sz w:val="19"/>
              </w:rPr>
              <w:t>Vector Search</w:t>
            </w:r>
          </w:p>
        </w:tc>
        <w:tc>
          <w:tcPr>
            <w:tcW w:type="dxa" w:w="3312"/>
            <w:shd w:fill="FFFFFF"/>
            <w:tcMar>
              <w:top w:w="80" w:type="dxa"/>
              <w:bottom w:w="80" w:type="dxa"/>
              <w:left w:w="120" w:type="dxa"/>
              <w:right w:w="120" w:type="dxa"/>
            </w:tcMar>
          </w:tcPr>
          <w:p>
            <w:pPr>
              <w:jc w:val="left"/>
            </w:pPr>
            <w:r>
              <w:rPr>
                <w:rFonts w:ascii="Calibri" w:hAnsi="Calibri"/>
                <w:color w:val="1E293B"/>
                <w:sz w:val="19"/>
              </w:rPr>
              <w:t>pgvector (or Qdrant for large scale)</w:t>
            </w:r>
          </w:p>
        </w:tc>
        <w:tc>
          <w:tcPr>
            <w:tcW w:type="dxa" w:w="4608"/>
            <w:shd w:fill="FFFFFF"/>
            <w:tcMar>
              <w:top w:w="80" w:type="dxa"/>
              <w:bottom w:w="80" w:type="dxa"/>
              <w:left w:w="120" w:type="dxa"/>
              <w:right w:w="120" w:type="dxa"/>
            </w:tcMar>
          </w:tcPr>
          <w:p>
            <w:pPr>
              <w:jc w:val="left"/>
            </w:pPr>
            <w:r>
              <w:rPr>
                <w:rFonts w:ascii="Calibri" w:hAnsi="Calibri"/>
                <w:color w:val="1E293B"/>
                <w:sz w:val="19"/>
              </w:rPr>
              <w:t>Enables zero-latency JOINs between transactional CRM tables and vector embeddings.</w:t>
            </w:r>
          </w:p>
        </w:tc>
      </w:tr>
      <w:tr>
        <w:tc>
          <w:tcPr>
            <w:tcW w:type="dxa" w:w="2160"/>
            <w:shd w:fill="F8FAFC"/>
            <w:tcMar>
              <w:top w:w="80" w:type="dxa"/>
              <w:bottom w:w="80" w:type="dxa"/>
              <w:left w:w="120" w:type="dxa"/>
              <w:right w:w="120" w:type="dxa"/>
            </w:tcMar>
          </w:tcPr>
          <w:p>
            <w:pPr>
              <w:jc w:val="left"/>
            </w:pPr>
            <w:r>
              <w:rPr>
                <w:rFonts w:ascii="Calibri" w:hAnsi="Calibri"/>
                <w:color w:val="1E293B"/>
                <w:sz w:val="19"/>
              </w:rPr>
              <w:t>Cache &amp; Session</w:t>
            </w:r>
          </w:p>
        </w:tc>
        <w:tc>
          <w:tcPr>
            <w:tcW w:type="dxa" w:w="3312"/>
            <w:shd w:fill="F8FAFC"/>
            <w:tcMar>
              <w:top w:w="80" w:type="dxa"/>
              <w:bottom w:w="80" w:type="dxa"/>
              <w:left w:w="120" w:type="dxa"/>
              <w:right w:w="120" w:type="dxa"/>
            </w:tcMar>
          </w:tcPr>
          <w:p>
            <w:pPr>
              <w:jc w:val="left"/>
            </w:pPr>
            <w:r>
              <w:rPr>
                <w:rFonts w:ascii="Calibri" w:hAnsi="Calibri"/>
                <w:color w:val="1E293B"/>
                <w:sz w:val="19"/>
              </w:rPr>
              <w:t>Redis</w:t>
            </w:r>
          </w:p>
        </w:tc>
        <w:tc>
          <w:tcPr>
            <w:tcW w:type="dxa" w:w="4608"/>
            <w:shd w:fill="F8FAFC"/>
            <w:tcMar>
              <w:top w:w="80" w:type="dxa"/>
              <w:bottom w:w="80" w:type="dxa"/>
              <w:left w:w="120" w:type="dxa"/>
              <w:right w:w="120" w:type="dxa"/>
            </w:tcMar>
          </w:tcPr>
          <w:p>
            <w:pPr>
              <w:jc w:val="left"/>
            </w:pPr>
            <w:r>
              <w:rPr>
                <w:rFonts w:ascii="Calibri" w:hAnsi="Calibri"/>
                <w:color w:val="1E293B"/>
                <w:sz w:val="19"/>
              </w:rPr>
              <w:t>Sub-millisecond prompt caching, rate limit counters, and temporary session state.</w:t>
            </w:r>
          </w:p>
        </w:tc>
      </w:tr>
      <w:tr>
        <w:tc>
          <w:tcPr>
            <w:tcW w:type="dxa" w:w="2160"/>
            <w:shd w:fill="FFFFFF"/>
            <w:tcMar>
              <w:top w:w="80" w:type="dxa"/>
              <w:bottom w:w="80" w:type="dxa"/>
              <w:left w:w="120" w:type="dxa"/>
              <w:right w:w="120" w:type="dxa"/>
            </w:tcMar>
          </w:tcPr>
          <w:p>
            <w:pPr>
              <w:jc w:val="left"/>
            </w:pPr>
            <w:r>
              <w:rPr>
                <w:rFonts w:ascii="Calibri" w:hAnsi="Calibri"/>
                <w:color w:val="1E293B"/>
                <w:sz w:val="19"/>
              </w:rPr>
              <w:t>Workflow Engine</w:t>
            </w:r>
          </w:p>
        </w:tc>
        <w:tc>
          <w:tcPr>
            <w:tcW w:type="dxa" w:w="3312"/>
            <w:shd w:fill="FFFFFF"/>
            <w:tcMar>
              <w:top w:w="80" w:type="dxa"/>
              <w:bottom w:w="80" w:type="dxa"/>
              <w:left w:w="120" w:type="dxa"/>
              <w:right w:w="120" w:type="dxa"/>
            </w:tcMar>
          </w:tcPr>
          <w:p>
            <w:pPr>
              <w:jc w:val="left"/>
            </w:pPr>
            <w:r>
              <w:rPr>
                <w:rFonts w:ascii="Calibri" w:hAnsi="Calibri"/>
                <w:color w:val="1E293B"/>
                <w:sz w:val="19"/>
              </w:rPr>
              <w:t>Temporal / LangGraph Checkpoint</w:t>
            </w:r>
          </w:p>
        </w:tc>
        <w:tc>
          <w:tcPr>
            <w:tcW w:type="dxa" w:w="4608"/>
            <w:shd w:fill="FFFFFF"/>
            <w:tcMar>
              <w:top w:w="80" w:type="dxa"/>
              <w:bottom w:w="80" w:type="dxa"/>
              <w:left w:w="120" w:type="dxa"/>
              <w:right w:w="120" w:type="dxa"/>
            </w:tcMar>
          </w:tcPr>
          <w:p>
            <w:pPr>
              <w:jc w:val="left"/>
            </w:pPr>
            <w:r>
              <w:rPr>
                <w:rFonts w:ascii="Calibri" w:hAnsi="Calibri"/>
                <w:color w:val="1E293B"/>
                <w:sz w:val="19"/>
              </w:rPr>
              <w:t>Durable execution of multi-day workflows, handling rep approval pauses without timeouts.</w:t>
            </w:r>
          </w:p>
        </w:tc>
      </w:tr>
      <w:tr>
        <w:tc>
          <w:tcPr>
            <w:tcW w:type="dxa" w:w="2160"/>
            <w:shd w:fill="F8FAFC"/>
            <w:tcMar>
              <w:top w:w="80" w:type="dxa"/>
              <w:bottom w:w="80" w:type="dxa"/>
              <w:left w:w="120" w:type="dxa"/>
              <w:right w:w="120" w:type="dxa"/>
            </w:tcMar>
          </w:tcPr>
          <w:p>
            <w:pPr>
              <w:jc w:val="left"/>
            </w:pPr>
            <w:r>
              <w:rPr>
                <w:rFonts w:ascii="Calibri" w:hAnsi="Calibri"/>
                <w:color w:val="1E293B"/>
                <w:sz w:val="19"/>
              </w:rPr>
              <w:t>Security &amp; Auth</w:t>
            </w:r>
          </w:p>
        </w:tc>
        <w:tc>
          <w:tcPr>
            <w:tcW w:type="dxa" w:w="3312"/>
            <w:shd w:fill="F8FAFC"/>
            <w:tcMar>
              <w:top w:w="80" w:type="dxa"/>
              <w:bottom w:w="80" w:type="dxa"/>
              <w:left w:w="120" w:type="dxa"/>
              <w:right w:w="120" w:type="dxa"/>
            </w:tcMar>
          </w:tcPr>
          <w:p>
            <w:pPr>
              <w:jc w:val="left"/>
            </w:pPr>
            <w:r>
              <w:rPr>
                <w:rFonts w:ascii="Calibri" w:hAnsi="Calibri"/>
                <w:color w:val="1E293B"/>
                <w:sz w:val="19"/>
              </w:rPr>
              <w:t>OAuth 2.0 / OIDC (Keycloak / Okta)</w:t>
            </w:r>
          </w:p>
        </w:tc>
        <w:tc>
          <w:tcPr>
            <w:tcW w:type="dxa" w:w="4608"/>
            <w:shd w:fill="F8FAFC"/>
            <w:tcMar>
              <w:top w:w="80" w:type="dxa"/>
              <w:bottom w:w="80" w:type="dxa"/>
              <w:left w:w="120" w:type="dxa"/>
              <w:right w:w="120" w:type="dxa"/>
            </w:tcMar>
          </w:tcPr>
          <w:p>
            <w:pPr>
              <w:jc w:val="left"/>
            </w:pPr>
            <w:r>
              <w:rPr>
                <w:rFonts w:ascii="Calibri" w:hAnsi="Calibri"/>
                <w:color w:val="1E293B"/>
                <w:sz w:val="19"/>
              </w:rPr>
              <w:t>Enterprise single sign-on (SSO), granular role-based access control, and token management.</w:t>
            </w:r>
          </w:p>
        </w:tc>
      </w:tr>
      <w:tr>
        <w:tc>
          <w:tcPr>
            <w:tcW w:type="dxa" w:w="2160"/>
            <w:shd w:fill="FFFFFF"/>
            <w:tcMar>
              <w:top w:w="80" w:type="dxa"/>
              <w:bottom w:w="80" w:type="dxa"/>
              <w:left w:w="120" w:type="dxa"/>
              <w:right w:w="120" w:type="dxa"/>
            </w:tcMar>
          </w:tcPr>
          <w:p>
            <w:pPr>
              <w:jc w:val="left"/>
            </w:pPr>
            <w:r>
              <w:rPr>
                <w:rFonts w:ascii="Calibri" w:hAnsi="Calibri"/>
                <w:color w:val="1E293B"/>
                <w:sz w:val="19"/>
              </w:rPr>
              <w:t>Observability</w:t>
            </w:r>
          </w:p>
        </w:tc>
        <w:tc>
          <w:tcPr>
            <w:tcW w:type="dxa" w:w="3312"/>
            <w:shd w:fill="FFFFFF"/>
            <w:tcMar>
              <w:top w:w="80" w:type="dxa"/>
              <w:bottom w:w="80" w:type="dxa"/>
              <w:left w:w="120" w:type="dxa"/>
              <w:right w:w="120" w:type="dxa"/>
            </w:tcMar>
          </w:tcPr>
          <w:p>
            <w:pPr>
              <w:jc w:val="left"/>
            </w:pPr>
            <w:r>
              <w:rPr>
                <w:rFonts w:ascii="Calibri" w:hAnsi="Calibri"/>
                <w:color w:val="1E293B"/>
                <w:sz w:val="19"/>
              </w:rPr>
              <w:t>Langfuse + OpenTelemetry</w:t>
            </w:r>
          </w:p>
        </w:tc>
        <w:tc>
          <w:tcPr>
            <w:tcW w:type="dxa" w:w="4608"/>
            <w:shd w:fill="FFFFFF"/>
            <w:tcMar>
              <w:top w:w="80" w:type="dxa"/>
              <w:bottom w:w="80" w:type="dxa"/>
              <w:left w:w="120" w:type="dxa"/>
              <w:right w:w="120" w:type="dxa"/>
            </w:tcMar>
          </w:tcPr>
          <w:p>
            <w:pPr>
              <w:jc w:val="left"/>
            </w:pPr>
            <w:r>
              <w:rPr>
                <w:rFonts w:ascii="Calibri" w:hAnsi="Calibri"/>
                <w:color w:val="1E293B"/>
                <w:sz w:val="19"/>
              </w:rPr>
              <w:t>Granular LLM tracing, step-by-step cost tracking, and evaluation benchmarking.</w:t>
            </w:r>
          </w:p>
        </w:tc>
      </w:tr>
    </w:tbl>
    <w:p>
      <w:pPr>
        <w:spacing w:after="120"/>
      </w:pPr>
    </w:p>
    <w:p>
      <w:pPr>
        <w:keepNext/>
        <w:spacing w:before="360" w:after="120"/>
      </w:pPr>
      <w:r>
        <w:rPr>
          <w:rFonts w:ascii="Calibri" w:hAnsi="Calibri"/>
          <w:b/>
          <w:color w:val="0F2A4A"/>
          <w:sz w:val="32"/>
        </w:rPr>
        <w:t>14. Core Operational Principles</w:t>
      </w:r>
    </w:p>
    <w:tbl>
      <w:tblPr>
        <w:tblW w:type="auto" w:w="0"/>
        <w:jc w:val="center"/>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Borders>
              <w:top w:val="none"/>
              <w:left w:val="single" w:sz="24" w:space="0" w:color="1E3A8A"/>
              <w:bottom w:val="none"/>
              <w:right w:val="none"/>
            </w:tcBorders>
          </w:tcPr>
          <w:p>
            <w:pPr>
              <w:spacing w:before="40" w:after="80"/>
            </w:pPr>
            <w:r>
              <w:rPr>
                <w:rFonts w:ascii="Calibri" w:hAnsi="Calibri"/>
                <w:b/>
                <w:color w:val="1E3A8A"/>
                <w:sz w:val="21"/>
              </w:rPr>
              <w:t>📌 THE FIVE FOUNDATIONAL PRINCIPLES OF CRM AI</w:t>
              <w:br/>
            </w:r>
          </w:p>
          <w:p>
            <w:pPr>
              <w:spacing w:before="40" w:after="60" w:line="276" w:lineRule="auto"/>
            </w:pPr>
            <w:r>
              <w:rPr>
                <w:rFonts w:ascii="Calibri" w:hAnsi="Calibri"/>
                <w:color w:val="334155"/>
                <w:sz w:val="20"/>
              </w:rPr>
              <w:t>1. LLMs Reason, They Do Not Store Truth: All factual data comes directly from the CRM database and verified documents, never from LLM parametric memory.</w:t>
            </w:r>
          </w:p>
          <w:p>
            <w:pPr>
              <w:spacing w:before="40" w:after="60" w:line="276" w:lineRule="auto"/>
            </w:pPr>
            <w:r>
              <w:rPr>
                <w:rFonts w:ascii="Calibri" w:hAnsi="Calibri"/>
                <w:color w:val="334155"/>
                <w:sz w:val="20"/>
              </w:rPr>
              <w:t>2. Permissions Precede Relevance: A document must be authorized for a user before it is ever evaluated for semantic relevance.</w:t>
            </w:r>
          </w:p>
          <w:p>
            <w:pPr>
              <w:spacing w:before="40" w:after="60" w:line="276" w:lineRule="auto"/>
            </w:pPr>
            <w:r>
              <w:rPr>
                <w:rFonts w:ascii="Calibri" w:hAnsi="Calibri"/>
                <w:color w:val="334155"/>
                <w:sz w:val="20"/>
              </w:rPr>
              <w:t>3. Deterministic Over Generative Tools: Database mutations happen through hardened, typed code APIs—not unconstrained SQL generation.</w:t>
            </w:r>
          </w:p>
          <w:p>
            <w:pPr>
              <w:spacing w:before="40" w:after="60" w:line="276" w:lineRule="auto"/>
            </w:pPr>
            <w:r>
              <w:rPr>
                <w:rFonts w:ascii="Calibri" w:hAnsi="Calibri"/>
                <w:color w:val="334155"/>
                <w:sz w:val="20"/>
              </w:rPr>
              <w:t>4. Humans Retain Ultimate Authority: Any action impacting customer communications, financial terms, or contracts requires signed human confirmation.</w:t>
            </w:r>
          </w:p>
          <w:p>
            <w:pPr>
              <w:spacing w:before="40" w:after="60" w:line="276" w:lineRule="auto"/>
            </w:pPr>
            <w:r>
              <w:rPr>
                <w:rFonts w:ascii="Calibri" w:hAnsi="Calibri"/>
                <w:color w:val="334155"/>
                <w:sz w:val="20"/>
              </w:rPr>
              <w:t>5. Complete Traceability: If an AI action occurs, its full reasoning trace, context snapshot, tool parameters, and authorizing user ID must be permanently auditable.</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