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HomeGuardian AI</w:t>
      </w:r>
    </w:p>
    <w:p>
      <w:pPr>
        <w:spacing w:after="60"/>
      </w:pPr>
      <w:r>
        <w:rPr>
          <w:i/>
          <w:iCs/>
          <w:color w:val="5F5E5A"/>
          <w:sz w:val="26"/>
          <w:szCs w:val="26"/>
        </w:rPr>
        <w:t xml:space="preserve">The Autonomous Home Purchase &amp; Lifecycle Intelligence Agent</w:t>
      </w:r>
    </w:p>
    <w:p>
      <w:pPr>
        <w:spacing w:after="300"/>
      </w:pPr>
      <w:r>
        <w:rPr>
          <w:color w:val="888780"/>
          <w:sz w:val="20"/>
          <w:szCs w:val="20"/>
        </w:rPr>
        <w:t xml:space="preserve">Product Requirements Document  |  v1.0  |  August 2026</w:t>
      </w:r>
    </w:p>
    <w:p>
      <w:pPr>
        <w:pStyle w:val="Heading1"/>
        <w:spacing w:after="150" w:before="300"/>
      </w:pPr>
      <w:r>
        <w:t xml:space="preserve">1. Problem Statement</w:t>
      </w:r>
    </w:p>
    <w:p>
      <w:pPr>
        <w:spacing w:after="140"/>
      </w:pPr>
      <w:r>
        <w:t xml:space="preserve">Buying a home is one of the largest financial decisions most people make, yet it is typically made with incomplete information. Hidden structural defects, aging infrastructure, deferred maintenance, and unknown future repair costs often surface only after purchase, creating financial and emotional strain for new homeowners.</w:t>
      </w:r>
    </w:p>
    <w:p>
      <w:pPr>
        <w:spacing w:after="140"/>
      </w:pPr>
      <w:r>
        <w:t xml:space="preserve">Existing solutions rely on a single manual inspection: expensive, subjective, and static. They provide a one-time snapshot rather than ongoing intelligence about a property's future condition, maintenance priorities, or total cost of ownership.</w:t>
      </w:r>
    </w:p>
    <w:p>
      <w:pPr>
        <w:pStyle w:val="Heading1"/>
        <w:spacing w:after="150" w:before="300"/>
      </w:pPr>
      <w:r>
        <w:t xml:space="preserve">2. Product Vision</w:t>
      </w:r>
    </w:p>
    <w:p>
      <w:pPr>
        <w:spacing w:after="140"/>
      </w:pPr>
      <w:r>
        <w:t xml:space="preserve">HomeGuardian AI is an autonomous home lifecycle intelligence agent — not a one-time inspection tool. It acts as a personal AI advisor before, during, and after a home purchase, continuously reasoning about a property's present condition, future risk, financial impact, and maintenance strategy using a team of specialized AI agents.</w:t>
      </w:r>
    </w:p>
    <w:p>
      <w:pPr>
        <w:spacing w:after="140"/>
      </w:pPr>
      <w:r>
        <w:t xml:space="preserve">Where traditional tools answer "what is wrong with this house," HomeGuardian answers the buyer's real questions:</w:t>
      </w:r>
    </w:p>
    <w:p>
      <w:pPr>
        <w:pStyle w:val="ListParagraph"/>
        <w:numPr>
          <w:ilvl w:val="0"/>
          <w:numId w:val="2"/>
        </w:numPr>
        <w:spacing w:after="80"/>
      </w:pPr>
      <w:r>
        <w:t xml:space="preserve">Should I buy this house?</w:t>
      </w:r>
    </w:p>
    <w:p>
      <w:pPr>
        <w:pStyle w:val="ListParagraph"/>
        <w:numPr>
          <w:ilvl w:val="0"/>
          <w:numId w:val="2"/>
        </w:numPr>
        <w:spacing w:after="80"/>
      </w:pPr>
      <w:r>
        <w:t xml:space="preserve">What hidden risks exist?</w:t>
      </w:r>
    </w:p>
    <w:p>
      <w:pPr>
        <w:pStyle w:val="ListParagraph"/>
        <w:numPr>
          <w:ilvl w:val="0"/>
          <w:numId w:val="2"/>
        </w:numPr>
        <w:spacing w:after="80"/>
      </w:pPr>
      <w:r>
        <w:t xml:space="preserve">How much will maintenance cost over the next 5 years?</w:t>
      </w:r>
    </w:p>
    <w:p>
      <w:pPr>
        <w:pStyle w:val="ListParagraph"/>
        <w:numPr>
          <w:ilvl w:val="0"/>
          <w:numId w:val="2"/>
        </w:numPr>
        <w:spacing w:after="80"/>
      </w:pPr>
      <w:r>
        <w:t xml:space="preserve">Which repairs are urgent, and which can wait?</w:t>
      </w:r>
    </w:p>
    <w:p>
      <w:pPr>
        <w:pStyle w:val="ListParagraph"/>
        <w:numPr>
          <w:ilvl w:val="0"/>
          <w:numId w:val="2"/>
        </w:numPr>
        <w:spacing w:after="80"/>
      </w:pPr>
      <w:r>
        <w:t xml:space="preserve">Which contractor offers the best value?</w:t>
      </w:r>
    </w:p>
    <w:p>
      <w:pPr>
        <w:pStyle w:val="ListParagraph"/>
        <w:numPr>
          <w:ilvl w:val="0"/>
          <w:numId w:val="2"/>
        </w:numPr>
        <w:spacing w:after="80"/>
      </w:pPr>
      <w:r>
        <w:t xml:space="preserve">Can I negotiate the price based on these findings?</w:t>
      </w:r>
    </w:p>
    <w:p>
      <w:pPr>
        <w:pStyle w:val="ListParagraph"/>
        <w:numPr>
          <w:ilvl w:val="0"/>
          <w:numId w:val="2"/>
        </w:numPr>
        <w:spacing w:after="80"/>
      </w:pPr>
      <w:r>
        <w:t xml:space="preserve">What annual maintenance budget should I plan for?</w:t>
      </w:r>
    </w:p>
    <w:p>
      <w:pPr>
        <w:pStyle w:val="ListParagraph"/>
        <w:numPr>
          <w:ilvl w:val="0"/>
          <w:numId w:val="2"/>
        </w:numPr>
        <w:spacing w:after="80"/>
      </w:pPr>
      <w:r>
        <w:t xml:space="preserve">How do I maximize the property's lifespan and resale value?</w:t>
      </w:r>
    </w:p>
    <w:p>
      <w:pPr>
        <w:pStyle w:val="Heading1"/>
        <w:spacing w:after="150" w:before="300"/>
      </w:pPr>
      <w:r>
        <w:t xml:space="preserve">3. Target Users</w:t>
      </w:r>
    </w:p>
    <w:p>
      <w:pPr>
        <w:pStyle w:val="ListParagraph"/>
        <w:numPr>
          <w:ilvl w:val="0"/>
          <w:numId w:val="2"/>
        </w:numPr>
        <w:spacing w:after="80"/>
      </w:pPr>
      <w:r>
        <w:t xml:space="preserve">Prospective homebuyers evaluating a property pre-purchase</w:t>
      </w:r>
    </w:p>
    <w:p>
      <w:pPr>
        <w:pStyle w:val="ListParagraph"/>
        <w:numPr>
          <w:ilvl w:val="0"/>
          <w:numId w:val="2"/>
        </w:numPr>
        <w:spacing w:after="80"/>
      </w:pPr>
      <w:r>
        <w:t xml:space="preserve">New homeowners planning first-year maintenance and budget</w:t>
      </w:r>
    </w:p>
    <w:p>
      <w:pPr>
        <w:pStyle w:val="ListParagraph"/>
        <w:numPr>
          <w:ilvl w:val="0"/>
          <w:numId w:val="2"/>
        </w:numPr>
        <w:spacing w:after="80"/>
      </w:pPr>
      <w:r>
        <w:t xml:space="preserve">Existing homeowners seeking ongoing property health monitoring</w:t>
      </w:r>
    </w:p>
    <w:p>
      <w:pPr>
        <w:pStyle w:val="ListParagraph"/>
        <w:numPr>
          <w:ilvl w:val="0"/>
          <w:numId w:val="2"/>
        </w:numPr>
        <w:spacing w:after="80"/>
      </w:pPr>
      <w:r>
        <w:t xml:space="preserve">Real estate agents supporting client due diligence</w:t>
      </w:r>
    </w:p>
    <w:p>
      <w:pPr>
        <w:pStyle w:val="Heading1"/>
        <w:spacing w:after="150" w:before="300"/>
      </w:pPr>
      <w:r>
        <w:t xml:space="preserve">4. Multi-Agent Architecture</w:t>
      </w:r>
    </w:p>
    <w:p>
      <w:pPr>
        <w:spacing w:after="140"/>
      </w:pPr>
      <w:r>
        <w:t xml:space="preserve">Rather than a single monolithic model, HomeGuardian is built on eight collaborating specialized agents, coordinated by an orchestration layer that routes data between agents and assembles their outputs into a unified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100"/>
      </w:tblGrid>
      <w:tr>
        <w:tc>
          <w:tcPr>
            <w:tcW w:type="dxa" w:w="2600"/>
            <w:shd w:fill="1D9E75" w:val="clear"/>
            <w:tcMar>
              <w:top w:type="dxa" w:w="80"/>
              <w:left w:type="dxa" w:w="120"/>
              <w:bottom w:type="dxa" w:w="80"/>
              <w:right w:type="dxa" w:w="120"/>
            </w:tcMar>
          </w:tcPr>
          <w:p>
            <w:r>
              <w:rPr>
                <w:b/>
                <w:bCs/>
                <w:color w:val="FFFFFF"/>
                <w:sz w:val="20"/>
                <w:szCs w:val="20"/>
              </w:rPr>
              <w:t xml:space="preserve">Agent</w:t>
            </w:r>
          </w:p>
        </w:tc>
        <w:tc>
          <w:tcPr>
            <w:tcW w:type="dxa" w:w="3800"/>
            <w:shd w:fill="1D9E75" w:val="clear"/>
            <w:tcMar>
              <w:top w:type="dxa" w:w="80"/>
              <w:left w:type="dxa" w:w="120"/>
              <w:bottom w:type="dxa" w:w="80"/>
              <w:right w:type="dxa" w:w="120"/>
            </w:tcMar>
          </w:tcPr>
          <w:p>
            <w:r>
              <w:rPr>
                <w:b/>
                <w:bCs/>
                <w:color w:val="FFFFFF"/>
                <w:sz w:val="20"/>
                <w:szCs w:val="20"/>
              </w:rPr>
              <w:t xml:space="preserve">Primary function</w:t>
            </w:r>
          </w:p>
        </w:tc>
        <w:tc>
          <w:tcPr>
            <w:tcW w:type="dxa" w:w="3100"/>
            <w:shd w:fill="1D9E75" w:val="clear"/>
            <w:tcMar>
              <w:top w:type="dxa" w:w="80"/>
              <w:left w:type="dxa" w:w="120"/>
              <w:bottom w:type="dxa" w:w="80"/>
              <w:right w:type="dxa" w:w="120"/>
            </w:tcMar>
          </w:tcPr>
          <w:p>
            <w:r>
              <w:rPr>
                <w:b/>
                <w:bCs/>
                <w:color w:val="FFFFFF"/>
                <w:sz w:val="20"/>
                <w:szCs w:val="20"/>
              </w:rPr>
              <w:t xml:space="preserve">Key outputs</w:t>
            </w:r>
          </w:p>
        </w:tc>
      </w:tr>
      <w:tr>
        <w:tc>
          <w:tcPr>
            <w:tcW w:type="dxa" w:w="2600"/>
            <w:tcMar>
              <w:top w:type="dxa" w:w="80"/>
              <w:left w:type="dxa" w:w="120"/>
              <w:bottom w:type="dxa" w:w="80"/>
              <w:right w:type="dxa" w:w="120"/>
            </w:tcMar>
          </w:tcPr>
          <w:p>
            <w:r>
              <w:rPr>
                <w:b w:val="false"/>
                <w:bCs w:val="false"/>
                <w:sz w:val="20"/>
                <w:szCs w:val="20"/>
              </w:rPr>
              <w:t xml:space="preserve">Vision Inspection Agent</w:t>
            </w:r>
          </w:p>
        </w:tc>
        <w:tc>
          <w:tcPr>
            <w:tcW w:type="dxa" w:w="3800"/>
            <w:tcMar>
              <w:top w:type="dxa" w:w="80"/>
              <w:left w:type="dxa" w:w="120"/>
              <w:bottom w:type="dxa" w:w="80"/>
              <w:right w:type="dxa" w:w="120"/>
            </w:tcMar>
          </w:tcPr>
          <w:p>
            <w:r>
              <w:rPr>
                <w:b w:val="false"/>
                <w:bCs w:val="false"/>
                <w:sz w:val="20"/>
                <w:szCs w:val="20"/>
              </w:rPr>
              <w:t xml:space="preserve">Detects visible structural issues from images/video</w:t>
            </w:r>
          </w:p>
        </w:tc>
        <w:tc>
          <w:tcPr>
            <w:tcW w:type="dxa" w:w="3100"/>
            <w:tcMar>
              <w:top w:type="dxa" w:w="80"/>
              <w:left w:type="dxa" w:w="120"/>
              <w:bottom w:type="dxa" w:w="80"/>
              <w:right w:type="dxa" w:w="120"/>
            </w:tcMar>
          </w:tcPr>
          <w:p>
            <w:r>
              <w:rPr>
                <w:b w:val="false"/>
                <w:bCs w:val="false"/>
                <w:sz w:val="20"/>
                <w:szCs w:val="20"/>
              </w:rPr>
              <w:t xml:space="preserve">Defect list, annotated media</w:t>
            </w:r>
          </w:p>
        </w:tc>
      </w:tr>
      <w:tr>
        <w:tc>
          <w:tcPr>
            <w:tcW w:type="dxa" w:w="2600"/>
            <w:tcMar>
              <w:top w:type="dxa" w:w="80"/>
              <w:left w:type="dxa" w:w="120"/>
              <w:bottom w:type="dxa" w:w="80"/>
              <w:right w:type="dxa" w:w="120"/>
            </w:tcMar>
          </w:tcPr>
          <w:p>
            <w:r>
              <w:rPr>
                <w:b w:val="false"/>
                <w:bCs w:val="false"/>
                <w:sz w:val="20"/>
                <w:szCs w:val="20"/>
              </w:rPr>
              <w:t xml:space="preserve">Structural Risk Agent</w:t>
            </w:r>
          </w:p>
        </w:tc>
        <w:tc>
          <w:tcPr>
            <w:tcW w:type="dxa" w:w="3800"/>
            <w:tcMar>
              <w:top w:type="dxa" w:w="80"/>
              <w:left w:type="dxa" w:w="120"/>
              <w:bottom w:type="dxa" w:w="80"/>
              <w:right w:type="dxa" w:w="120"/>
            </w:tcMar>
          </w:tcPr>
          <w:p>
            <w:r>
              <w:rPr>
                <w:b w:val="false"/>
                <w:bCs w:val="false"/>
                <w:sz w:val="20"/>
                <w:szCs w:val="20"/>
              </w:rPr>
              <w:t xml:space="preserve">Predicts hidden risks and future deterioration</w:t>
            </w:r>
          </w:p>
        </w:tc>
        <w:tc>
          <w:tcPr>
            <w:tcW w:type="dxa" w:w="3100"/>
            <w:tcMar>
              <w:top w:type="dxa" w:w="80"/>
              <w:left w:type="dxa" w:w="120"/>
              <w:bottom w:type="dxa" w:w="80"/>
              <w:right w:type="dxa" w:w="120"/>
            </w:tcMar>
          </w:tcPr>
          <w:p>
            <w:r>
              <w:rPr>
                <w:b w:val="false"/>
                <w:bCs w:val="false"/>
                <w:sz w:val="20"/>
                <w:szCs w:val="20"/>
              </w:rPr>
              <w:t xml:space="preserve">Risk probability scores</w:t>
            </w:r>
          </w:p>
        </w:tc>
      </w:tr>
      <w:tr>
        <w:tc>
          <w:tcPr>
            <w:tcW w:type="dxa" w:w="2600"/>
            <w:tcMar>
              <w:top w:type="dxa" w:w="80"/>
              <w:left w:type="dxa" w:w="120"/>
              <w:bottom w:type="dxa" w:w="80"/>
              <w:right w:type="dxa" w:w="120"/>
            </w:tcMar>
          </w:tcPr>
          <w:p>
            <w:r>
              <w:rPr>
                <w:b w:val="false"/>
                <w:bCs w:val="false"/>
                <w:sz w:val="20"/>
                <w:szCs w:val="20"/>
              </w:rPr>
              <w:t xml:space="preserve">Maintenance Planner Agent</w:t>
            </w:r>
          </w:p>
        </w:tc>
        <w:tc>
          <w:tcPr>
            <w:tcW w:type="dxa" w:w="3800"/>
            <w:tcMar>
              <w:top w:type="dxa" w:w="80"/>
              <w:left w:type="dxa" w:w="120"/>
              <w:bottom w:type="dxa" w:w="80"/>
              <w:right w:type="dxa" w:w="120"/>
            </w:tcMar>
          </w:tcPr>
          <w:p>
            <w:r>
              <w:rPr>
                <w:b w:val="false"/>
                <w:bCs w:val="false"/>
                <w:sz w:val="20"/>
                <w:szCs w:val="20"/>
              </w:rPr>
              <w:t xml:space="preserve">Generates a personalized maintenance roadmap</w:t>
            </w:r>
          </w:p>
        </w:tc>
        <w:tc>
          <w:tcPr>
            <w:tcW w:type="dxa" w:w="3100"/>
            <w:tcMar>
              <w:top w:type="dxa" w:w="80"/>
              <w:left w:type="dxa" w:w="120"/>
              <w:bottom w:type="dxa" w:w="80"/>
              <w:right w:type="dxa" w:w="120"/>
            </w:tcMar>
          </w:tcPr>
          <w:p>
            <w:r>
              <w:rPr>
                <w:b w:val="false"/>
                <w:bCs w:val="false"/>
                <w:sz w:val="20"/>
                <w:szCs w:val="20"/>
              </w:rPr>
              <w:t xml:space="preserve">12-month task calendar</w:t>
            </w:r>
          </w:p>
        </w:tc>
      </w:tr>
      <w:tr>
        <w:tc>
          <w:tcPr>
            <w:tcW w:type="dxa" w:w="2600"/>
            <w:tcMar>
              <w:top w:type="dxa" w:w="80"/>
              <w:left w:type="dxa" w:w="120"/>
              <w:bottom w:type="dxa" w:w="80"/>
              <w:right w:type="dxa" w:w="120"/>
            </w:tcMar>
          </w:tcPr>
          <w:p>
            <w:r>
              <w:rPr>
                <w:b w:val="false"/>
                <w:bCs w:val="false"/>
                <w:sz w:val="20"/>
                <w:szCs w:val="20"/>
              </w:rPr>
              <w:t xml:space="preserve">Cost Intelligence Agent</w:t>
            </w:r>
          </w:p>
        </w:tc>
        <w:tc>
          <w:tcPr>
            <w:tcW w:type="dxa" w:w="3800"/>
            <w:tcMar>
              <w:top w:type="dxa" w:w="80"/>
              <w:left w:type="dxa" w:w="120"/>
              <w:bottom w:type="dxa" w:w="80"/>
              <w:right w:type="dxa" w:w="120"/>
            </w:tcMar>
          </w:tcPr>
          <w:p>
            <w:r>
              <w:rPr>
                <w:b w:val="false"/>
                <w:bCs w:val="false"/>
                <w:sz w:val="20"/>
                <w:szCs w:val="20"/>
              </w:rPr>
              <w:t xml:space="preserve">Estimates repair and long-term ownership costs</w:t>
            </w:r>
          </w:p>
        </w:tc>
        <w:tc>
          <w:tcPr>
            <w:tcW w:type="dxa" w:w="3100"/>
            <w:tcMar>
              <w:top w:type="dxa" w:w="80"/>
              <w:left w:type="dxa" w:w="120"/>
              <w:bottom w:type="dxa" w:w="80"/>
              <w:right w:type="dxa" w:w="120"/>
            </w:tcMar>
          </w:tcPr>
          <w:p>
            <w:r>
              <w:rPr>
                <w:b w:val="false"/>
                <w:bCs w:val="false"/>
                <w:sz w:val="20"/>
                <w:szCs w:val="20"/>
              </w:rPr>
              <w:t xml:space="preserve">5-year cost forecast</w:t>
            </w:r>
          </w:p>
        </w:tc>
      </w:tr>
      <w:tr>
        <w:tc>
          <w:tcPr>
            <w:tcW w:type="dxa" w:w="2600"/>
            <w:tcMar>
              <w:top w:type="dxa" w:w="80"/>
              <w:left w:type="dxa" w:w="120"/>
              <w:bottom w:type="dxa" w:w="80"/>
              <w:right w:type="dxa" w:w="120"/>
            </w:tcMar>
          </w:tcPr>
          <w:p>
            <w:r>
              <w:rPr>
                <w:b w:val="false"/>
                <w:bCs w:val="false"/>
                <w:sz w:val="20"/>
                <w:szCs w:val="20"/>
              </w:rPr>
              <w:t xml:space="preserve">Negotiation Advisor Agent</w:t>
            </w:r>
          </w:p>
        </w:tc>
        <w:tc>
          <w:tcPr>
            <w:tcW w:type="dxa" w:w="3800"/>
            <w:tcMar>
              <w:top w:type="dxa" w:w="80"/>
              <w:left w:type="dxa" w:w="120"/>
              <w:bottom w:type="dxa" w:w="80"/>
              <w:right w:type="dxa" w:w="120"/>
            </w:tcMar>
          </w:tcPr>
          <w:p>
            <w:r>
              <w:rPr>
                <w:b w:val="false"/>
                <w:bCs w:val="false"/>
                <w:sz w:val="20"/>
                <w:szCs w:val="20"/>
              </w:rPr>
              <w:t xml:space="preserve">Builds evidence-based negotiation points</w:t>
            </w:r>
          </w:p>
        </w:tc>
        <w:tc>
          <w:tcPr>
            <w:tcW w:type="dxa" w:w="3100"/>
            <w:tcMar>
              <w:top w:type="dxa" w:w="80"/>
              <w:left w:type="dxa" w:w="120"/>
              <w:bottom w:type="dxa" w:w="80"/>
              <w:right w:type="dxa" w:w="120"/>
            </w:tcMar>
          </w:tcPr>
          <w:p>
            <w:r>
              <w:rPr>
                <w:b w:val="false"/>
                <w:bCs w:val="false"/>
                <w:sz w:val="20"/>
                <w:szCs w:val="20"/>
              </w:rPr>
              <w:t xml:space="preserve">Negotiation brief</w:t>
            </w:r>
          </w:p>
        </w:tc>
      </w:tr>
      <w:tr>
        <w:tc>
          <w:tcPr>
            <w:tcW w:type="dxa" w:w="2600"/>
            <w:tcMar>
              <w:top w:type="dxa" w:w="80"/>
              <w:left w:type="dxa" w:w="120"/>
              <w:bottom w:type="dxa" w:w="80"/>
              <w:right w:type="dxa" w:w="120"/>
            </w:tcMar>
          </w:tcPr>
          <w:p>
            <w:r>
              <w:rPr>
                <w:b w:val="false"/>
                <w:bCs w:val="false"/>
                <w:sz w:val="20"/>
                <w:szCs w:val="20"/>
              </w:rPr>
              <w:t xml:space="preserve">Vendor Intelligence Agent</w:t>
            </w:r>
          </w:p>
        </w:tc>
        <w:tc>
          <w:tcPr>
            <w:tcW w:type="dxa" w:w="3800"/>
            <w:tcMar>
              <w:top w:type="dxa" w:w="80"/>
              <w:left w:type="dxa" w:w="120"/>
              <w:bottom w:type="dxa" w:w="80"/>
              <w:right w:type="dxa" w:w="120"/>
            </w:tcMar>
          </w:tcPr>
          <w:p>
            <w:r>
              <w:rPr>
                <w:b w:val="false"/>
                <w:bCs w:val="false"/>
                <w:sz w:val="20"/>
                <w:szCs w:val="20"/>
              </w:rPr>
              <w:t xml:space="preserve">Recommends and compares local service providers</w:t>
            </w:r>
          </w:p>
        </w:tc>
        <w:tc>
          <w:tcPr>
            <w:tcW w:type="dxa" w:w="3100"/>
            <w:tcMar>
              <w:top w:type="dxa" w:w="80"/>
              <w:left w:type="dxa" w:w="120"/>
              <w:bottom w:type="dxa" w:w="80"/>
              <w:right w:type="dxa" w:w="120"/>
            </w:tcMar>
          </w:tcPr>
          <w:p>
            <w:r>
              <w:rPr>
                <w:b w:val="false"/>
                <w:bCs w:val="false"/>
                <w:sz w:val="20"/>
                <w:szCs w:val="20"/>
              </w:rPr>
              <w:t xml:space="preserve">Ranked vendor shortlist</w:t>
            </w:r>
          </w:p>
        </w:tc>
      </w:tr>
      <w:tr>
        <w:tc>
          <w:tcPr>
            <w:tcW w:type="dxa" w:w="2600"/>
            <w:tcMar>
              <w:top w:type="dxa" w:w="80"/>
              <w:left w:type="dxa" w:w="120"/>
              <w:bottom w:type="dxa" w:w="80"/>
              <w:right w:type="dxa" w:w="120"/>
            </w:tcMar>
          </w:tcPr>
          <w:p>
            <w:r>
              <w:rPr>
                <w:b w:val="false"/>
                <w:bCs w:val="false"/>
                <w:sz w:val="20"/>
                <w:szCs w:val="20"/>
              </w:rPr>
              <w:t xml:space="preserve">Budget Optimization Agent</w:t>
            </w:r>
          </w:p>
        </w:tc>
        <w:tc>
          <w:tcPr>
            <w:tcW w:type="dxa" w:w="3800"/>
            <w:tcMar>
              <w:top w:type="dxa" w:w="80"/>
              <w:left w:type="dxa" w:w="120"/>
              <w:bottom w:type="dxa" w:w="80"/>
              <w:right w:type="dxa" w:w="120"/>
            </w:tcMar>
          </w:tcPr>
          <w:p>
            <w:r>
              <w:rPr>
                <w:b w:val="false"/>
                <w:bCs w:val="false"/>
                <w:sz w:val="20"/>
                <w:szCs w:val="20"/>
              </w:rPr>
              <w:t xml:space="preserve">Sequences repairs against financial constraints</w:t>
            </w:r>
          </w:p>
        </w:tc>
        <w:tc>
          <w:tcPr>
            <w:tcW w:type="dxa" w:w="3100"/>
            <w:tcMar>
              <w:top w:type="dxa" w:w="80"/>
              <w:left w:type="dxa" w:w="120"/>
              <w:bottom w:type="dxa" w:w="80"/>
              <w:right w:type="dxa" w:w="120"/>
            </w:tcMar>
          </w:tcPr>
          <w:p>
            <w:r>
              <w:rPr>
                <w:b w:val="false"/>
                <w:bCs w:val="false"/>
                <w:sz w:val="20"/>
                <w:szCs w:val="20"/>
              </w:rPr>
              <w:t xml:space="preserve">Prioritized repair plan</w:t>
            </w:r>
          </w:p>
        </w:tc>
      </w:tr>
      <w:tr>
        <w:tc>
          <w:tcPr>
            <w:tcW w:type="dxa" w:w="2600"/>
            <w:tcMar>
              <w:top w:type="dxa" w:w="80"/>
              <w:left w:type="dxa" w:w="120"/>
              <w:bottom w:type="dxa" w:w="80"/>
              <w:right w:type="dxa" w:w="120"/>
            </w:tcMar>
          </w:tcPr>
          <w:p>
            <w:r>
              <w:rPr>
                <w:b w:val="false"/>
                <w:bCs w:val="false"/>
                <w:sz w:val="20"/>
                <w:szCs w:val="20"/>
              </w:rPr>
              <w:t xml:space="preserve">Property Health Agent</w:t>
            </w:r>
          </w:p>
        </w:tc>
        <w:tc>
          <w:tcPr>
            <w:tcW w:type="dxa" w:w="3800"/>
            <w:tcMar>
              <w:top w:type="dxa" w:w="80"/>
              <w:left w:type="dxa" w:w="120"/>
              <w:bottom w:type="dxa" w:w="80"/>
              <w:right w:type="dxa" w:w="120"/>
            </w:tcMar>
          </w:tcPr>
          <w:p>
            <w:r>
              <w:rPr>
                <w:b w:val="false"/>
                <w:bCs w:val="false"/>
                <w:sz w:val="20"/>
                <w:szCs w:val="20"/>
              </w:rPr>
              <w:t xml:space="preserve">Continuously computes a dynamic Home Health Score</w:t>
            </w:r>
          </w:p>
        </w:tc>
        <w:tc>
          <w:tcPr>
            <w:tcW w:type="dxa" w:w="3100"/>
            <w:tcMar>
              <w:top w:type="dxa" w:w="80"/>
              <w:left w:type="dxa" w:w="120"/>
              <w:bottom w:type="dxa" w:w="80"/>
              <w:right w:type="dxa" w:w="120"/>
            </w:tcMar>
          </w:tcPr>
          <w:p>
            <w:r>
              <w:rPr>
                <w:b w:val="false"/>
                <w:bCs w:val="false"/>
                <w:sz w:val="20"/>
                <w:szCs w:val="20"/>
              </w:rPr>
              <w:t xml:space="preserve">Live health score</w:t>
            </w:r>
          </w:p>
        </w:tc>
      </w:tr>
    </w:tbl>
    <w:p>
      <w:pPr>
        <w:pStyle w:val="Heading1"/>
        <w:spacing w:after="150" w:before="300"/>
      </w:pPr>
      <w:r>
        <w:t xml:space="preserve">5. Core User Workflow</w:t>
      </w:r>
    </w:p>
    <w:p>
      <w:pPr>
        <w:pStyle w:val="ListParagraph"/>
        <w:numPr>
          <w:ilvl w:val="0"/>
          <w:numId w:val="2"/>
        </w:numPr>
        <w:spacing w:after="80"/>
      </w:pPr>
      <w:r>
        <w:t xml:space="preserve">User uploads house photos, videos, or inspection documents</w:t>
      </w:r>
    </w:p>
    <w:p>
      <w:pPr>
        <w:pStyle w:val="ListParagraph"/>
        <w:numPr>
          <w:ilvl w:val="0"/>
          <w:numId w:val="2"/>
        </w:numPr>
        <w:spacing w:after="80"/>
      </w:pPr>
      <w:r>
        <w:t xml:space="preserve">Vision Inspection Agent evaluates structural and visual condition</w:t>
      </w:r>
    </w:p>
    <w:p>
      <w:pPr>
        <w:pStyle w:val="ListParagraph"/>
        <w:numPr>
          <w:ilvl w:val="0"/>
          <w:numId w:val="2"/>
        </w:numPr>
        <w:spacing w:after="80"/>
      </w:pPr>
      <w:r>
        <w:t xml:space="preserve">Structural Risk Agent predicts hidden maintenance risks</w:t>
      </w:r>
    </w:p>
    <w:p>
      <w:pPr>
        <w:pStyle w:val="ListParagraph"/>
        <w:numPr>
          <w:ilvl w:val="0"/>
          <w:numId w:val="2"/>
        </w:numPr>
        <w:spacing w:after="80"/>
      </w:pPr>
      <w:r>
        <w:t xml:space="preserve">Cost Intelligence Agent estimates repair and ownership costs</w:t>
      </w:r>
    </w:p>
    <w:p>
      <w:pPr>
        <w:pStyle w:val="ListParagraph"/>
        <w:numPr>
          <w:ilvl w:val="0"/>
          <w:numId w:val="2"/>
        </w:numPr>
        <w:spacing w:after="80"/>
      </w:pPr>
      <w:r>
        <w:t xml:space="preserve">Budget Optimization Agent prioritizes urgent vs. non-urgent repairs</w:t>
      </w:r>
    </w:p>
    <w:p>
      <w:pPr>
        <w:pStyle w:val="ListParagraph"/>
        <w:numPr>
          <w:ilvl w:val="0"/>
          <w:numId w:val="2"/>
        </w:numPr>
        <w:spacing w:after="80"/>
      </w:pPr>
      <w:r>
        <w:t xml:space="preserve">Negotiation Advisor Agent generates a negotiation report</w:t>
      </w:r>
    </w:p>
    <w:p>
      <w:pPr>
        <w:pStyle w:val="ListParagraph"/>
        <w:numPr>
          <w:ilvl w:val="0"/>
          <w:numId w:val="2"/>
        </w:numPr>
        <w:spacing w:after="80"/>
      </w:pPr>
      <w:r>
        <w:t xml:space="preserve">Vendor Intelligence Agent recommends local service providers</w:t>
      </w:r>
    </w:p>
    <w:p>
      <w:pPr>
        <w:pStyle w:val="ListParagraph"/>
        <w:numPr>
          <w:ilvl w:val="0"/>
          <w:numId w:val="2"/>
        </w:numPr>
        <w:spacing w:after="80"/>
      </w:pPr>
      <w:r>
        <w:t xml:space="preserve">Maintenance Planner Agent produces a 12-month maintenance plan</w:t>
      </w:r>
    </w:p>
    <w:p>
      <w:pPr>
        <w:pStyle w:val="ListParagraph"/>
        <w:numPr>
          <w:ilvl w:val="0"/>
          <w:numId w:val="2"/>
        </w:numPr>
        <w:spacing w:after="80"/>
      </w:pPr>
      <w:r>
        <w:t xml:space="preserve">Cost Intelligence Agent generates a 5-year ownership cost forecast</w:t>
      </w:r>
    </w:p>
    <w:p>
      <w:pPr>
        <w:pStyle w:val="ListParagraph"/>
        <w:numPr>
          <w:ilvl w:val="0"/>
          <w:numId w:val="2"/>
        </w:numPr>
        <w:spacing w:after="80"/>
      </w:pPr>
      <w:r>
        <w:t xml:space="preserve">Property Health Agent compiles the final Home Intelligence Report and keeps it live as new data arrives</w:t>
      </w:r>
    </w:p>
    <w:p>
      <w:pPr>
        <w:pStyle w:val="Heading1"/>
        <w:spacing w:after="150" w:before="300"/>
      </w:pPr>
      <w:r>
        <w:t xml:space="preserve">6. Key Differentiators</w:t>
      </w:r>
    </w:p>
    <w:p>
      <w:pPr>
        <w:pStyle w:val="ListParagraph"/>
        <w:numPr>
          <w:ilvl w:val="0"/>
          <w:numId w:val="2"/>
        </w:numPr>
        <w:spacing w:after="80"/>
      </w:pPr>
      <w:r>
        <w:t xml:space="preserve">Continuous intelligence, not a one-time inspection</w:t>
      </w:r>
    </w:p>
    <w:p>
      <w:pPr>
        <w:pStyle w:val="ListParagraph"/>
        <w:numPr>
          <w:ilvl w:val="0"/>
          <w:numId w:val="2"/>
        </w:numPr>
        <w:spacing w:after="80"/>
      </w:pPr>
      <w:r>
        <w:t xml:space="preserve">Multi-agent reasoning across vision, risk, cost, negotiation, and vendor domains</w:t>
      </w:r>
    </w:p>
    <w:p>
      <w:pPr>
        <w:pStyle w:val="ListParagraph"/>
        <w:numPr>
          <w:ilvl w:val="0"/>
          <w:numId w:val="2"/>
        </w:numPr>
        <w:spacing w:after="80"/>
      </w:pPr>
      <w:r>
        <w:t xml:space="preserve">Financially actionable output: negotiation leverage, budgets, and ROI on repairs</w:t>
      </w:r>
    </w:p>
    <w:p>
      <w:pPr>
        <w:pStyle w:val="ListParagraph"/>
        <w:numPr>
          <w:ilvl w:val="0"/>
          <w:numId w:val="2"/>
        </w:numPr>
        <w:spacing w:after="80"/>
      </w:pPr>
      <w:r>
        <w:t xml:space="preserve">Dynamic Home Health Score that updates over the property's lifecycle</w:t>
      </w:r>
    </w:p>
    <w:p>
      <w:pPr>
        <w:pStyle w:val="Heading1"/>
        <w:spacing w:after="150" w:before="300"/>
      </w:pPr>
      <w:r>
        <w:t xml:space="preserve">7. Success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shd w:fill="1D9E75" w:val="clear"/>
            <w:tcMar>
              <w:top w:type="dxa" w:w="80"/>
              <w:left w:type="dxa" w:w="120"/>
              <w:bottom w:type="dxa" w:w="80"/>
              <w:right w:type="dxa" w:w="120"/>
            </w:tcMar>
          </w:tcPr>
          <w:p>
            <w:r>
              <w:rPr>
                <w:b/>
                <w:bCs/>
                <w:color w:val="FFFFFF"/>
                <w:sz w:val="20"/>
                <w:szCs w:val="20"/>
              </w:rPr>
              <w:t xml:space="preserve">Metric</w:t>
            </w:r>
          </w:p>
        </w:tc>
        <w:tc>
          <w:tcPr>
            <w:tcW w:type="dxa" w:w="4000"/>
            <w:shd w:fill="1D9E75" w:val="clear"/>
            <w:tcMar>
              <w:top w:type="dxa" w:w="80"/>
              <w:left w:type="dxa" w:w="120"/>
              <w:bottom w:type="dxa" w:w="80"/>
              <w:right w:type="dxa" w:w="120"/>
            </w:tcMar>
          </w:tcPr>
          <w:p>
            <w:r>
              <w:rPr>
                <w:b/>
                <w:bCs/>
                <w:color w:val="FFFFFF"/>
                <w:sz w:val="20"/>
                <w:szCs w:val="20"/>
              </w:rPr>
              <w:t xml:space="preserve">Target</w:t>
            </w:r>
          </w:p>
        </w:tc>
      </w:tr>
      <w:tr>
        <w:tc>
          <w:tcPr>
            <w:tcW w:type="dxa" w:w="5500"/>
            <w:tcMar>
              <w:top w:type="dxa" w:w="80"/>
              <w:left w:type="dxa" w:w="120"/>
              <w:bottom w:type="dxa" w:w="80"/>
              <w:right w:type="dxa" w:w="120"/>
            </w:tcMar>
          </w:tcPr>
          <w:p>
            <w:r>
              <w:rPr>
                <w:b w:val="false"/>
                <w:bCs w:val="false"/>
                <w:sz w:val="20"/>
                <w:szCs w:val="20"/>
              </w:rPr>
              <w:t xml:space="preserve">Time to first Home Intelligence Report</w:t>
            </w:r>
          </w:p>
        </w:tc>
        <w:tc>
          <w:tcPr>
            <w:tcW w:type="dxa" w:w="4000"/>
            <w:tcMar>
              <w:top w:type="dxa" w:w="80"/>
              <w:left w:type="dxa" w:w="120"/>
              <w:bottom w:type="dxa" w:w="80"/>
              <w:right w:type="dxa" w:w="120"/>
            </w:tcMar>
          </w:tcPr>
          <w:p>
            <w:r>
              <w:rPr>
                <w:b w:val="false"/>
                <w:bCs w:val="false"/>
                <w:sz w:val="20"/>
                <w:szCs w:val="20"/>
              </w:rPr>
              <w:t xml:space="preserve">&lt; 15 minutes from upload</w:t>
            </w:r>
          </w:p>
        </w:tc>
      </w:tr>
      <w:tr>
        <w:tc>
          <w:tcPr>
            <w:tcW w:type="dxa" w:w="5500"/>
            <w:tcMar>
              <w:top w:type="dxa" w:w="80"/>
              <w:left w:type="dxa" w:w="120"/>
              <w:bottom w:type="dxa" w:w="80"/>
              <w:right w:type="dxa" w:w="120"/>
            </w:tcMar>
          </w:tcPr>
          <w:p>
            <w:r>
              <w:rPr>
                <w:b w:val="false"/>
                <w:bCs w:val="false"/>
                <w:sz w:val="20"/>
                <w:szCs w:val="20"/>
              </w:rPr>
              <w:t xml:space="preserve">Vision defect detection precision</w:t>
            </w:r>
          </w:p>
        </w:tc>
        <w:tc>
          <w:tcPr>
            <w:tcW w:type="dxa" w:w="4000"/>
            <w:tcMar>
              <w:top w:type="dxa" w:w="80"/>
              <w:left w:type="dxa" w:w="120"/>
              <w:bottom w:type="dxa" w:w="80"/>
              <w:right w:type="dxa" w:w="120"/>
            </w:tcMar>
          </w:tcPr>
          <w:p>
            <w:r>
              <w:rPr>
                <w:b w:val="false"/>
                <w:bCs w:val="false"/>
                <w:sz w:val="20"/>
                <w:szCs w:val="20"/>
              </w:rPr>
              <w:t xml:space="preserve">&gt; 85% on labeled validation set</w:t>
            </w:r>
          </w:p>
        </w:tc>
      </w:tr>
      <w:tr>
        <w:tc>
          <w:tcPr>
            <w:tcW w:type="dxa" w:w="5500"/>
            <w:tcMar>
              <w:top w:type="dxa" w:w="80"/>
              <w:left w:type="dxa" w:w="120"/>
              <w:bottom w:type="dxa" w:w="80"/>
              <w:right w:type="dxa" w:w="120"/>
            </w:tcMar>
          </w:tcPr>
          <w:p>
            <w:r>
              <w:rPr>
                <w:b w:val="false"/>
                <w:bCs w:val="false"/>
                <w:sz w:val="20"/>
                <w:szCs w:val="20"/>
              </w:rPr>
              <w:t xml:space="preserve">Cost forecast accuracy (5-yr, backtested)</w:t>
            </w:r>
          </w:p>
        </w:tc>
        <w:tc>
          <w:tcPr>
            <w:tcW w:type="dxa" w:w="4000"/>
            <w:tcMar>
              <w:top w:type="dxa" w:w="80"/>
              <w:left w:type="dxa" w:w="120"/>
              <w:bottom w:type="dxa" w:w="80"/>
              <w:right w:type="dxa" w:w="120"/>
            </w:tcMar>
          </w:tcPr>
          <w:p>
            <w:r>
              <w:rPr>
                <w:b w:val="false"/>
                <w:bCs w:val="false"/>
                <w:sz w:val="20"/>
                <w:szCs w:val="20"/>
              </w:rPr>
              <w:t xml:space="preserve">Within ±20% of actuals</w:t>
            </w:r>
          </w:p>
        </w:tc>
      </w:tr>
      <w:tr>
        <w:tc>
          <w:tcPr>
            <w:tcW w:type="dxa" w:w="5500"/>
            <w:tcMar>
              <w:top w:type="dxa" w:w="80"/>
              <w:left w:type="dxa" w:w="120"/>
              <w:bottom w:type="dxa" w:w="80"/>
              <w:right w:type="dxa" w:w="120"/>
            </w:tcMar>
          </w:tcPr>
          <w:p>
            <w:r>
              <w:rPr>
                <w:b w:val="false"/>
                <w:bCs w:val="false"/>
                <w:sz w:val="20"/>
                <w:szCs w:val="20"/>
              </w:rPr>
              <w:t xml:space="preserve">User-reported decision confidence uplift</w:t>
            </w:r>
          </w:p>
        </w:tc>
        <w:tc>
          <w:tcPr>
            <w:tcW w:type="dxa" w:w="4000"/>
            <w:tcMar>
              <w:top w:type="dxa" w:w="80"/>
              <w:left w:type="dxa" w:w="120"/>
              <w:bottom w:type="dxa" w:w="80"/>
              <w:right w:type="dxa" w:w="120"/>
            </w:tcMar>
          </w:tcPr>
          <w:p>
            <w:r>
              <w:rPr>
                <w:b w:val="false"/>
                <w:bCs w:val="false"/>
                <w:sz w:val="20"/>
                <w:szCs w:val="20"/>
              </w:rPr>
              <w:t xml:space="preserve">&gt; 30% vs. unaided baseline</w:t>
            </w:r>
          </w:p>
        </w:tc>
      </w:tr>
      <w:tr>
        <w:tc>
          <w:tcPr>
            <w:tcW w:type="dxa" w:w="5500"/>
            <w:tcMar>
              <w:top w:type="dxa" w:w="80"/>
              <w:left w:type="dxa" w:w="120"/>
              <w:bottom w:type="dxa" w:w="80"/>
              <w:right w:type="dxa" w:w="120"/>
            </w:tcMar>
          </w:tcPr>
          <w:p>
            <w:r>
              <w:rPr>
                <w:b w:val="false"/>
                <w:bCs w:val="false"/>
                <w:sz w:val="20"/>
                <w:szCs w:val="20"/>
              </w:rPr>
              <w:t xml:space="preserve">Vendor quote response rate</w:t>
            </w:r>
          </w:p>
        </w:tc>
        <w:tc>
          <w:tcPr>
            <w:tcW w:type="dxa" w:w="4000"/>
            <w:tcMar>
              <w:top w:type="dxa" w:w="80"/>
              <w:left w:type="dxa" w:w="120"/>
              <w:bottom w:type="dxa" w:w="80"/>
              <w:right w:type="dxa" w:w="120"/>
            </w:tcMar>
          </w:tcPr>
          <w:p>
            <w:r>
              <w:rPr>
                <w:b w:val="false"/>
                <w:bCs w:val="false"/>
                <w:sz w:val="20"/>
                <w:szCs w:val="20"/>
              </w:rPr>
              <w:t xml:space="preserve">&gt; 60% within 48 hours</w:t>
            </w:r>
          </w:p>
        </w:tc>
      </w:tr>
    </w:tbl>
    <w:p>
      <w:pPr>
        <w:pStyle w:val="Heading1"/>
        <w:spacing w:after="150" w:before="300"/>
      </w:pPr>
      <w:r>
        <w:t xml:space="preserve">8. Scope — Phase 1 (MVP)</w:t>
      </w:r>
    </w:p>
    <w:p>
      <w:pPr>
        <w:pStyle w:val="ListParagraph"/>
        <w:numPr>
          <w:ilvl w:val="0"/>
          <w:numId w:val="2"/>
        </w:numPr>
        <w:spacing w:after="80"/>
      </w:pPr>
      <w:r>
        <w:t xml:space="preserve">Photo/video/document upload and ingestion pipeline</w:t>
      </w:r>
    </w:p>
    <w:p>
      <w:pPr>
        <w:pStyle w:val="ListParagraph"/>
        <w:numPr>
          <w:ilvl w:val="0"/>
          <w:numId w:val="2"/>
        </w:numPr>
        <w:spacing w:after="80"/>
      </w:pPr>
      <w:r>
        <w:t xml:space="preserve">Vision Inspection Agent + Structural Risk Agent</w:t>
      </w:r>
    </w:p>
    <w:p>
      <w:pPr>
        <w:pStyle w:val="ListParagraph"/>
        <w:numPr>
          <w:ilvl w:val="0"/>
          <w:numId w:val="2"/>
        </w:numPr>
        <w:spacing w:after="80"/>
      </w:pPr>
      <w:r>
        <w:t xml:space="preserve">Cost Intelligence Agent with 5-year forecast</w:t>
      </w:r>
    </w:p>
    <w:p>
      <w:pPr>
        <w:pStyle w:val="ListParagraph"/>
        <w:numPr>
          <w:ilvl w:val="0"/>
          <w:numId w:val="2"/>
        </w:numPr>
        <w:spacing w:after="80"/>
      </w:pPr>
      <w:r>
        <w:t xml:space="preserve">Home Intelligence Report generation (PDF export)</w:t>
      </w:r>
    </w:p>
    <w:p>
      <w:pPr>
        <w:pStyle w:val="ListParagraph"/>
        <w:numPr>
          <w:ilvl w:val="0"/>
          <w:numId w:val="2"/>
        </w:numPr>
        <w:spacing w:after="80"/>
      </w:pPr>
      <w:r>
        <w:t xml:space="preserve">Basic Home Health Score</w:t>
      </w:r>
    </w:p>
    <w:p>
      <w:pPr>
        <w:pStyle w:val="Heading1"/>
        <w:spacing w:after="150" w:before="300"/>
      </w:pPr>
      <w:r>
        <w:t xml:space="preserve">9. Scope — Phase 2</w:t>
      </w:r>
    </w:p>
    <w:p>
      <w:pPr>
        <w:pStyle w:val="ListParagraph"/>
        <w:numPr>
          <w:ilvl w:val="0"/>
          <w:numId w:val="2"/>
        </w:numPr>
        <w:spacing w:after="80"/>
      </w:pPr>
      <w:r>
        <w:t xml:space="preserve">Negotiation Advisor Agent and Vendor Intelligence Agent</w:t>
      </w:r>
    </w:p>
    <w:p>
      <w:pPr>
        <w:pStyle w:val="ListParagraph"/>
        <w:numPr>
          <w:ilvl w:val="0"/>
          <w:numId w:val="2"/>
        </w:numPr>
        <w:spacing w:after="80"/>
      </w:pPr>
      <w:r>
        <w:t xml:space="preserve">Budget Optimization Agent and 12-month Maintenance Planner</w:t>
      </w:r>
    </w:p>
    <w:p>
      <w:pPr>
        <w:pStyle w:val="ListParagraph"/>
        <w:numPr>
          <w:ilvl w:val="0"/>
          <w:numId w:val="2"/>
        </w:numPr>
        <w:spacing w:after="80"/>
      </w:pPr>
      <w:r>
        <w:t xml:space="preserve">Continuous monitoring and live Home Health Score updates</w:t>
      </w:r>
    </w:p>
    <w:p>
      <w:pPr>
        <w:pStyle w:val="ListParagraph"/>
        <w:numPr>
          <w:ilvl w:val="0"/>
          <w:numId w:val="2"/>
        </w:numPr>
        <w:spacing w:after="80"/>
      </w:pPr>
      <w:r>
        <w:t xml:space="preserve">Vendor quote comparison marketplace</w:t>
      </w:r>
    </w:p>
    <w:p>
      <w:pPr>
        <w:pStyle w:val="Heading1"/>
        <w:spacing w:after="150" w:before="300"/>
      </w:pPr>
      <w:r>
        <w:t xml:space="preserve">10. Scope — Phase 3 (Vision)</w:t>
      </w:r>
    </w:p>
    <w:p>
      <w:pPr>
        <w:spacing w:after="140"/>
      </w:pPr>
      <w:r>
        <w:t xml:space="preserve">Beyond core MVP and Phase 2 functionality, HomeGuardian's long-term differentiation and moat come from the following strategic extensions:</w:t>
      </w:r>
    </w:p>
    <w:p>
      <w:pPr>
        <w:pStyle w:val="ListParagraph"/>
        <w:numPr>
          <w:ilvl w:val="0"/>
          <w:numId w:val="2"/>
        </w:numPr>
        <w:spacing w:after="80"/>
      </w:pPr>
      <w:r>
        <w:t xml:space="preserve">Digital Twin property passport — a persistent, AI-maintained record of the home's condition and repair history that transfers to new owners at resale</w:t>
      </w:r>
    </w:p>
    <w:p>
      <w:pPr>
        <w:pStyle w:val="ListParagraph"/>
        <w:numPr>
          <w:ilvl w:val="0"/>
          <w:numId w:val="2"/>
        </w:numPr>
        <w:spacing w:after="80"/>
      </w:pPr>
      <w:r>
        <w:t xml:space="preserve">Insurance &amp; lender integration — a strong Home Health Score translates into lower insurance premiums or better mortgage terms</w:t>
      </w:r>
    </w:p>
    <w:p>
      <w:pPr>
        <w:pStyle w:val="ListParagraph"/>
        <w:numPr>
          <w:ilvl w:val="0"/>
          <w:numId w:val="2"/>
        </w:numPr>
        <w:spacing w:after="80"/>
      </w:pPr>
      <w:r>
        <w:t xml:space="preserve">IoT predictive failure alerts — optional sensors (leak, humidity, breaker) feed the Property Health Agent for real-time, not just predicted, risk detection</w:t>
      </w:r>
    </w:p>
    <w:p>
      <w:pPr>
        <w:pStyle w:val="ListParagraph"/>
        <w:numPr>
          <w:ilvl w:val="0"/>
          <w:numId w:val="2"/>
        </w:numPr>
        <w:spacing w:after="80"/>
      </w:pPr>
      <w:r>
        <w:t xml:space="preserve">Neighborhood Intelligence Agent — a new agent reasoning on macro risk: flood/wildfire zones, local cost inflation, resale velocity, and infrastructure trends</w:t>
      </w:r>
    </w:p>
    <w:p>
      <w:pPr>
        <w:pStyle w:val="ListParagraph"/>
        <w:numPr>
          <w:ilvl w:val="0"/>
          <w:numId w:val="2"/>
        </w:numPr>
        <w:spacing w:after="80"/>
      </w:pPr>
      <w:r>
        <w:t xml:space="preserve">AI-negotiated contractor marketplace — the Vendor Intelligence Agent sends structured RFQs and negotiates scope/price on the user's behalf</w:t>
      </w:r>
    </w:p>
    <w:p>
      <w:pPr>
        <w:pStyle w:val="ListParagraph"/>
        <w:numPr>
          <w:ilvl w:val="0"/>
          <w:numId w:val="2"/>
        </w:numPr>
        <w:spacing w:after="80"/>
      </w:pPr>
      <w:r>
        <w:t xml:space="preserve">Seller-side pre-listing scoring — sellers run the same agent stack pre-listing to earn a certified Home Health Score badge, creating two-sided marketplace trust</w:t>
      </w:r>
    </w:p>
    <w:p>
      <w:pPr>
        <w:pStyle w:val="ListParagraph"/>
        <w:numPr>
          <w:ilvl w:val="0"/>
          <w:numId w:val="2"/>
        </w:numPr>
        <w:spacing w:after="80"/>
      </w:pPr>
      <w:r>
        <w:t xml:space="preserve">Resale value optimizer — simulates which renovations yield the best ROI at future resale versus pure maintenance spend</w:t>
      </w:r>
    </w:p>
    <w:p>
      <w:pPr>
        <w:pStyle w:val="Heading1"/>
        <w:spacing w:after="150" w:before="300"/>
      </w:pPr>
      <w:r>
        <w:t xml:space="preserve">11. Risks &amp; Open Questions</w:t>
      </w:r>
    </w:p>
    <w:p>
      <w:pPr>
        <w:pStyle w:val="ListParagraph"/>
        <w:numPr>
          <w:ilvl w:val="0"/>
          <w:numId w:val="2"/>
        </w:numPr>
        <w:spacing w:after="80"/>
      </w:pPr>
      <w:r>
        <w:t xml:space="preserve">Accuracy of hidden-risk prediction without physical inspection access</w:t>
      </w:r>
    </w:p>
    <w:p>
      <w:pPr>
        <w:pStyle w:val="ListParagraph"/>
        <w:numPr>
          <w:ilvl w:val="0"/>
          <w:numId w:val="2"/>
        </w:numPr>
        <w:spacing w:after="80"/>
      </w:pPr>
      <w:r>
        <w:t xml:space="preserve">Regional variance in repair cost and vendor data availability</w:t>
      </w:r>
    </w:p>
    <w:p>
      <w:pPr>
        <w:pStyle w:val="ListParagraph"/>
        <w:numPr>
          <w:ilvl w:val="0"/>
          <w:numId w:val="2"/>
        </w:numPr>
        <w:spacing w:after="80"/>
      </w:pPr>
      <w:r>
        <w:t xml:space="preserve">Liability and disclaimer requirements around AI-generated valuation/negotiation advice</w:t>
      </w:r>
    </w:p>
    <w:p>
      <w:pPr>
        <w:pStyle w:val="ListParagraph"/>
        <w:numPr>
          <w:ilvl w:val="0"/>
          <w:numId w:val="2"/>
        </w:numPr>
        <w:spacing w:after="80"/>
      </w:pPr>
      <w:r>
        <w:t xml:space="preserve">Data sourcing strategy for local contractor and cost databases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2026-08-05T01:55:24.368Z</dcterms:created>
  <dcterms:modified xsi:type="dcterms:W3CDTF">2026-08-05T01:55:24.384Z</dcterms:modified>
</cp:coreProperties>
</file>

<file path=docProps/custom.xml><?xml version="1.0" encoding="utf-8"?>
<Properties xmlns="http://schemas.openxmlformats.org/officeDocument/2006/custom-properties" xmlns:vt="http://schemas.openxmlformats.org/officeDocument/2006/docPropsVTypes"/>
</file>