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CEC1" w14:textId="5BEC6466" w:rsidR="002C0AB2" w:rsidRPr="002C0AB2" w:rsidRDefault="002C0AB2" w:rsidP="002C0AB2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0AB2">
        <w:rPr>
          <w:rFonts w:ascii="Times New Roman" w:hAnsi="Times New Roman" w:cs="Times New Roman"/>
          <w:b/>
          <w:bCs/>
          <w:sz w:val="28"/>
          <w:szCs w:val="28"/>
        </w:rPr>
        <w:t>Overview of Transaminases &amp; KRED Enzyme</w:t>
      </w:r>
    </w:p>
    <w:p w14:paraId="27305BC5" w14:textId="3CBC0043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1. What They Are</w:t>
      </w:r>
    </w:p>
    <w:p w14:paraId="053D548F" w14:textId="77777777" w:rsidR="002C0AB2" w:rsidRPr="002C0AB2" w:rsidRDefault="002C0AB2" w:rsidP="002C0AB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Transaminases (Aminotransferases)</w:t>
      </w:r>
      <w:r w:rsidRPr="002C0AB2">
        <w:rPr>
          <w:rFonts w:ascii="Times New Roman" w:hAnsi="Times New Roman" w:cs="Times New Roman"/>
        </w:rPr>
        <w:br/>
        <w:t>PLP-dependent enzymes that transfer amino groups between amino acids and α-keto acids.</w:t>
      </w:r>
      <w:r w:rsidRPr="002C0AB2">
        <w:rPr>
          <w:rFonts w:ascii="Times New Roman" w:hAnsi="Times New Roman" w:cs="Times New Roman"/>
        </w:rPr>
        <w:br/>
      </w:r>
      <w:r w:rsidRPr="002C0AB2">
        <w:rPr>
          <w:rFonts w:ascii="Times New Roman" w:hAnsi="Times New Roman" w:cs="Times New Roman"/>
          <w:b/>
          <w:bCs/>
        </w:rPr>
        <w:t>Biological role:</w:t>
      </w:r>
      <w:r w:rsidRPr="002C0AB2">
        <w:rPr>
          <w:rFonts w:ascii="Times New Roman" w:hAnsi="Times New Roman" w:cs="Times New Roman"/>
        </w:rPr>
        <w:t xml:space="preserve"> Nitrogen metabolism, amino acid biosynthesis/degradation.</w:t>
      </w:r>
      <w:r w:rsidRPr="002C0AB2">
        <w:rPr>
          <w:rFonts w:ascii="Times New Roman" w:hAnsi="Times New Roman" w:cs="Times New Roman"/>
        </w:rPr>
        <w:br/>
      </w:r>
      <w:r w:rsidRPr="002C0AB2">
        <w:rPr>
          <w:rFonts w:ascii="Times New Roman" w:hAnsi="Times New Roman" w:cs="Times New Roman"/>
          <w:b/>
          <w:bCs/>
        </w:rPr>
        <w:t>Industrial role:</w:t>
      </w:r>
      <w:r w:rsidRPr="002C0AB2">
        <w:rPr>
          <w:rFonts w:ascii="Times New Roman" w:hAnsi="Times New Roman" w:cs="Times New Roman"/>
        </w:rPr>
        <w:t xml:space="preserve"> Green synthesis of chiral amines (e.g., sitagliptin intermediate).</w:t>
      </w:r>
    </w:p>
    <w:p w14:paraId="1CE1AA13" w14:textId="77777777" w:rsidR="002C0AB2" w:rsidRPr="002C0AB2" w:rsidRDefault="002C0AB2" w:rsidP="002C0AB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Ketoreductases (KREDs)</w:t>
      </w:r>
      <w:r w:rsidRPr="002C0AB2">
        <w:rPr>
          <w:rFonts w:ascii="Times New Roman" w:hAnsi="Times New Roman" w:cs="Times New Roman"/>
        </w:rPr>
        <w:br/>
        <w:t>NAD(P)H-dependent oxidoreductases that reduce ketones/aldehydes to chiral alcohols.</w:t>
      </w:r>
      <w:r w:rsidRPr="002C0AB2">
        <w:rPr>
          <w:rFonts w:ascii="Times New Roman" w:hAnsi="Times New Roman" w:cs="Times New Roman"/>
        </w:rPr>
        <w:br/>
      </w:r>
      <w:r w:rsidRPr="002C0AB2">
        <w:rPr>
          <w:rFonts w:ascii="Times New Roman" w:hAnsi="Times New Roman" w:cs="Times New Roman"/>
          <w:b/>
          <w:bCs/>
        </w:rPr>
        <w:t>Biological role:</w:t>
      </w:r>
      <w:r w:rsidRPr="002C0AB2">
        <w:rPr>
          <w:rFonts w:ascii="Times New Roman" w:hAnsi="Times New Roman" w:cs="Times New Roman"/>
        </w:rPr>
        <w:t xml:space="preserve"> Detoxification and metabolic reduction.</w:t>
      </w:r>
      <w:r w:rsidRPr="002C0AB2">
        <w:rPr>
          <w:rFonts w:ascii="Times New Roman" w:hAnsi="Times New Roman" w:cs="Times New Roman"/>
        </w:rPr>
        <w:br/>
      </w:r>
      <w:r w:rsidRPr="002C0AB2">
        <w:rPr>
          <w:rFonts w:ascii="Times New Roman" w:hAnsi="Times New Roman" w:cs="Times New Roman"/>
          <w:b/>
          <w:bCs/>
        </w:rPr>
        <w:t>Industrial role:</w:t>
      </w:r>
      <w:r w:rsidRPr="002C0AB2">
        <w:rPr>
          <w:rFonts w:ascii="Times New Roman" w:hAnsi="Times New Roman" w:cs="Times New Roman"/>
        </w:rPr>
        <w:t xml:space="preserve"> Green synthesis of chiral alcohols (e.g., intermediates for oncology drugs, antidepressants).</w:t>
      </w:r>
    </w:p>
    <w:p w14:paraId="18465041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pict w14:anchorId="65250B0F">
          <v:rect id="_x0000_i1071" style="width:0;height:1.5pt" o:hralign="center" o:hrstd="t" o:hr="t" fillcolor="#a0a0a0" stroked="f"/>
        </w:pict>
      </w:r>
    </w:p>
    <w:p w14:paraId="5C818DAD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2. Why They Matter</w:t>
      </w:r>
    </w:p>
    <w:p w14:paraId="71250B4C" w14:textId="77777777" w:rsidR="002C0AB2" w:rsidRPr="002C0AB2" w:rsidRDefault="002C0AB2" w:rsidP="002C0AB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 xml:space="preserve">Both enzymes enable </w:t>
      </w:r>
      <w:r w:rsidRPr="002C0AB2">
        <w:rPr>
          <w:rFonts w:ascii="Times New Roman" w:hAnsi="Times New Roman" w:cs="Times New Roman"/>
          <w:b/>
          <w:bCs/>
        </w:rPr>
        <w:t>green chemistry</w:t>
      </w:r>
      <w:r w:rsidRPr="002C0AB2">
        <w:rPr>
          <w:rFonts w:ascii="Times New Roman" w:hAnsi="Times New Roman" w:cs="Times New Roman"/>
        </w:rPr>
        <w:t xml:space="preserve">: </w:t>
      </w:r>
    </w:p>
    <w:p w14:paraId="352F6091" w14:textId="77777777" w:rsidR="002C0AB2" w:rsidRPr="002C0AB2" w:rsidRDefault="002C0AB2" w:rsidP="002C0AB2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Replace metal catalysts and harsh conditions.</w:t>
      </w:r>
    </w:p>
    <w:p w14:paraId="75985B30" w14:textId="77777777" w:rsidR="002C0AB2" w:rsidRPr="002C0AB2" w:rsidRDefault="002C0AB2" w:rsidP="002C0AB2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Deliver high enantioselectivity under mild, aqueous conditions.</w:t>
      </w:r>
    </w:p>
    <w:p w14:paraId="70EF2956" w14:textId="77777777" w:rsidR="002C0AB2" w:rsidRPr="002C0AB2" w:rsidRDefault="002C0AB2" w:rsidP="002C0AB2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Reduce E-factor and improve sustainability metrics.</w:t>
      </w:r>
    </w:p>
    <w:p w14:paraId="2211AD79" w14:textId="77777777" w:rsidR="002C0AB2" w:rsidRPr="002C0AB2" w:rsidRDefault="002C0AB2" w:rsidP="002C0AB2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Pharma &amp; Fine Chemicals</w:t>
      </w:r>
      <w:r w:rsidRPr="002C0AB2">
        <w:rPr>
          <w:rFonts w:ascii="Times New Roman" w:hAnsi="Times New Roman" w:cs="Times New Roman"/>
        </w:rPr>
        <w:t xml:space="preserve">: </w:t>
      </w:r>
    </w:p>
    <w:p w14:paraId="1B38BDB9" w14:textId="77777777" w:rsidR="002C0AB2" w:rsidRPr="002C0AB2" w:rsidRDefault="002C0AB2" w:rsidP="002C0AB2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Transaminases → chiral amines for APIs.</w:t>
      </w:r>
    </w:p>
    <w:p w14:paraId="6AD30F9C" w14:textId="77777777" w:rsidR="002C0AB2" w:rsidRPr="002C0AB2" w:rsidRDefault="002C0AB2" w:rsidP="002C0AB2">
      <w:pPr>
        <w:numPr>
          <w:ilvl w:val="1"/>
          <w:numId w:val="6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KREDs → chiral alcohols for drug intermediates.</w:t>
      </w:r>
    </w:p>
    <w:p w14:paraId="3E0AD6B9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pict w14:anchorId="59262912">
          <v:rect id="_x0000_i1072" style="width:0;height:1.5pt" o:hralign="center" o:hrstd="t" o:hr="t" fillcolor="#a0a0a0" stroked="f"/>
        </w:pict>
      </w:r>
    </w:p>
    <w:p w14:paraId="40DC4535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3. How They Are Discovered</w:t>
      </w:r>
    </w:p>
    <w:p w14:paraId="5D57DF77" w14:textId="77777777" w:rsidR="002C0AB2" w:rsidRPr="002C0AB2" w:rsidRDefault="002C0AB2" w:rsidP="002C0AB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Metagenomics</w:t>
      </w:r>
      <w:r w:rsidRPr="002C0AB2">
        <w:rPr>
          <w:rFonts w:ascii="Times New Roman" w:hAnsi="Times New Roman" w:cs="Times New Roman"/>
        </w:rPr>
        <w:t>: Extract DNA from environmental samples to find novel enzymes.</w:t>
      </w:r>
    </w:p>
    <w:p w14:paraId="0F24B093" w14:textId="77777777" w:rsidR="002C0AB2" w:rsidRPr="002C0AB2" w:rsidRDefault="002C0AB2" w:rsidP="002C0AB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Sequence Mining</w:t>
      </w:r>
      <w:r w:rsidRPr="002C0AB2">
        <w:rPr>
          <w:rFonts w:ascii="Times New Roman" w:hAnsi="Times New Roman" w:cs="Times New Roman"/>
        </w:rPr>
        <w:t>: Use bioinformatics and motif searches (PLP-binding lysine for transaminases; Rossmann fold for KREDs).</w:t>
      </w:r>
    </w:p>
    <w:p w14:paraId="0D96B0CD" w14:textId="77777777" w:rsidR="002C0AB2" w:rsidRPr="002C0AB2" w:rsidRDefault="002C0AB2" w:rsidP="002C0AB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High-Throughput Screening (HTS)</w:t>
      </w:r>
      <w:r w:rsidRPr="002C0AB2">
        <w:rPr>
          <w:rFonts w:ascii="Times New Roman" w:hAnsi="Times New Roman" w:cs="Times New Roman"/>
        </w:rPr>
        <w:t xml:space="preserve">: </w:t>
      </w:r>
    </w:p>
    <w:p w14:paraId="69096131" w14:textId="77777777" w:rsidR="002C0AB2" w:rsidRPr="002C0AB2" w:rsidRDefault="002C0AB2" w:rsidP="002C0AB2">
      <w:pPr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Microplate assays with colorimetric or coupled systems (LDH/GDH for transaminases; NAD(P)H absorbance for KREDs).</w:t>
      </w:r>
    </w:p>
    <w:p w14:paraId="27E281E6" w14:textId="77777777" w:rsidR="002C0AB2" w:rsidRPr="002C0AB2" w:rsidRDefault="002C0AB2" w:rsidP="002C0AB2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Commercial Kits (KREDs)</w:t>
      </w:r>
      <w:r w:rsidRPr="002C0AB2">
        <w:rPr>
          <w:rFonts w:ascii="Times New Roman" w:hAnsi="Times New Roman" w:cs="Times New Roman"/>
        </w:rPr>
        <w:t xml:space="preserve">: </w:t>
      </w:r>
    </w:p>
    <w:p w14:paraId="379E1A04" w14:textId="30277C10" w:rsidR="002C0AB2" w:rsidRPr="002C0AB2" w:rsidRDefault="002C0AB2" w:rsidP="002C0AB2">
      <w:pPr>
        <w:numPr>
          <w:ilvl w:val="1"/>
          <w:numId w:val="7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 xml:space="preserve">Codex, </w:t>
      </w:r>
      <w:proofErr w:type="spellStart"/>
      <w:r w:rsidRPr="002C0AB2">
        <w:rPr>
          <w:rFonts w:ascii="Times New Roman" w:hAnsi="Times New Roman" w:cs="Times New Roman"/>
        </w:rPr>
        <w:t>Prozomix</w:t>
      </w:r>
      <w:proofErr w:type="spellEnd"/>
      <w:r w:rsidRPr="002C0AB2">
        <w:rPr>
          <w:rFonts w:ascii="Times New Roman" w:hAnsi="Times New Roman" w:cs="Times New Roman"/>
        </w:rPr>
        <w:t>, Johnson Matthey kits provide ready-to-screen enzyme panels with cofactor recycling systems.</w:t>
      </w:r>
    </w:p>
    <w:p w14:paraId="4758CD8A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pict w14:anchorId="28028396">
          <v:rect id="_x0000_i1073" style="width:0;height:1.5pt" o:hralign="center" o:hrstd="t" o:hr="t" fillcolor="#a0a0a0" stroked="f"/>
        </w:pict>
      </w:r>
    </w:p>
    <w:p w14:paraId="34D208EA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4. How We Can Modify Them</w:t>
      </w:r>
    </w:p>
    <w:p w14:paraId="78ACD46B" w14:textId="77777777" w:rsidR="002C0AB2" w:rsidRPr="002C0AB2" w:rsidRDefault="002C0AB2" w:rsidP="002C0AB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Directed Evolution</w:t>
      </w:r>
      <w:r w:rsidRPr="002C0AB2">
        <w:rPr>
          <w:rFonts w:ascii="Times New Roman" w:hAnsi="Times New Roman" w:cs="Times New Roman"/>
        </w:rPr>
        <w:t>: Random mutations + screening for improved traits.</w:t>
      </w:r>
    </w:p>
    <w:p w14:paraId="195DFDCA" w14:textId="77777777" w:rsidR="002C0AB2" w:rsidRPr="002C0AB2" w:rsidRDefault="002C0AB2" w:rsidP="002C0AB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lastRenderedPageBreak/>
        <w:t>Structure-Guided Mutagenesis</w:t>
      </w:r>
      <w:r w:rsidRPr="002C0AB2">
        <w:rPr>
          <w:rFonts w:ascii="Times New Roman" w:hAnsi="Times New Roman" w:cs="Times New Roman"/>
        </w:rPr>
        <w:t>: Use 3D models (AlphaFold, crystallography).</w:t>
      </w:r>
    </w:p>
    <w:p w14:paraId="45DDFE08" w14:textId="77777777" w:rsidR="002C0AB2" w:rsidRPr="002C0AB2" w:rsidRDefault="002C0AB2" w:rsidP="002C0AB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Site-Saturation Mutagenesis</w:t>
      </w:r>
      <w:r w:rsidRPr="002C0AB2">
        <w:rPr>
          <w:rFonts w:ascii="Times New Roman" w:hAnsi="Times New Roman" w:cs="Times New Roman"/>
        </w:rPr>
        <w:t>: Systematic residue replacement.</w:t>
      </w:r>
    </w:p>
    <w:p w14:paraId="706755F7" w14:textId="77777777" w:rsidR="002C0AB2" w:rsidRPr="002C0AB2" w:rsidRDefault="002C0AB2" w:rsidP="002C0AB2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Computational Tools</w:t>
      </w:r>
      <w:r w:rsidRPr="002C0AB2">
        <w:rPr>
          <w:rFonts w:ascii="Times New Roman" w:hAnsi="Times New Roman" w:cs="Times New Roman"/>
        </w:rPr>
        <w:t xml:space="preserve">: </w:t>
      </w:r>
    </w:p>
    <w:p w14:paraId="4759D57F" w14:textId="77777777" w:rsidR="002C0AB2" w:rsidRPr="002C0AB2" w:rsidRDefault="002C0AB2" w:rsidP="002C0AB2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AlphaFold</w:t>
      </w:r>
      <w:r w:rsidRPr="002C0AB2">
        <w:rPr>
          <w:rFonts w:ascii="Times New Roman" w:hAnsi="Times New Roman" w:cs="Times New Roman"/>
        </w:rPr>
        <w:t>: Predict structure for rational design.</w:t>
      </w:r>
    </w:p>
    <w:p w14:paraId="5C605136" w14:textId="77777777" w:rsidR="002C0AB2" w:rsidRPr="002C0AB2" w:rsidRDefault="002C0AB2" w:rsidP="002C0AB2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Docking &amp; Molecular Dynamics</w:t>
      </w:r>
      <w:r w:rsidRPr="002C0AB2">
        <w:rPr>
          <w:rFonts w:ascii="Times New Roman" w:hAnsi="Times New Roman" w:cs="Times New Roman"/>
        </w:rPr>
        <w:t>: Simulate substrate fit and flexibility.</w:t>
      </w:r>
    </w:p>
    <w:p w14:paraId="761869EB" w14:textId="77777777" w:rsidR="002C0AB2" w:rsidRPr="002C0AB2" w:rsidRDefault="002C0AB2" w:rsidP="002C0AB2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Machine Learning &amp; GNNs</w:t>
      </w:r>
      <w:r w:rsidRPr="002C0AB2">
        <w:rPr>
          <w:rFonts w:ascii="Times New Roman" w:hAnsi="Times New Roman" w:cs="Times New Roman"/>
        </w:rPr>
        <w:t>: Predict mutation effects on activity, stability, selectivity.</w:t>
      </w:r>
    </w:p>
    <w:p w14:paraId="21A44C64" w14:textId="77777777" w:rsidR="002C0AB2" w:rsidRPr="002C0AB2" w:rsidRDefault="002C0AB2" w:rsidP="002C0AB2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Rosetta/</w:t>
      </w:r>
      <w:proofErr w:type="spellStart"/>
      <w:r w:rsidRPr="002C0AB2">
        <w:rPr>
          <w:rFonts w:ascii="Times New Roman" w:hAnsi="Times New Roman" w:cs="Times New Roman"/>
          <w:b/>
          <w:bCs/>
        </w:rPr>
        <w:t>FoldX</w:t>
      </w:r>
      <w:proofErr w:type="spellEnd"/>
      <w:r w:rsidRPr="002C0AB2">
        <w:rPr>
          <w:rFonts w:ascii="Times New Roman" w:hAnsi="Times New Roman" w:cs="Times New Roman"/>
        </w:rPr>
        <w:t>: Optimize stability and active site geometry.</w:t>
      </w:r>
    </w:p>
    <w:p w14:paraId="37136116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pict w14:anchorId="037EE87D">
          <v:rect id="_x0000_i1074" style="width:0;height:1.5pt" o:hralign="center" o:hrstd="t" o:hr="t" fillcolor="#a0a0a0" stroked="f"/>
        </w:pict>
      </w:r>
    </w:p>
    <w:p w14:paraId="7D804AC7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5. Major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967"/>
        <w:gridCol w:w="3847"/>
      </w:tblGrid>
      <w:tr w:rsidR="002C0AB2" w:rsidRPr="002C0AB2" w14:paraId="19A10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1A091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C0AB2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839A049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C0AB2">
              <w:rPr>
                <w:rFonts w:ascii="Times New Roman" w:hAnsi="Times New Roman" w:cs="Times New Roman"/>
                <w:b/>
                <w:bCs/>
              </w:rPr>
              <w:t>Transaminases</w:t>
            </w:r>
          </w:p>
        </w:tc>
        <w:tc>
          <w:tcPr>
            <w:tcW w:w="0" w:type="auto"/>
            <w:vAlign w:val="center"/>
            <w:hideMark/>
          </w:tcPr>
          <w:p w14:paraId="65C6E08A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C0AB2">
              <w:rPr>
                <w:rFonts w:ascii="Times New Roman" w:hAnsi="Times New Roman" w:cs="Times New Roman"/>
                <w:b/>
                <w:bCs/>
              </w:rPr>
              <w:t>KREDs</w:t>
            </w:r>
          </w:p>
        </w:tc>
      </w:tr>
      <w:tr w:rsidR="002C0AB2" w:rsidRPr="002C0AB2" w14:paraId="44D23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4B6E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Reaction</w:t>
            </w:r>
          </w:p>
        </w:tc>
        <w:tc>
          <w:tcPr>
            <w:tcW w:w="0" w:type="auto"/>
            <w:vAlign w:val="center"/>
            <w:hideMark/>
          </w:tcPr>
          <w:p w14:paraId="03EEA4D7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Amino group transfer</w:t>
            </w:r>
          </w:p>
        </w:tc>
        <w:tc>
          <w:tcPr>
            <w:tcW w:w="0" w:type="auto"/>
            <w:vAlign w:val="center"/>
            <w:hideMark/>
          </w:tcPr>
          <w:p w14:paraId="75367277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Carbonyl reduction</w:t>
            </w:r>
          </w:p>
        </w:tc>
      </w:tr>
      <w:tr w:rsidR="002C0AB2" w:rsidRPr="002C0AB2" w14:paraId="782C1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85712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Cofactor</w:t>
            </w:r>
          </w:p>
        </w:tc>
        <w:tc>
          <w:tcPr>
            <w:tcW w:w="0" w:type="auto"/>
            <w:vAlign w:val="center"/>
            <w:hideMark/>
          </w:tcPr>
          <w:p w14:paraId="16912DE6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PLP</w:t>
            </w:r>
          </w:p>
        </w:tc>
        <w:tc>
          <w:tcPr>
            <w:tcW w:w="0" w:type="auto"/>
            <w:vAlign w:val="center"/>
            <w:hideMark/>
          </w:tcPr>
          <w:p w14:paraId="5A9A9AA8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NAD(P)H</w:t>
            </w:r>
          </w:p>
        </w:tc>
      </w:tr>
      <w:tr w:rsidR="002C0AB2" w:rsidRPr="002C0AB2" w14:paraId="53B76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0A23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Industrial Product</w:t>
            </w:r>
          </w:p>
        </w:tc>
        <w:tc>
          <w:tcPr>
            <w:tcW w:w="0" w:type="auto"/>
            <w:vAlign w:val="center"/>
            <w:hideMark/>
          </w:tcPr>
          <w:p w14:paraId="68F6AD11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Chiral amines</w:t>
            </w:r>
          </w:p>
        </w:tc>
        <w:tc>
          <w:tcPr>
            <w:tcW w:w="0" w:type="auto"/>
            <w:vAlign w:val="center"/>
            <w:hideMark/>
          </w:tcPr>
          <w:p w14:paraId="5A5A4289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Chiral alcohols</w:t>
            </w:r>
          </w:p>
        </w:tc>
      </w:tr>
      <w:tr w:rsidR="002C0AB2" w:rsidRPr="002C0AB2" w14:paraId="6CAD8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6BE0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Screening Kits</w:t>
            </w:r>
          </w:p>
        </w:tc>
        <w:tc>
          <w:tcPr>
            <w:tcW w:w="0" w:type="auto"/>
            <w:vAlign w:val="center"/>
            <w:hideMark/>
          </w:tcPr>
          <w:p w14:paraId="567A5035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Mostly custom HTS</w:t>
            </w:r>
          </w:p>
        </w:tc>
        <w:tc>
          <w:tcPr>
            <w:tcW w:w="0" w:type="auto"/>
            <w:vAlign w:val="center"/>
            <w:hideMark/>
          </w:tcPr>
          <w:p w14:paraId="2D63E74F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Widely available commercial kits</w:t>
            </w:r>
          </w:p>
        </w:tc>
      </w:tr>
      <w:tr w:rsidR="002C0AB2" w:rsidRPr="002C0AB2" w14:paraId="53200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B6E5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Structural Motif</w:t>
            </w:r>
          </w:p>
        </w:tc>
        <w:tc>
          <w:tcPr>
            <w:tcW w:w="0" w:type="auto"/>
            <w:vAlign w:val="center"/>
            <w:hideMark/>
          </w:tcPr>
          <w:p w14:paraId="0AAA5420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PLP-binding lysine</w:t>
            </w:r>
          </w:p>
        </w:tc>
        <w:tc>
          <w:tcPr>
            <w:tcW w:w="0" w:type="auto"/>
            <w:vAlign w:val="center"/>
            <w:hideMark/>
          </w:tcPr>
          <w:p w14:paraId="4369F670" w14:textId="77777777" w:rsidR="002C0AB2" w:rsidRPr="002C0AB2" w:rsidRDefault="002C0AB2" w:rsidP="002C0AB2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C0AB2">
              <w:rPr>
                <w:rFonts w:ascii="Times New Roman" w:hAnsi="Times New Roman" w:cs="Times New Roman"/>
              </w:rPr>
              <w:t>Rossmann fold (SDR) or α/β barrel (AKR)</w:t>
            </w:r>
          </w:p>
        </w:tc>
      </w:tr>
    </w:tbl>
    <w:p w14:paraId="0E4546C5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pict w14:anchorId="36A9B277">
          <v:rect id="_x0000_i1075" style="width:0;height:1.5pt" o:hralign="center" o:hrstd="t" o:hr="t" fillcolor="#a0a0a0" stroked="f"/>
        </w:pict>
      </w:r>
    </w:p>
    <w:p w14:paraId="12B8A8D8" w14:textId="77777777" w:rsidR="002C0AB2" w:rsidRPr="002C0AB2" w:rsidRDefault="002C0AB2" w:rsidP="002C0AB2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2C0AB2">
        <w:rPr>
          <w:rFonts w:ascii="Times New Roman" w:hAnsi="Times New Roman" w:cs="Times New Roman"/>
          <w:b/>
          <w:bCs/>
        </w:rPr>
        <w:t>6. Strategic Impact</w:t>
      </w:r>
    </w:p>
    <w:p w14:paraId="51321F90" w14:textId="77777777" w:rsidR="002C0AB2" w:rsidRPr="002C0AB2" w:rsidRDefault="002C0AB2" w:rsidP="002C0AB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 xml:space="preserve">Both enzymes share a </w:t>
      </w:r>
      <w:r w:rsidRPr="002C0AB2">
        <w:rPr>
          <w:rFonts w:ascii="Times New Roman" w:hAnsi="Times New Roman" w:cs="Times New Roman"/>
          <w:b/>
          <w:bCs/>
        </w:rPr>
        <w:t>common workflow</w:t>
      </w:r>
      <w:r w:rsidRPr="002C0AB2">
        <w:rPr>
          <w:rFonts w:ascii="Times New Roman" w:hAnsi="Times New Roman" w:cs="Times New Roman"/>
        </w:rPr>
        <w:t xml:space="preserve">: </w:t>
      </w:r>
      <w:r w:rsidRPr="002C0AB2">
        <w:rPr>
          <w:rFonts w:ascii="Times New Roman" w:hAnsi="Times New Roman" w:cs="Times New Roman"/>
          <w:b/>
          <w:bCs/>
        </w:rPr>
        <w:t>Discovery → Screening → Computational Design → Mutagenesis → Scale-up</w:t>
      </w:r>
    </w:p>
    <w:p w14:paraId="0AF1C0E4" w14:textId="77777777" w:rsidR="002C0AB2" w:rsidRPr="002C0AB2" w:rsidRDefault="002C0AB2" w:rsidP="002C0AB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AI Integration</w:t>
      </w:r>
      <w:r w:rsidRPr="002C0AB2">
        <w:rPr>
          <w:rFonts w:ascii="Times New Roman" w:hAnsi="Times New Roman" w:cs="Times New Roman"/>
        </w:rPr>
        <w:t xml:space="preserve">: </w:t>
      </w:r>
    </w:p>
    <w:p w14:paraId="77819BAE" w14:textId="77777777" w:rsidR="002C0AB2" w:rsidRPr="002C0AB2" w:rsidRDefault="002C0AB2" w:rsidP="002C0AB2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AlphaFold + ML/GNNs accelerate design cycles.</w:t>
      </w:r>
    </w:p>
    <w:p w14:paraId="423E4C89" w14:textId="77777777" w:rsidR="002C0AB2" w:rsidRPr="002C0AB2" w:rsidRDefault="002C0AB2" w:rsidP="002C0AB2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Predictive models reduce experimental burden.</w:t>
      </w:r>
    </w:p>
    <w:p w14:paraId="6B0AF404" w14:textId="77777777" w:rsidR="002C0AB2" w:rsidRPr="002C0AB2" w:rsidRDefault="002C0AB2" w:rsidP="002C0AB2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  <w:b/>
          <w:bCs/>
        </w:rPr>
        <w:t>Industry Adoption</w:t>
      </w:r>
      <w:r w:rsidRPr="002C0AB2">
        <w:rPr>
          <w:rFonts w:ascii="Times New Roman" w:hAnsi="Times New Roman" w:cs="Times New Roman"/>
        </w:rPr>
        <w:t xml:space="preserve">: </w:t>
      </w:r>
    </w:p>
    <w:p w14:paraId="1E402BE6" w14:textId="77777777" w:rsidR="002C0AB2" w:rsidRPr="002C0AB2" w:rsidRDefault="002C0AB2" w:rsidP="002C0AB2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Merck (ω-TA for sitagliptin).</w:t>
      </w:r>
    </w:p>
    <w:p w14:paraId="1EE0E681" w14:textId="77777777" w:rsidR="002C0AB2" w:rsidRPr="002C0AB2" w:rsidRDefault="002C0AB2" w:rsidP="002C0AB2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2C0AB2">
        <w:rPr>
          <w:rFonts w:ascii="Times New Roman" w:hAnsi="Times New Roman" w:cs="Times New Roman"/>
        </w:rPr>
        <w:t>Codexis/Pfizer (KREDs for chiral alcohols).</w:t>
      </w:r>
    </w:p>
    <w:p w14:paraId="7A76FE4C" w14:textId="36CC9D68" w:rsidR="00466624" w:rsidRPr="002C0AB2" w:rsidRDefault="00466624" w:rsidP="002C0AB2">
      <w:pPr>
        <w:spacing w:line="276" w:lineRule="auto"/>
        <w:jc w:val="both"/>
        <w:rPr>
          <w:rFonts w:ascii="Times New Roman" w:hAnsi="Times New Roman" w:cs="Times New Roman"/>
        </w:rPr>
      </w:pPr>
    </w:p>
    <w:sectPr w:rsidR="00466624" w:rsidRPr="002C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04C5"/>
    <w:multiLevelType w:val="multilevel"/>
    <w:tmpl w:val="697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D7747"/>
    <w:multiLevelType w:val="multilevel"/>
    <w:tmpl w:val="6E9C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63989"/>
    <w:multiLevelType w:val="multilevel"/>
    <w:tmpl w:val="D6A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40723"/>
    <w:multiLevelType w:val="multilevel"/>
    <w:tmpl w:val="E136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15BCC"/>
    <w:multiLevelType w:val="multilevel"/>
    <w:tmpl w:val="B4C8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335CC"/>
    <w:multiLevelType w:val="multilevel"/>
    <w:tmpl w:val="1F6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50D7A"/>
    <w:multiLevelType w:val="multilevel"/>
    <w:tmpl w:val="8AD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06202"/>
    <w:multiLevelType w:val="multilevel"/>
    <w:tmpl w:val="53D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A0497"/>
    <w:multiLevelType w:val="multilevel"/>
    <w:tmpl w:val="AB36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372883">
    <w:abstractNumId w:val="5"/>
  </w:num>
  <w:num w:numId="2" w16cid:durableId="1228416852">
    <w:abstractNumId w:val="3"/>
  </w:num>
  <w:num w:numId="3" w16cid:durableId="2019651197">
    <w:abstractNumId w:val="0"/>
  </w:num>
  <w:num w:numId="4" w16cid:durableId="994533204">
    <w:abstractNumId w:val="8"/>
  </w:num>
  <w:num w:numId="5" w16cid:durableId="847406797">
    <w:abstractNumId w:val="2"/>
  </w:num>
  <w:num w:numId="6" w16cid:durableId="144976253">
    <w:abstractNumId w:val="1"/>
  </w:num>
  <w:num w:numId="7" w16cid:durableId="1958559380">
    <w:abstractNumId w:val="4"/>
  </w:num>
  <w:num w:numId="8" w16cid:durableId="612441921">
    <w:abstractNumId w:val="6"/>
  </w:num>
  <w:num w:numId="9" w16cid:durableId="19767940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FE"/>
    <w:rsid w:val="0017566B"/>
    <w:rsid w:val="00283B82"/>
    <w:rsid w:val="002C0AB2"/>
    <w:rsid w:val="00466624"/>
    <w:rsid w:val="0048178F"/>
    <w:rsid w:val="005D33C3"/>
    <w:rsid w:val="00795931"/>
    <w:rsid w:val="008175E5"/>
    <w:rsid w:val="00832DFE"/>
    <w:rsid w:val="00B51F01"/>
    <w:rsid w:val="00D44140"/>
    <w:rsid w:val="00EF412A"/>
    <w:rsid w:val="00EF5450"/>
    <w:rsid w:val="00F7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DB058"/>
  <w15:chartTrackingRefBased/>
  <w15:docId w15:val="{766B566B-63C8-4FA7-9A83-104BC6AA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D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2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Institute3</dc:creator>
  <cp:keywords/>
  <dc:description/>
  <cp:lastModifiedBy>VR Institute3</cp:lastModifiedBy>
  <cp:revision>5</cp:revision>
  <dcterms:created xsi:type="dcterms:W3CDTF">2025-11-13T05:53:00Z</dcterms:created>
  <dcterms:modified xsi:type="dcterms:W3CDTF">2025-11-13T10:25:00Z</dcterms:modified>
</cp:coreProperties>
</file>