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EBF02" w14:textId="77777777" w:rsidR="00ED018E" w:rsidRPr="00ED018E" w:rsidRDefault="00ED018E" w:rsidP="00ED018E">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ED018E">
        <w:rPr>
          <w:rFonts w:ascii="Times New Roman" w:eastAsia="Times New Roman" w:hAnsi="Times New Roman" w:cs="Times New Roman"/>
          <w:b/>
          <w:bCs/>
          <w:kern w:val="36"/>
          <w:sz w:val="28"/>
          <w:szCs w:val="28"/>
        </w:rPr>
        <w:t>Enzyme Design and Substrate Docking Analysis</w:t>
      </w:r>
    </w:p>
    <w:p w14:paraId="17628646"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7AEEC74E">
          <v:rect id="_x0000_i1080" style="width:0;height:1.5pt" o:hralign="center" o:hrstd="t" o:hr="t" fillcolor="#a0a0a0" stroked="f"/>
        </w:pict>
      </w:r>
    </w:p>
    <w:p w14:paraId="39C5D70A"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1. Objective</w:t>
      </w:r>
    </w:p>
    <w:p w14:paraId="75D76988"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objective of this project was to computationally analyze the interaction between an enzyme and a substrate using bioinformatics and molecular docking techniques. The project aimed to prepare enzyme and ligand structures, perform molecular docking, and visualize the enzyme–substrate complex to understand possible binding interactions.</w:t>
      </w:r>
    </w:p>
    <w:p w14:paraId="63F86A82"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This project was designed to provide a structured workflow for studying molecular interactions using computational tools, which can be useful in enzyme engineering, drug discovery, and structural biology research.</w:t>
      </w:r>
    </w:p>
    <w:p w14:paraId="4C1AF0D7"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3560E729">
          <v:rect id="_x0000_i1081" style="width:0;height:1.5pt" o:hralign="center" o:hrstd="t" o:hr="t" fillcolor="#a0a0a0" stroked="f"/>
        </w:pict>
      </w:r>
    </w:p>
    <w:p w14:paraId="40964C5C"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2. Tools / Technologies Used</w:t>
      </w:r>
    </w:p>
    <w:p w14:paraId="60FC409C"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The following tools and technologies were used in this project based on the uploaded workflow and scripts </w:t>
      </w:r>
    </w:p>
    <w:p w14:paraId="48477CAF"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Programming Language</w:t>
      </w:r>
    </w:p>
    <w:p w14:paraId="79872182" w14:textId="77777777" w:rsidR="00ED018E" w:rsidRPr="00ED018E" w:rsidRDefault="00ED018E" w:rsidP="00ED018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Python </w:t>
      </w:r>
    </w:p>
    <w:p w14:paraId="501D738F"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Bioinformatics / Molecular Modeling Tools</w:t>
      </w:r>
    </w:p>
    <w:p w14:paraId="14E70E31"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AutoDock</w:t>
      </w:r>
      <w:proofErr w:type="spellEnd"/>
      <w:r w:rsidRPr="00ED018E">
        <w:rPr>
          <w:rFonts w:ascii="Times New Roman" w:eastAsia="Times New Roman" w:hAnsi="Times New Roman" w:cs="Times New Roman"/>
          <w:sz w:val="24"/>
          <w:szCs w:val="24"/>
        </w:rPr>
        <w:t xml:space="preserve"> Vina </w:t>
      </w:r>
    </w:p>
    <w:p w14:paraId="7F182E16"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PyMOL</w:t>
      </w:r>
      <w:proofErr w:type="spellEnd"/>
      <w:r w:rsidRPr="00ED018E">
        <w:rPr>
          <w:rFonts w:ascii="Times New Roman" w:eastAsia="Times New Roman" w:hAnsi="Times New Roman" w:cs="Times New Roman"/>
          <w:sz w:val="24"/>
          <w:szCs w:val="24"/>
        </w:rPr>
        <w:t xml:space="preserve"> </w:t>
      </w:r>
    </w:p>
    <w:p w14:paraId="5DACFC59"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PyMOL2 </w:t>
      </w:r>
    </w:p>
    <w:p w14:paraId="5059D3FF"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Open Babel </w:t>
      </w:r>
    </w:p>
    <w:p w14:paraId="2126CC88"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Biopython</w:t>
      </w:r>
      <w:proofErr w:type="spellEnd"/>
      <w:r w:rsidRPr="00ED018E">
        <w:rPr>
          <w:rFonts w:ascii="Times New Roman" w:eastAsia="Times New Roman" w:hAnsi="Times New Roman" w:cs="Times New Roman"/>
          <w:sz w:val="24"/>
          <w:szCs w:val="24"/>
        </w:rPr>
        <w:t xml:space="preserve"> </w:t>
      </w:r>
    </w:p>
    <w:p w14:paraId="688150A6"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AlphaFold</w:t>
      </w:r>
      <w:proofErr w:type="spellEnd"/>
      <w:r w:rsidRPr="00ED018E">
        <w:rPr>
          <w:rFonts w:ascii="Times New Roman" w:eastAsia="Times New Roman" w:hAnsi="Times New Roman" w:cs="Times New Roman"/>
          <w:sz w:val="24"/>
          <w:szCs w:val="24"/>
        </w:rPr>
        <w:t xml:space="preserve"> / </w:t>
      </w:r>
      <w:proofErr w:type="spellStart"/>
      <w:r w:rsidRPr="00ED018E">
        <w:rPr>
          <w:rFonts w:ascii="Times New Roman" w:eastAsia="Times New Roman" w:hAnsi="Times New Roman" w:cs="Times New Roman"/>
          <w:sz w:val="24"/>
          <w:szCs w:val="24"/>
        </w:rPr>
        <w:t>ColabFold</w:t>
      </w:r>
      <w:proofErr w:type="spellEnd"/>
      <w:r w:rsidRPr="00ED018E">
        <w:rPr>
          <w:rFonts w:ascii="Times New Roman" w:eastAsia="Times New Roman" w:hAnsi="Times New Roman" w:cs="Times New Roman"/>
          <w:sz w:val="24"/>
          <w:szCs w:val="24"/>
        </w:rPr>
        <w:t xml:space="preserve"> </w:t>
      </w:r>
    </w:p>
    <w:p w14:paraId="43FFE8F0" w14:textId="77777777" w:rsidR="00ED018E" w:rsidRPr="00ED018E" w:rsidRDefault="00ED018E" w:rsidP="00ED01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MGLTools </w:t>
      </w:r>
    </w:p>
    <w:p w14:paraId="4B9829F6"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Python Libraries / Modules</w:t>
      </w:r>
    </w:p>
    <w:p w14:paraId="278E95FD"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os</w:t>
      </w:r>
      <w:proofErr w:type="spellEnd"/>
      <w:r w:rsidRPr="00ED018E">
        <w:rPr>
          <w:rFonts w:ascii="Times New Roman" w:eastAsia="Times New Roman" w:hAnsi="Times New Roman" w:cs="Times New Roman"/>
          <w:sz w:val="24"/>
          <w:szCs w:val="24"/>
        </w:rPr>
        <w:t xml:space="preserve"> </w:t>
      </w:r>
    </w:p>
    <w:p w14:paraId="241CD9A9"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subprocess </w:t>
      </w:r>
    </w:p>
    <w:p w14:paraId="01D6FE91"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requests </w:t>
      </w:r>
    </w:p>
    <w:p w14:paraId="2FF0AFCF"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pymol</w:t>
      </w:r>
      <w:proofErr w:type="spellEnd"/>
      <w:r w:rsidRPr="00ED018E">
        <w:rPr>
          <w:rFonts w:ascii="Times New Roman" w:eastAsia="Times New Roman" w:hAnsi="Times New Roman" w:cs="Times New Roman"/>
          <w:sz w:val="24"/>
          <w:szCs w:val="24"/>
        </w:rPr>
        <w:t xml:space="preserve"> </w:t>
      </w:r>
    </w:p>
    <w:p w14:paraId="3F955558"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pymol2 </w:t>
      </w:r>
    </w:p>
    <w:p w14:paraId="5EF7E3D6"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vina </w:t>
      </w:r>
    </w:p>
    <w:p w14:paraId="66EC84E5"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D018E">
        <w:rPr>
          <w:rFonts w:ascii="Times New Roman" w:eastAsia="Times New Roman" w:hAnsi="Times New Roman" w:cs="Times New Roman"/>
          <w:sz w:val="24"/>
          <w:szCs w:val="24"/>
        </w:rPr>
        <w:t>numpy</w:t>
      </w:r>
      <w:proofErr w:type="spellEnd"/>
      <w:r w:rsidRPr="00ED018E">
        <w:rPr>
          <w:rFonts w:ascii="Times New Roman" w:eastAsia="Times New Roman" w:hAnsi="Times New Roman" w:cs="Times New Roman"/>
          <w:sz w:val="24"/>
          <w:szCs w:val="24"/>
        </w:rPr>
        <w:t xml:space="preserve"> </w:t>
      </w:r>
    </w:p>
    <w:p w14:paraId="1AB34492" w14:textId="77777777" w:rsidR="00ED018E" w:rsidRPr="00ED018E" w:rsidRDefault="00ED018E" w:rsidP="00ED01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matplotlib </w:t>
      </w:r>
    </w:p>
    <w:p w14:paraId="6A5A66C9"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lastRenderedPageBreak/>
        <w:t>File Formats Used</w:t>
      </w:r>
    </w:p>
    <w:p w14:paraId="29260D61" w14:textId="77777777" w:rsidR="00ED018E" w:rsidRPr="00ED018E" w:rsidRDefault="00ED018E" w:rsidP="00ED01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D018E">
        <w:rPr>
          <w:rFonts w:ascii="Times New Roman" w:eastAsia="Times New Roman" w:hAnsi="Times New Roman" w:cs="Times New Roman"/>
          <w:sz w:val="24"/>
          <w:szCs w:val="24"/>
        </w:rPr>
        <w:t>.</w:t>
      </w:r>
      <w:proofErr w:type="spellStart"/>
      <w:r w:rsidRPr="00ED018E">
        <w:rPr>
          <w:rFonts w:ascii="Times New Roman" w:eastAsia="Times New Roman" w:hAnsi="Times New Roman" w:cs="Times New Roman"/>
          <w:sz w:val="24"/>
          <w:szCs w:val="24"/>
        </w:rPr>
        <w:t>fasta</w:t>
      </w:r>
      <w:proofErr w:type="spellEnd"/>
      <w:proofErr w:type="gramEnd"/>
      <w:r w:rsidRPr="00ED018E">
        <w:rPr>
          <w:rFonts w:ascii="Times New Roman" w:eastAsia="Times New Roman" w:hAnsi="Times New Roman" w:cs="Times New Roman"/>
          <w:sz w:val="24"/>
          <w:szCs w:val="24"/>
        </w:rPr>
        <w:t xml:space="preserve"> </w:t>
      </w:r>
    </w:p>
    <w:p w14:paraId="33DC0C58" w14:textId="77777777" w:rsidR="00ED018E" w:rsidRPr="00ED018E" w:rsidRDefault="00ED018E" w:rsidP="00ED01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w:t>
      </w:r>
      <w:proofErr w:type="spellStart"/>
      <w:r w:rsidRPr="00ED018E">
        <w:rPr>
          <w:rFonts w:ascii="Times New Roman" w:eastAsia="Times New Roman" w:hAnsi="Times New Roman" w:cs="Times New Roman"/>
          <w:sz w:val="24"/>
          <w:szCs w:val="24"/>
        </w:rPr>
        <w:t>pdb</w:t>
      </w:r>
      <w:proofErr w:type="spellEnd"/>
      <w:r w:rsidRPr="00ED018E">
        <w:rPr>
          <w:rFonts w:ascii="Times New Roman" w:eastAsia="Times New Roman" w:hAnsi="Times New Roman" w:cs="Times New Roman"/>
          <w:sz w:val="24"/>
          <w:szCs w:val="24"/>
        </w:rPr>
        <w:t xml:space="preserve"> </w:t>
      </w:r>
    </w:p>
    <w:p w14:paraId="1BD25819" w14:textId="77777777" w:rsidR="00ED018E" w:rsidRPr="00ED018E" w:rsidRDefault="00ED018E" w:rsidP="00ED01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D018E">
        <w:rPr>
          <w:rFonts w:ascii="Times New Roman" w:eastAsia="Times New Roman" w:hAnsi="Times New Roman" w:cs="Times New Roman"/>
          <w:sz w:val="24"/>
          <w:szCs w:val="24"/>
        </w:rPr>
        <w:t>.</w:t>
      </w:r>
      <w:proofErr w:type="spellStart"/>
      <w:r w:rsidRPr="00ED018E">
        <w:rPr>
          <w:rFonts w:ascii="Times New Roman" w:eastAsia="Times New Roman" w:hAnsi="Times New Roman" w:cs="Times New Roman"/>
          <w:sz w:val="24"/>
          <w:szCs w:val="24"/>
        </w:rPr>
        <w:t>pdbqt</w:t>
      </w:r>
      <w:proofErr w:type="spellEnd"/>
      <w:proofErr w:type="gramEnd"/>
      <w:r w:rsidRPr="00ED018E">
        <w:rPr>
          <w:rFonts w:ascii="Times New Roman" w:eastAsia="Times New Roman" w:hAnsi="Times New Roman" w:cs="Times New Roman"/>
          <w:sz w:val="24"/>
          <w:szCs w:val="24"/>
        </w:rPr>
        <w:t xml:space="preserve"> </w:t>
      </w:r>
    </w:p>
    <w:p w14:paraId="6F8A7F89" w14:textId="77777777" w:rsidR="00ED018E" w:rsidRPr="00ED018E" w:rsidRDefault="00ED018E" w:rsidP="00ED01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w:t>
      </w:r>
      <w:proofErr w:type="spellStart"/>
      <w:r w:rsidRPr="00ED018E">
        <w:rPr>
          <w:rFonts w:ascii="Times New Roman" w:eastAsia="Times New Roman" w:hAnsi="Times New Roman" w:cs="Times New Roman"/>
          <w:sz w:val="24"/>
          <w:szCs w:val="24"/>
        </w:rPr>
        <w:t>sdf</w:t>
      </w:r>
      <w:proofErr w:type="spellEnd"/>
      <w:r w:rsidRPr="00ED018E">
        <w:rPr>
          <w:rFonts w:ascii="Times New Roman" w:eastAsia="Times New Roman" w:hAnsi="Times New Roman" w:cs="Times New Roman"/>
          <w:sz w:val="24"/>
          <w:szCs w:val="24"/>
        </w:rPr>
        <w:t xml:space="preserve"> </w:t>
      </w:r>
    </w:p>
    <w:p w14:paraId="2F4B9D69"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6190D20E">
          <v:rect id="_x0000_i1082" style="width:0;height:1.5pt" o:hralign="center" o:hrstd="t" o:hr="t" fillcolor="#a0a0a0" stroked="f"/>
        </w:pict>
      </w:r>
    </w:p>
    <w:p w14:paraId="02E29BB1"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3. Methodology</w:t>
      </w:r>
    </w:p>
    <w:p w14:paraId="4A7B80E9"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project followed a computational molecular docking workflow to study enzyme–substrate interaction.</w:t>
      </w:r>
    </w:p>
    <w:p w14:paraId="7F0D398B"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0BD74BD7">
          <v:rect id="_x0000_i1083" style="width:0;height:1.5pt" o:hralign="center" o:hrstd="t" o:hr="t" fillcolor="#a0a0a0" stroked="f"/>
        </w:pict>
      </w:r>
    </w:p>
    <w:p w14:paraId="3965849B"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1: Enzyme and Substrate Preparation</w:t>
      </w:r>
    </w:p>
    <w:p w14:paraId="069CF292"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project started with identifying the enzyme and substrate files required for analysis. The enzyme sequence or structure was prepared and stored in the project data folder. Similarly, the ligand or substrate structure was also collected in a suitable molecular format.</w:t>
      </w:r>
    </w:p>
    <w:p w14:paraId="4E1290B9"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enzyme data was represented using sequence and structure files, while the substrate was prepared in ligand-compatible molecular format for docking analysis.</w:t>
      </w:r>
    </w:p>
    <w:p w14:paraId="31B275FF" w14:textId="2256DDD0" w:rsidR="00ED018E" w:rsidRDefault="00ED018E" w:rsidP="00ED018E">
      <w:pPr>
        <w:spacing w:before="100" w:beforeAutospacing="1" w:after="100" w:afterAutospacing="1" w:line="240" w:lineRule="auto"/>
        <w:jc w:val="both"/>
        <w:outlineLvl w:val="2"/>
        <w:rPr>
          <w:rFonts w:ascii="Segoe UI Emoji" w:eastAsia="Times New Roman" w:hAnsi="Segoe UI Emoji" w:cs="Segoe UI Emoji"/>
          <w:b/>
          <w:bCs/>
          <w:sz w:val="24"/>
          <w:szCs w:val="24"/>
        </w:rPr>
      </w:pPr>
      <w:r>
        <w:rPr>
          <w:rFonts w:ascii="Segoe UI Emoji" w:eastAsia="Times New Roman" w:hAnsi="Segoe UI Emoji" w:cs="Segoe UI Emoji"/>
          <w:b/>
          <w:bCs/>
          <w:noProof/>
          <w:sz w:val="24"/>
          <w:szCs w:val="24"/>
        </w:rPr>
        <w:lastRenderedPageBreak/>
        <w:drawing>
          <wp:inline distT="0" distB="0" distL="0" distR="0" wp14:anchorId="798835E6" wp14:editId="6F84A940">
            <wp:extent cx="2829320" cy="676369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2829320" cy="6763694"/>
                    </a:xfrm>
                    <a:prstGeom prst="rect">
                      <a:avLst/>
                    </a:prstGeom>
                  </pic:spPr>
                </pic:pic>
              </a:graphicData>
            </a:graphic>
          </wp:inline>
        </w:drawing>
      </w:r>
    </w:p>
    <w:p w14:paraId="41218DA1"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t>Figure 1: Input files used for enzyme and substrate preparation</w:t>
      </w:r>
    </w:p>
    <w:p w14:paraId="3F431F52"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5D852808">
          <v:rect id="_x0000_i1084" style="width:0;height:1.5pt" o:hralign="center" o:hrstd="t" o:hr="t" fillcolor="#a0a0a0" stroked="f"/>
        </w:pict>
      </w:r>
    </w:p>
    <w:p w14:paraId="0D1571B9"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2: Structure Conversion</w:t>
      </w:r>
    </w:p>
    <w:p w14:paraId="0AB86D06"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lastRenderedPageBreak/>
        <w:t xml:space="preserve">A Python script was used to convert the enzyme and ligand files into </w:t>
      </w:r>
      <w:r w:rsidRPr="00ED018E">
        <w:rPr>
          <w:rFonts w:ascii="Times New Roman" w:eastAsia="Times New Roman" w:hAnsi="Times New Roman" w:cs="Times New Roman"/>
          <w:b/>
          <w:bCs/>
          <w:sz w:val="24"/>
          <w:szCs w:val="24"/>
        </w:rPr>
        <w:t>PDBQT format</w:t>
      </w:r>
      <w:r w:rsidRPr="00ED018E">
        <w:rPr>
          <w:rFonts w:ascii="Times New Roman" w:eastAsia="Times New Roman" w:hAnsi="Times New Roman" w:cs="Times New Roman"/>
          <w:sz w:val="24"/>
          <w:szCs w:val="24"/>
        </w:rPr>
        <w:t xml:space="preserve">, which is required for docking in </w:t>
      </w:r>
      <w:proofErr w:type="spellStart"/>
      <w:r w:rsidRPr="00ED018E">
        <w:rPr>
          <w:rFonts w:ascii="Times New Roman" w:eastAsia="Times New Roman" w:hAnsi="Times New Roman" w:cs="Times New Roman"/>
          <w:sz w:val="24"/>
          <w:szCs w:val="24"/>
        </w:rPr>
        <w:t>AutoDock</w:t>
      </w:r>
      <w:proofErr w:type="spellEnd"/>
      <w:r w:rsidRPr="00ED018E">
        <w:rPr>
          <w:rFonts w:ascii="Times New Roman" w:eastAsia="Times New Roman" w:hAnsi="Times New Roman" w:cs="Times New Roman"/>
          <w:sz w:val="24"/>
          <w:szCs w:val="24"/>
        </w:rPr>
        <w:t xml:space="preserve"> Vina. During this process, molecular preparation steps such as adding hydrogens and formatting atom information were performed.</w:t>
      </w:r>
    </w:p>
    <w:p w14:paraId="603B361A"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This conversion is essential because docking software requires receptor and ligand files in a standardized docking-compatible format.</w:t>
      </w:r>
    </w:p>
    <w:p w14:paraId="111591B1" w14:textId="77777777" w:rsidR="00890BF2" w:rsidRDefault="00890BF2"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90BF2">
        <w:rPr>
          <w:rFonts w:ascii="Segoe UI Emoji" w:eastAsia="Times New Roman" w:hAnsi="Segoe UI Emoji" w:cs="Segoe UI Emoji"/>
          <w:b/>
          <w:bCs/>
          <w:sz w:val="24"/>
          <w:szCs w:val="24"/>
        </w:rPr>
        <w:drawing>
          <wp:inline distT="0" distB="0" distL="0" distR="0" wp14:anchorId="04F833ED" wp14:editId="0457ECD8">
            <wp:extent cx="5943600" cy="3591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91560"/>
                    </a:xfrm>
                    <a:prstGeom prst="rect">
                      <a:avLst/>
                    </a:prstGeom>
                  </pic:spPr>
                </pic:pic>
              </a:graphicData>
            </a:graphic>
          </wp:inline>
        </w:drawing>
      </w:r>
    </w:p>
    <w:p w14:paraId="531DCC76" w14:textId="061BEE26" w:rsidR="00890BF2" w:rsidRDefault="00890BF2"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90BF2">
        <w:rPr>
          <w:rFonts w:ascii="Times New Roman" w:eastAsia="Times New Roman" w:hAnsi="Times New Roman" w:cs="Times New Roman"/>
          <w:b/>
          <w:bCs/>
          <w:sz w:val="24"/>
          <w:szCs w:val="24"/>
        </w:rPr>
        <w:drawing>
          <wp:inline distT="0" distB="0" distL="0" distR="0" wp14:anchorId="788BE146" wp14:editId="0B8C6DC9">
            <wp:extent cx="5943600" cy="29876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87675"/>
                    </a:xfrm>
                    <a:prstGeom prst="rect">
                      <a:avLst/>
                    </a:prstGeom>
                  </pic:spPr>
                </pic:pic>
              </a:graphicData>
            </a:graphic>
          </wp:inline>
        </w:drawing>
      </w:r>
    </w:p>
    <w:p w14:paraId="485E5985"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lastRenderedPageBreak/>
        <w:t>Figure 2: Conversion of enzyme and ligand structures into PDBQT format</w:t>
      </w:r>
    </w:p>
    <w:p w14:paraId="669D1463"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585DAC32">
          <v:rect id="_x0000_i1085" style="width:0;height:1.5pt" o:hralign="center" o:hrstd="t" o:hr="t" fillcolor="#a0a0a0" stroked="f"/>
        </w:pict>
      </w:r>
    </w:p>
    <w:p w14:paraId="33240856"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3: Molecular Docking</w:t>
      </w:r>
    </w:p>
    <w:p w14:paraId="08609414"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After preparation, molecular docking was performed using </w:t>
      </w:r>
      <w:proofErr w:type="spellStart"/>
      <w:r w:rsidRPr="00ED018E">
        <w:rPr>
          <w:rFonts w:ascii="Times New Roman" w:eastAsia="Times New Roman" w:hAnsi="Times New Roman" w:cs="Times New Roman"/>
          <w:b/>
          <w:bCs/>
          <w:sz w:val="24"/>
          <w:szCs w:val="24"/>
        </w:rPr>
        <w:t>AutoDock</w:t>
      </w:r>
      <w:proofErr w:type="spellEnd"/>
      <w:r w:rsidRPr="00ED018E">
        <w:rPr>
          <w:rFonts w:ascii="Times New Roman" w:eastAsia="Times New Roman" w:hAnsi="Times New Roman" w:cs="Times New Roman"/>
          <w:b/>
          <w:bCs/>
          <w:sz w:val="24"/>
          <w:szCs w:val="24"/>
        </w:rPr>
        <w:t xml:space="preserve"> Vina</w:t>
      </w:r>
      <w:r w:rsidRPr="00ED018E">
        <w:rPr>
          <w:rFonts w:ascii="Times New Roman" w:eastAsia="Times New Roman" w:hAnsi="Times New Roman" w:cs="Times New Roman"/>
          <w:sz w:val="24"/>
          <w:szCs w:val="24"/>
        </w:rPr>
        <w:t>. The enzyme was treated as the receptor and the substrate as the ligand. Docking box coordinates and size parameters were defined to focus the docking process on the probable active site region of the enzyme.</w:t>
      </w:r>
    </w:p>
    <w:p w14:paraId="7C1D65A8"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docking process generated possible binding poses for the substrate and saved the docked output file for further analysis.</w:t>
      </w:r>
    </w:p>
    <w:p w14:paraId="2D18A6F4" w14:textId="77777777" w:rsidR="00890BF2" w:rsidRDefault="00890BF2" w:rsidP="00ED018E">
      <w:pPr>
        <w:spacing w:before="100" w:beforeAutospacing="1" w:after="100" w:afterAutospacing="1" w:line="240" w:lineRule="auto"/>
        <w:jc w:val="both"/>
        <w:rPr>
          <w:rFonts w:ascii="Times New Roman" w:eastAsia="Times New Roman" w:hAnsi="Times New Roman" w:cs="Times New Roman"/>
          <w:b/>
          <w:bCs/>
          <w:sz w:val="24"/>
          <w:szCs w:val="24"/>
        </w:rPr>
      </w:pPr>
      <w:r w:rsidRPr="00890BF2">
        <w:rPr>
          <w:rFonts w:ascii="Segoe UI Emoji" w:eastAsia="Times New Roman" w:hAnsi="Segoe UI Emoji" w:cs="Segoe UI Emoji"/>
          <w:b/>
          <w:bCs/>
          <w:sz w:val="24"/>
          <w:szCs w:val="24"/>
        </w:rPr>
        <w:drawing>
          <wp:inline distT="0" distB="0" distL="0" distR="0" wp14:anchorId="6774C90C" wp14:editId="0651CD72">
            <wp:extent cx="4686954" cy="5563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6954" cy="5563376"/>
                    </a:xfrm>
                    <a:prstGeom prst="rect">
                      <a:avLst/>
                    </a:prstGeom>
                  </pic:spPr>
                </pic:pic>
              </a:graphicData>
            </a:graphic>
          </wp:inline>
        </w:drawing>
      </w:r>
    </w:p>
    <w:p w14:paraId="563DDEF6" w14:textId="0B433A1A"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t xml:space="preserve">Figure 3: Molecular docking execution using </w:t>
      </w:r>
      <w:proofErr w:type="spellStart"/>
      <w:r w:rsidRPr="00ED018E">
        <w:rPr>
          <w:rFonts w:ascii="Times New Roman" w:eastAsia="Times New Roman" w:hAnsi="Times New Roman" w:cs="Times New Roman"/>
          <w:b/>
          <w:bCs/>
          <w:sz w:val="24"/>
          <w:szCs w:val="24"/>
        </w:rPr>
        <w:t>AutoDock</w:t>
      </w:r>
      <w:proofErr w:type="spellEnd"/>
      <w:r w:rsidRPr="00ED018E">
        <w:rPr>
          <w:rFonts w:ascii="Times New Roman" w:eastAsia="Times New Roman" w:hAnsi="Times New Roman" w:cs="Times New Roman"/>
          <w:b/>
          <w:bCs/>
          <w:sz w:val="24"/>
          <w:szCs w:val="24"/>
        </w:rPr>
        <w:t xml:space="preserve"> Vina</w:t>
      </w:r>
    </w:p>
    <w:p w14:paraId="1E9F636D"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lastRenderedPageBreak/>
        <w:pict w14:anchorId="1CA3EC95">
          <v:rect id="_x0000_i1086" style="width:0;height:1.5pt" o:hralign="center" o:hrstd="t" o:hr="t" fillcolor="#a0a0a0" stroked="f"/>
        </w:pict>
      </w:r>
    </w:p>
    <w:p w14:paraId="63B62131"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4: Visualization of Docked Complex</w:t>
      </w:r>
    </w:p>
    <w:p w14:paraId="5D243169"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The docked enzyme–substrate complex was visualized using </w:t>
      </w:r>
      <w:proofErr w:type="spellStart"/>
      <w:r w:rsidRPr="00ED018E">
        <w:rPr>
          <w:rFonts w:ascii="Times New Roman" w:eastAsia="Times New Roman" w:hAnsi="Times New Roman" w:cs="Times New Roman"/>
          <w:b/>
          <w:bCs/>
          <w:sz w:val="24"/>
          <w:szCs w:val="24"/>
        </w:rPr>
        <w:t>PyMOL</w:t>
      </w:r>
      <w:proofErr w:type="spellEnd"/>
      <w:r w:rsidRPr="00ED018E">
        <w:rPr>
          <w:rFonts w:ascii="Times New Roman" w:eastAsia="Times New Roman" w:hAnsi="Times New Roman" w:cs="Times New Roman"/>
          <w:b/>
          <w:bCs/>
          <w:sz w:val="24"/>
          <w:szCs w:val="24"/>
        </w:rPr>
        <w:t xml:space="preserve"> / PyMOL2</w:t>
      </w:r>
      <w:r w:rsidRPr="00ED018E">
        <w:rPr>
          <w:rFonts w:ascii="Times New Roman" w:eastAsia="Times New Roman" w:hAnsi="Times New Roman" w:cs="Times New Roman"/>
          <w:sz w:val="24"/>
          <w:szCs w:val="24"/>
        </w:rPr>
        <w:t>. The enzyme was displayed in cartoon format and the ligand in stick format. Different colors were applied to distinguish the molecular components clearly.</w:t>
      </w:r>
    </w:p>
    <w:p w14:paraId="50887677"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binding region near the ligand was also highlighted to understand the possible substrate interaction pocket within the enzyme structure.</w:t>
      </w:r>
    </w:p>
    <w:p w14:paraId="0FE2FE72" w14:textId="7190FBB1" w:rsidR="00890BF2" w:rsidRDefault="00890BF2" w:rsidP="00ED018E">
      <w:pPr>
        <w:spacing w:before="100" w:beforeAutospacing="1" w:after="100" w:afterAutospacing="1" w:line="240" w:lineRule="auto"/>
        <w:jc w:val="both"/>
        <w:rPr>
          <w:rFonts w:ascii="Segoe UI Emoji" w:eastAsia="Times New Roman" w:hAnsi="Segoe UI Emoji" w:cs="Segoe UI Emoji"/>
          <w:b/>
          <w:bCs/>
          <w:sz w:val="24"/>
          <w:szCs w:val="24"/>
        </w:rPr>
      </w:pPr>
      <w:r>
        <w:rPr>
          <w:rFonts w:ascii="Segoe UI Emoji" w:eastAsia="Times New Roman" w:hAnsi="Segoe UI Emoji" w:cs="Segoe UI Emoji"/>
          <w:b/>
          <w:bCs/>
          <w:noProof/>
          <w:sz w:val="24"/>
          <w:szCs w:val="24"/>
        </w:rPr>
        <w:lastRenderedPageBreak/>
        <w:drawing>
          <wp:inline distT="0" distB="0" distL="0" distR="0" wp14:anchorId="00D5A3E5" wp14:editId="74674743">
            <wp:extent cx="5943600" cy="5225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943600" cy="5225415"/>
                    </a:xfrm>
                    <a:prstGeom prst="rect">
                      <a:avLst/>
                    </a:prstGeom>
                  </pic:spPr>
                </pic:pic>
              </a:graphicData>
            </a:graphic>
          </wp:inline>
        </w:drawing>
      </w:r>
      <w:r>
        <w:rPr>
          <w:rFonts w:ascii="Segoe UI Emoji" w:eastAsia="Times New Roman" w:hAnsi="Segoe UI Emoji" w:cs="Segoe UI Emoji"/>
          <w:b/>
          <w:bCs/>
          <w:noProof/>
          <w:sz w:val="24"/>
          <w:szCs w:val="24"/>
        </w:rPr>
        <w:lastRenderedPageBreak/>
        <w:drawing>
          <wp:inline distT="0" distB="0" distL="0" distR="0" wp14:anchorId="6214A761" wp14:editId="0B6D1FBD">
            <wp:extent cx="5668166" cy="3658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668166" cy="3658111"/>
                    </a:xfrm>
                    <a:prstGeom prst="rect">
                      <a:avLst/>
                    </a:prstGeom>
                  </pic:spPr>
                </pic:pic>
              </a:graphicData>
            </a:graphic>
          </wp:inline>
        </w:drawing>
      </w:r>
    </w:p>
    <w:p w14:paraId="21912C88" w14:textId="776F9CE5"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t xml:space="preserve">Figure 4: Visualization of docked enzyme–substrate complex in </w:t>
      </w:r>
      <w:proofErr w:type="spellStart"/>
      <w:r w:rsidRPr="00ED018E">
        <w:rPr>
          <w:rFonts w:ascii="Times New Roman" w:eastAsia="Times New Roman" w:hAnsi="Times New Roman" w:cs="Times New Roman"/>
          <w:b/>
          <w:bCs/>
          <w:sz w:val="24"/>
          <w:szCs w:val="24"/>
        </w:rPr>
        <w:t>PyMOL</w:t>
      </w:r>
      <w:proofErr w:type="spellEnd"/>
    </w:p>
    <w:p w14:paraId="59663213"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57B7D19D">
          <v:rect id="_x0000_i1087" style="width:0;height:1.5pt" o:hralign="center" o:hrstd="t" o:hr="t" fillcolor="#a0a0a0" stroked="f"/>
        </w:pict>
      </w:r>
    </w:p>
    <w:p w14:paraId="409BE67B"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5: Binding Pocket Identification</w:t>
      </w:r>
    </w:p>
    <w:p w14:paraId="37E5E5E2"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To better understand the interaction between the enzyme and substrate, the binding pocket region around the ligand was highlighted. This allowed identification of the nearby residues or molecular environment that may be involved in substrate binding and catalytic activity.</w:t>
      </w:r>
    </w:p>
    <w:p w14:paraId="09B0E9D8"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This step is important for interpreting the docking result and understanding how the ligand fits into the active site of the enzyme.</w:t>
      </w:r>
    </w:p>
    <w:p w14:paraId="19FC6191" w14:textId="57819E08" w:rsidR="00ED018E" w:rsidRPr="00ED018E" w:rsidRDefault="00890BF2" w:rsidP="00ED018E">
      <w:pPr>
        <w:spacing w:before="100" w:beforeAutospacing="1" w:after="100" w:afterAutospacing="1" w:line="240" w:lineRule="auto"/>
        <w:jc w:val="both"/>
        <w:rPr>
          <w:rFonts w:ascii="Times New Roman" w:eastAsia="Times New Roman" w:hAnsi="Times New Roman" w:cs="Times New Roman"/>
          <w:sz w:val="24"/>
          <w:szCs w:val="24"/>
        </w:rPr>
      </w:pPr>
      <w:r>
        <w:rPr>
          <w:rFonts w:ascii="Segoe UI Emoji" w:eastAsia="Times New Roman" w:hAnsi="Segoe UI Emoji" w:cs="Segoe UI Emoji"/>
          <w:b/>
          <w:bCs/>
          <w:noProof/>
          <w:sz w:val="24"/>
          <w:szCs w:val="24"/>
        </w:rPr>
        <w:lastRenderedPageBreak/>
        <w:drawing>
          <wp:inline distT="0" distB="0" distL="0" distR="0" wp14:anchorId="22986F00" wp14:editId="55BD293B">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00ED018E" w:rsidRPr="00ED018E">
        <w:rPr>
          <w:rFonts w:ascii="Times New Roman" w:eastAsia="Times New Roman" w:hAnsi="Times New Roman" w:cs="Times New Roman"/>
          <w:b/>
          <w:bCs/>
          <w:sz w:val="24"/>
          <w:szCs w:val="24"/>
        </w:rPr>
        <w:t>Figure 5: Binding pocket and substrate interaction region</w:t>
      </w:r>
    </w:p>
    <w:p w14:paraId="0237C010"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41F16ACC">
          <v:rect id="_x0000_i1088" style="width:0;height:1.5pt" o:hralign="center" o:hrstd="t" o:hr="t" fillcolor="#a0a0a0" stroked="f"/>
        </w:pict>
      </w:r>
    </w:p>
    <w:p w14:paraId="2FCFC4C2"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Step 6: Output Generation</w:t>
      </w:r>
    </w:p>
    <w:p w14:paraId="50BC20FE"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final docked structure and rendered images were generated and saved as project outputs. These outputs help in interpreting molecular binding and can be used for future structural or functional analysis.</w:t>
      </w:r>
    </w:p>
    <w:p w14:paraId="2DFBF371" w14:textId="05F3A963"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generated files include processed molecular structures, docking outputs, and visual representations of the docked complex.</w:t>
      </w:r>
    </w:p>
    <w:tbl>
      <w:tblPr>
        <w:tblStyle w:val="TableGrid"/>
        <w:tblW w:w="0" w:type="auto"/>
        <w:tblLook w:val="04A0" w:firstRow="1" w:lastRow="0" w:firstColumn="1" w:lastColumn="0" w:noHBand="0" w:noVBand="1"/>
      </w:tblPr>
      <w:tblGrid>
        <w:gridCol w:w="1957"/>
        <w:gridCol w:w="3196"/>
      </w:tblGrid>
      <w:tr w:rsidR="00ED018E" w:rsidRPr="00ED018E" w14:paraId="64E5FDD2" w14:textId="77777777" w:rsidTr="00890BF2">
        <w:tc>
          <w:tcPr>
            <w:tcW w:w="0" w:type="auto"/>
            <w:hideMark/>
          </w:tcPr>
          <w:p w14:paraId="35B70866" w14:textId="77777777" w:rsidR="00ED018E" w:rsidRPr="00ED018E" w:rsidRDefault="00ED018E" w:rsidP="00ED018E">
            <w:pPr>
              <w:jc w:val="both"/>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Output File</w:t>
            </w:r>
          </w:p>
        </w:tc>
        <w:tc>
          <w:tcPr>
            <w:tcW w:w="0" w:type="auto"/>
            <w:hideMark/>
          </w:tcPr>
          <w:p w14:paraId="49C9FC6F" w14:textId="77777777" w:rsidR="00ED018E" w:rsidRPr="00ED018E" w:rsidRDefault="00ED018E" w:rsidP="00ED018E">
            <w:pPr>
              <w:jc w:val="both"/>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Description</w:t>
            </w:r>
          </w:p>
        </w:tc>
      </w:tr>
      <w:tr w:rsidR="00ED018E" w:rsidRPr="00ED018E" w14:paraId="7086F870" w14:textId="77777777" w:rsidTr="00890BF2">
        <w:tc>
          <w:tcPr>
            <w:tcW w:w="0" w:type="auto"/>
            <w:hideMark/>
          </w:tcPr>
          <w:p w14:paraId="664756C6" w14:textId="77777777" w:rsidR="00ED018E" w:rsidRPr="00ED018E" w:rsidRDefault="00ED018E" w:rsidP="00ED018E">
            <w:pPr>
              <w:jc w:val="both"/>
              <w:rPr>
                <w:rFonts w:ascii="Times New Roman" w:eastAsia="Times New Roman" w:hAnsi="Times New Roman" w:cs="Times New Roman"/>
                <w:sz w:val="24"/>
                <w:szCs w:val="24"/>
              </w:rPr>
            </w:pPr>
            <w:proofErr w:type="spellStart"/>
            <w:proofErr w:type="gramStart"/>
            <w:r w:rsidRPr="00ED018E">
              <w:rPr>
                <w:rFonts w:ascii="Times New Roman" w:eastAsia="Times New Roman" w:hAnsi="Times New Roman" w:cs="Times New Roman"/>
                <w:sz w:val="24"/>
                <w:szCs w:val="24"/>
              </w:rPr>
              <w:t>receptor.pdbqt</w:t>
            </w:r>
            <w:proofErr w:type="spellEnd"/>
            <w:proofErr w:type="gramEnd"/>
          </w:p>
        </w:tc>
        <w:tc>
          <w:tcPr>
            <w:tcW w:w="0" w:type="auto"/>
            <w:hideMark/>
          </w:tcPr>
          <w:p w14:paraId="59D8E2F0"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Prepared enzyme docking file</w:t>
            </w:r>
          </w:p>
        </w:tc>
      </w:tr>
      <w:tr w:rsidR="00ED018E" w:rsidRPr="00ED018E" w14:paraId="49913EE7" w14:textId="77777777" w:rsidTr="00890BF2">
        <w:tc>
          <w:tcPr>
            <w:tcW w:w="0" w:type="auto"/>
            <w:hideMark/>
          </w:tcPr>
          <w:p w14:paraId="04F5C612" w14:textId="77777777" w:rsidR="00ED018E" w:rsidRPr="00ED018E" w:rsidRDefault="00ED018E" w:rsidP="00ED018E">
            <w:pPr>
              <w:jc w:val="both"/>
              <w:rPr>
                <w:rFonts w:ascii="Times New Roman" w:eastAsia="Times New Roman" w:hAnsi="Times New Roman" w:cs="Times New Roman"/>
                <w:sz w:val="24"/>
                <w:szCs w:val="24"/>
              </w:rPr>
            </w:pPr>
            <w:proofErr w:type="spellStart"/>
            <w:proofErr w:type="gramStart"/>
            <w:r w:rsidRPr="00ED018E">
              <w:rPr>
                <w:rFonts w:ascii="Times New Roman" w:eastAsia="Times New Roman" w:hAnsi="Times New Roman" w:cs="Times New Roman"/>
                <w:sz w:val="24"/>
                <w:szCs w:val="24"/>
              </w:rPr>
              <w:t>ligand.pdbqt</w:t>
            </w:r>
            <w:proofErr w:type="spellEnd"/>
            <w:proofErr w:type="gramEnd"/>
          </w:p>
        </w:tc>
        <w:tc>
          <w:tcPr>
            <w:tcW w:w="0" w:type="auto"/>
            <w:hideMark/>
          </w:tcPr>
          <w:p w14:paraId="63BC4ADF"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Prepared substrate docking file</w:t>
            </w:r>
          </w:p>
        </w:tc>
      </w:tr>
      <w:tr w:rsidR="00ED018E" w:rsidRPr="00ED018E" w14:paraId="0CBBDEF3" w14:textId="77777777" w:rsidTr="00890BF2">
        <w:tc>
          <w:tcPr>
            <w:tcW w:w="0" w:type="auto"/>
            <w:hideMark/>
          </w:tcPr>
          <w:p w14:paraId="6427015A" w14:textId="77777777" w:rsidR="00ED018E" w:rsidRPr="00ED018E" w:rsidRDefault="00ED018E" w:rsidP="00ED018E">
            <w:pPr>
              <w:jc w:val="both"/>
              <w:rPr>
                <w:rFonts w:ascii="Times New Roman" w:eastAsia="Times New Roman" w:hAnsi="Times New Roman" w:cs="Times New Roman"/>
                <w:sz w:val="24"/>
                <w:szCs w:val="24"/>
              </w:rPr>
            </w:pPr>
            <w:proofErr w:type="spellStart"/>
            <w:proofErr w:type="gramStart"/>
            <w:r w:rsidRPr="00ED018E">
              <w:rPr>
                <w:rFonts w:ascii="Times New Roman" w:eastAsia="Times New Roman" w:hAnsi="Times New Roman" w:cs="Times New Roman"/>
                <w:sz w:val="24"/>
                <w:szCs w:val="24"/>
              </w:rPr>
              <w:t>docked.pdbqt</w:t>
            </w:r>
            <w:proofErr w:type="spellEnd"/>
            <w:proofErr w:type="gramEnd"/>
          </w:p>
        </w:tc>
        <w:tc>
          <w:tcPr>
            <w:tcW w:w="0" w:type="auto"/>
            <w:hideMark/>
          </w:tcPr>
          <w:p w14:paraId="476BC6F1"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Docking result output</w:t>
            </w:r>
          </w:p>
        </w:tc>
      </w:tr>
      <w:tr w:rsidR="00ED018E" w:rsidRPr="00ED018E" w14:paraId="06D7E51F" w14:textId="77777777" w:rsidTr="00890BF2">
        <w:tc>
          <w:tcPr>
            <w:tcW w:w="0" w:type="auto"/>
            <w:hideMark/>
          </w:tcPr>
          <w:p w14:paraId="1E64CA20"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EstB_binding.png</w:t>
            </w:r>
          </w:p>
        </w:tc>
        <w:tc>
          <w:tcPr>
            <w:tcW w:w="0" w:type="auto"/>
            <w:hideMark/>
          </w:tcPr>
          <w:p w14:paraId="1BAAE9CC"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Docked complex visualization</w:t>
            </w:r>
          </w:p>
        </w:tc>
      </w:tr>
      <w:tr w:rsidR="00ED018E" w:rsidRPr="00ED018E" w14:paraId="188921BB" w14:textId="77777777" w:rsidTr="00890BF2">
        <w:tc>
          <w:tcPr>
            <w:tcW w:w="0" w:type="auto"/>
            <w:hideMark/>
          </w:tcPr>
          <w:p w14:paraId="237D779B"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complex.png</w:t>
            </w:r>
          </w:p>
        </w:tc>
        <w:tc>
          <w:tcPr>
            <w:tcW w:w="0" w:type="auto"/>
            <w:hideMark/>
          </w:tcPr>
          <w:p w14:paraId="1F6248A2" w14:textId="77777777" w:rsidR="00ED018E" w:rsidRPr="00ED018E" w:rsidRDefault="00ED018E" w:rsidP="00ED018E">
            <w:pPr>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Final rendered structure image</w:t>
            </w:r>
          </w:p>
        </w:tc>
      </w:tr>
    </w:tbl>
    <w:p w14:paraId="265135B4"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t>Table 1: Output files generated during the project</w:t>
      </w:r>
    </w:p>
    <w:p w14:paraId="1486059F"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659AEA20">
          <v:rect id="_x0000_i1089" style="width:0;height:1.5pt" o:hralign="center" o:hrstd="t" o:hr="t" fillcolor="#a0a0a0" stroked="f"/>
        </w:pict>
      </w:r>
    </w:p>
    <w:p w14:paraId="74926652" w14:textId="77777777" w:rsidR="00ED018E" w:rsidRPr="00ED018E" w:rsidRDefault="00ED018E" w:rsidP="00ED018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D018E">
        <w:rPr>
          <w:rFonts w:ascii="Times New Roman" w:eastAsia="Times New Roman" w:hAnsi="Times New Roman" w:cs="Times New Roman"/>
          <w:b/>
          <w:bCs/>
          <w:kern w:val="36"/>
          <w:sz w:val="24"/>
          <w:szCs w:val="24"/>
        </w:rPr>
        <w:t>4. Outcome / Results</w:t>
      </w:r>
    </w:p>
    <w:p w14:paraId="2F6C5585"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lastRenderedPageBreak/>
        <w:t>The project successfully established a computational workflow for studying enzyme–substrate interaction.</w:t>
      </w:r>
    </w:p>
    <w:p w14:paraId="6A19A15C"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Key Results</w:t>
      </w:r>
    </w:p>
    <w:p w14:paraId="745042A6"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Prepared enzyme and ligand structures for computational analysis. </w:t>
      </w:r>
    </w:p>
    <w:p w14:paraId="4619E0A7"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Converted molecular files into docking-compatible formats. </w:t>
      </w:r>
    </w:p>
    <w:p w14:paraId="69CC345E"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Performed molecular docking using </w:t>
      </w:r>
      <w:proofErr w:type="spellStart"/>
      <w:r w:rsidRPr="00ED018E">
        <w:rPr>
          <w:rFonts w:ascii="Times New Roman" w:eastAsia="Times New Roman" w:hAnsi="Times New Roman" w:cs="Times New Roman"/>
          <w:sz w:val="24"/>
          <w:szCs w:val="24"/>
        </w:rPr>
        <w:t>AutoDock</w:t>
      </w:r>
      <w:proofErr w:type="spellEnd"/>
      <w:r w:rsidRPr="00ED018E">
        <w:rPr>
          <w:rFonts w:ascii="Times New Roman" w:eastAsia="Times New Roman" w:hAnsi="Times New Roman" w:cs="Times New Roman"/>
          <w:sz w:val="24"/>
          <w:szCs w:val="24"/>
        </w:rPr>
        <w:t xml:space="preserve"> Vina. </w:t>
      </w:r>
    </w:p>
    <w:p w14:paraId="5A01E1D9"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Generated docked binding poses of the substrate with the enzyme. </w:t>
      </w:r>
    </w:p>
    <w:p w14:paraId="15422AA9"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Visualized the docked enzyme–substrate complex using </w:t>
      </w:r>
      <w:proofErr w:type="spellStart"/>
      <w:r w:rsidRPr="00ED018E">
        <w:rPr>
          <w:rFonts w:ascii="Times New Roman" w:eastAsia="Times New Roman" w:hAnsi="Times New Roman" w:cs="Times New Roman"/>
          <w:sz w:val="24"/>
          <w:szCs w:val="24"/>
        </w:rPr>
        <w:t>PyMOL</w:t>
      </w:r>
      <w:proofErr w:type="spellEnd"/>
      <w:r w:rsidRPr="00ED018E">
        <w:rPr>
          <w:rFonts w:ascii="Times New Roman" w:eastAsia="Times New Roman" w:hAnsi="Times New Roman" w:cs="Times New Roman"/>
          <w:sz w:val="24"/>
          <w:szCs w:val="24"/>
        </w:rPr>
        <w:t xml:space="preserve">. </w:t>
      </w:r>
    </w:p>
    <w:p w14:paraId="266B4D4B" w14:textId="77777777" w:rsidR="00ED018E" w:rsidRPr="00ED018E" w:rsidRDefault="00ED018E" w:rsidP="00ED018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Identified and highlighted the probable binding pocket region. </w:t>
      </w:r>
    </w:p>
    <w:p w14:paraId="7D80FD0D" w14:textId="77777777" w:rsidR="00ED018E" w:rsidRPr="00ED018E" w:rsidRDefault="00ED018E" w:rsidP="00ED018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Project Outcome</w:t>
      </w:r>
    </w:p>
    <w:p w14:paraId="5878CE83"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This project demonstrated how computational biology tools can be used to predict and visualize molecular interactions efficiently. It provided practical understanding of structural bioinformatics, molecular docking, and protein–ligand visualization.</w:t>
      </w:r>
    </w:p>
    <w:p w14:paraId="2D975BEC"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workflow developed in this project can be further extended for:</w:t>
      </w:r>
    </w:p>
    <w:p w14:paraId="22AE2887" w14:textId="77777777" w:rsidR="00ED018E" w:rsidRPr="00ED018E" w:rsidRDefault="00ED018E" w:rsidP="00ED018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enzyme engineering, </w:t>
      </w:r>
    </w:p>
    <w:p w14:paraId="0E559AF0" w14:textId="77777777" w:rsidR="00ED018E" w:rsidRPr="00ED018E" w:rsidRDefault="00ED018E" w:rsidP="00ED018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active site analysis, </w:t>
      </w:r>
    </w:p>
    <w:p w14:paraId="05259F24" w14:textId="77777777" w:rsidR="00ED018E" w:rsidRPr="00ED018E" w:rsidRDefault="00ED018E" w:rsidP="00ED018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substrate specificity studies, </w:t>
      </w:r>
    </w:p>
    <w:p w14:paraId="0F56D32A" w14:textId="77777777" w:rsidR="00ED018E" w:rsidRPr="00ED018E" w:rsidRDefault="00ED018E" w:rsidP="00ED018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 xml:space="preserve">and computational drug or biomolecule screening. </w:t>
      </w:r>
    </w:p>
    <w:p w14:paraId="10EFB6BF"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0314BB8D">
          <v:rect id="_x0000_i1090" style="width:0;height:1.5pt" o:hralign="center" o:hrstd="t" o:hr="t" fillcolor="#a0a0a0" stroked="f"/>
        </w:pict>
      </w:r>
    </w:p>
    <w:p w14:paraId="5742719C" w14:textId="77777777" w:rsidR="00ED018E" w:rsidRPr="00ED018E" w:rsidRDefault="00ED018E" w:rsidP="00ED018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D018E">
        <w:rPr>
          <w:rFonts w:ascii="Times New Roman" w:eastAsia="Times New Roman" w:hAnsi="Times New Roman" w:cs="Times New Roman"/>
          <w:b/>
          <w:bCs/>
          <w:sz w:val="24"/>
          <w:szCs w:val="24"/>
        </w:rPr>
        <w:t>Final Result Interpretation</w:t>
      </w:r>
    </w:p>
    <w:p w14:paraId="2B0D5EAA"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The docking and visualization outputs indicate a probable binding interaction between the enzyme and substrate. The highlighted pocket region suggests the likely active-site environment where the ligand is accommodated. The generated molecular complex can be used for further computational or experimental analysis.</w:t>
      </w:r>
    </w:p>
    <w:p w14:paraId="30DF9E5B" w14:textId="37928FB7" w:rsidR="00890BF2" w:rsidRDefault="00890BF2" w:rsidP="00ED018E">
      <w:pPr>
        <w:spacing w:before="100" w:beforeAutospacing="1" w:after="100" w:afterAutospacing="1" w:line="240" w:lineRule="auto"/>
        <w:jc w:val="both"/>
        <w:rPr>
          <w:rFonts w:ascii="Segoe UI Emoji" w:eastAsia="Times New Roman" w:hAnsi="Segoe UI Emoji" w:cs="Segoe UI Emoji"/>
          <w:b/>
          <w:bCs/>
          <w:sz w:val="24"/>
          <w:szCs w:val="24"/>
        </w:rPr>
      </w:pPr>
      <w:r>
        <w:rPr>
          <w:rFonts w:ascii="Segoe UI Emoji" w:eastAsia="Times New Roman" w:hAnsi="Segoe UI Emoji" w:cs="Segoe UI Emoji"/>
          <w:b/>
          <w:bCs/>
          <w:noProof/>
          <w:sz w:val="24"/>
          <w:szCs w:val="24"/>
        </w:rPr>
        <w:lastRenderedPageBreak/>
        <w:drawing>
          <wp:inline distT="0" distB="0" distL="0" distR="0" wp14:anchorId="0CA03713" wp14:editId="75BB0431">
            <wp:extent cx="5943600" cy="5225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5943600" cy="5225415"/>
                    </a:xfrm>
                    <a:prstGeom prst="rect">
                      <a:avLst/>
                    </a:prstGeom>
                  </pic:spPr>
                </pic:pic>
              </a:graphicData>
            </a:graphic>
          </wp:inline>
        </w:drawing>
      </w:r>
    </w:p>
    <w:p w14:paraId="06A51974" w14:textId="6FB5EA04"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b/>
          <w:bCs/>
          <w:sz w:val="24"/>
          <w:szCs w:val="24"/>
        </w:rPr>
        <w:t>Figure 6: Final docking result showing enzyme–substrate interaction</w:t>
      </w:r>
    </w:p>
    <w:p w14:paraId="06CE27A0" w14:textId="77777777" w:rsidR="00ED018E" w:rsidRPr="00ED018E" w:rsidRDefault="00ED018E" w:rsidP="00ED018E">
      <w:pPr>
        <w:spacing w:after="0"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pict w14:anchorId="4D6BAF3E">
          <v:rect id="_x0000_i1091" style="width:0;height:1.5pt" o:hralign="center" o:hrstd="t" o:hr="t" fillcolor="#a0a0a0" stroked="f"/>
        </w:pict>
      </w:r>
    </w:p>
    <w:p w14:paraId="2DD2C63F" w14:textId="77777777" w:rsidR="00ED018E" w:rsidRPr="00ED018E" w:rsidRDefault="00ED018E" w:rsidP="00ED018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D018E">
        <w:rPr>
          <w:rFonts w:ascii="Times New Roman" w:eastAsia="Times New Roman" w:hAnsi="Times New Roman" w:cs="Times New Roman"/>
          <w:b/>
          <w:bCs/>
          <w:kern w:val="36"/>
          <w:sz w:val="24"/>
          <w:szCs w:val="24"/>
        </w:rPr>
        <w:t>5. Conclusion</w:t>
      </w:r>
    </w:p>
    <w:p w14:paraId="0A0C1D4E"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This project successfully demonstrated a computational approach for studying enzyme–substrate interaction through structure preparation, molecular docking, and visualization. It provided practical exposure to important bioinformatics tools and techniques used in structural biology and molecular modeling.</w:t>
      </w:r>
    </w:p>
    <w:p w14:paraId="0DCCF894" w14:textId="77777777" w:rsidR="00ED018E" w:rsidRPr="00ED018E" w:rsidRDefault="00ED018E" w:rsidP="00ED018E">
      <w:pPr>
        <w:spacing w:before="100" w:beforeAutospacing="1" w:after="100" w:afterAutospacing="1" w:line="240" w:lineRule="auto"/>
        <w:jc w:val="both"/>
        <w:rPr>
          <w:rFonts w:ascii="Times New Roman" w:eastAsia="Times New Roman" w:hAnsi="Times New Roman" w:cs="Times New Roman"/>
          <w:sz w:val="24"/>
          <w:szCs w:val="24"/>
        </w:rPr>
      </w:pPr>
      <w:r w:rsidRPr="00ED018E">
        <w:rPr>
          <w:rFonts w:ascii="Times New Roman" w:eastAsia="Times New Roman" w:hAnsi="Times New Roman" w:cs="Times New Roman"/>
          <w:sz w:val="24"/>
          <w:szCs w:val="24"/>
        </w:rPr>
        <w:t>Through this project, valuable understanding was gained in file preparation, docking workflow execution, protein–ligand interaction analysis, and structural visualization. The project can serve as a foundation for future work in enzyme engineering, molecular screening, and computational biology research.</w:t>
      </w:r>
    </w:p>
    <w:p w14:paraId="5C60F04A" w14:textId="77777777" w:rsidR="00F27DF0" w:rsidRPr="00ED018E" w:rsidRDefault="00F27DF0" w:rsidP="00ED018E">
      <w:pPr>
        <w:jc w:val="both"/>
        <w:rPr>
          <w:rFonts w:ascii="Times New Roman" w:hAnsi="Times New Roman" w:cs="Times New Roman"/>
          <w:sz w:val="24"/>
          <w:szCs w:val="24"/>
        </w:rPr>
      </w:pPr>
    </w:p>
    <w:sectPr w:rsidR="00F27DF0" w:rsidRPr="00ED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0145"/>
    <w:multiLevelType w:val="multilevel"/>
    <w:tmpl w:val="E2A8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172"/>
    <w:multiLevelType w:val="multilevel"/>
    <w:tmpl w:val="D12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4EE1"/>
    <w:multiLevelType w:val="multilevel"/>
    <w:tmpl w:val="CA4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45E4"/>
    <w:multiLevelType w:val="multilevel"/>
    <w:tmpl w:val="17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856A1"/>
    <w:multiLevelType w:val="multilevel"/>
    <w:tmpl w:val="40DA4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B6BB6"/>
    <w:multiLevelType w:val="multilevel"/>
    <w:tmpl w:val="D25A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3B1D"/>
    <w:multiLevelType w:val="multilevel"/>
    <w:tmpl w:val="12A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31BEF"/>
    <w:multiLevelType w:val="multilevel"/>
    <w:tmpl w:val="CDB8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04FF1"/>
    <w:multiLevelType w:val="multilevel"/>
    <w:tmpl w:val="257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22409"/>
    <w:multiLevelType w:val="multilevel"/>
    <w:tmpl w:val="2BD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90BE6"/>
    <w:multiLevelType w:val="multilevel"/>
    <w:tmpl w:val="623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17E99"/>
    <w:multiLevelType w:val="multilevel"/>
    <w:tmpl w:val="F60A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464D"/>
    <w:multiLevelType w:val="multilevel"/>
    <w:tmpl w:val="789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750DC"/>
    <w:multiLevelType w:val="multilevel"/>
    <w:tmpl w:val="8B7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24037"/>
    <w:multiLevelType w:val="multilevel"/>
    <w:tmpl w:val="A51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41822"/>
    <w:multiLevelType w:val="multilevel"/>
    <w:tmpl w:val="F078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77B2C"/>
    <w:multiLevelType w:val="multilevel"/>
    <w:tmpl w:val="47480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A374D"/>
    <w:multiLevelType w:val="multilevel"/>
    <w:tmpl w:val="88A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15756"/>
    <w:multiLevelType w:val="multilevel"/>
    <w:tmpl w:val="7DD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A5374"/>
    <w:multiLevelType w:val="multilevel"/>
    <w:tmpl w:val="921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B5297"/>
    <w:multiLevelType w:val="multilevel"/>
    <w:tmpl w:val="729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C3F2A"/>
    <w:multiLevelType w:val="multilevel"/>
    <w:tmpl w:val="031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46BE9"/>
    <w:multiLevelType w:val="multilevel"/>
    <w:tmpl w:val="511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D2344"/>
    <w:multiLevelType w:val="multilevel"/>
    <w:tmpl w:val="1B0E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1157">
    <w:abstractNumId w:val="21"/>
  </w:num>
  <w:num w:numId="2" w16cid:durableId="529875463">
    <w:abstractNumId w:val="13"/>
  </w:num>
  <w:num w:numId="3" w16cid:durableId="1322928844">
    <w:abstractNumId w:val="2"/>
  </w:num>
  <w:num w:numId="4" w16cid:durableId="744566317">
    <w:abstractNumId w:val="18"/>
  </w:num>
  <w:num w:numId="5" w16cid:durableId="849175470">
    <w:abstractNumId w:val="4"/>
  </w:num>
  <w:num w:numId="6" w16cid:durableId="1158308404">
    <w:abstractNumId w:val="23"/>
  </w:num>
  <w:num w:numId="7" w16cid:durableId="683096130">
    <w:abstractNumId w:val="5"/>
  </w:num>
  <w:num w:numId="8" w16cid:durableId="1760175900">
    <w:abstractNumId w:val="15"/>
  </w:num>
  <w:num w:numId="9" w16cid:durableId="100224564">
    <w:abstractNumId w:val="0"/>
  </w:num>
  <w:num w:numId="10" w16cid:durableId="1931085241">
    <w:abstractNumId w:val="22"/>
  </w:num>
  <w:num w:numId="11" w16cid:durableId="1209607731">
    <w:abstractNumId w:val="10"/>
  </w:num>
  <w:num w:numId="12" w16cid:durableId="445276946">
    <w:abstractNumId w:val="20"/>
  </w:num>
  <w:num w:numId="13" w16cid:durableId="653872299">
    <w:abstractNumId w:val="7"/>
  </w:num>
  <w:num w:numId="14" w16cid:durableId="202864340">
    <w:abstractNumId w:val="6"/>
  </w:num>
  <w:num w:numId="15" w16cid:durableId="1813785499">
    <w:abstractNumId w:val="12"/>
  </w:num>
  <w:num w:numId="16" w16cid:durableId="293411369">
    <w:abstractNumId w:val="17"/>
  </w:num>
  <w:num w:numId="17" w16cid:durableId="1381396347">
    <w:abstractNumId w:val="11"/>
  </w:num>
  <w:num w:numId="18" w16cid:durableId="467941825">
    <w:abstractNumId w:val="19"/>
  </w:num>
  <w:num w:numId="19" w16cid:durableId="1370914309">
    <w:abstractNumId w:val="1"/>
  </w:num>
  <w:num w:numId="20" w16cid:durableId="1513301249">
    <w:abstractNumId w:val="16"/>
  </w:num>
  <w:num w:numId="21" w16cid:durableId="1644310902">
    <w:abstractNumId w:val="3"/>
  </w:num>
  <w:num w:numId="22" w16cid:durableId="1070227990">
    <w:abstractNumId w:val="14"/>
  </w:num>
  <w:num w:numId="23" w16cid:durableId="673728180">
    <w:abstractNumId w:val="9"/>
  </w:num>
  <w:num w:numId="24" w16cid:durableId="798113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8E"/>
    <w:rsid w:val="00890BF2"/>
    <w:rsid w:val="00ED018E"/>
    <w:rsid w:val="00F2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8D7A"/>
  <w15:chartTrackingRefBased/>
  <w15:docId w15:val="{8F9DDBB7-9B3C-4772-8D2B-640F63E7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01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01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01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01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018E"/>
    <w:rPr>
      <w:rFonts w:ascii="Times New Roman" w:eastAsia="Times New Roman" w:hAnsi="Times New Roman" w:cs="Times New Roman"/>
      <w:b/>
      <w:bCs/>
      <w:sz w:val="27"/>
      <w:szCs w:val="27"/>
    </w:rPr>
  </w:style>
  <w:style w:type="character" w:styleId="Strong">
    <w:name w:val="Strong"/>
    <w:basedOn w:val="DefaultParagraphFont"/>
    <w:uiPriority w:val="22"/>
    <w:qFormat/>
    <w:rsid w:val="00ED018E"/>
    <w:rPr>
      <w:b/>
      <w:bCs/>
    </w:rPr>
  </w:style>
  <w:style w:type="paragraph" w:styleId="NormalWeb">
    <w:name w:val="Normal (Web)"/>
    <w:basedOn w:val="Normal"/>
    <w:uiPriority w:val="99"/>
    <w:semiHidden/>
    <w:unhideWhenUsed/>
    <w:rsid w:val="00ED018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018E"/>
    <w:rPr>
      <w:rFonts w:ascii="Courier New" w:eastAsia="Times New Roman" w:hAnsi="Courier New" w:cs="Courier New"/>
      <w:sz w:val="20"/>
      <w:szCs w:val="20"/>
    </w:rPr>
  </w:style>
  <w:style w:type="table" w:styleId="TableGrid">
    <w:name w:val="Table Grid"/>
    <w:basedOn w:val="TableNormal"/>
    <w:uiPriority w:val="39"/>
    <w:rsid w:val="00ED0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37577">
      <w:bodyDiv w:val="1"/>
      <w:marLeft w:val="0"/>
      <w:marRight w:val="0"/>
      <w:marTop w:val="0"/>
      <w:marBottom w:val="0"/>
      <w:divBdr>
        <w:top w:val="none" w:sz="0" w:space="0" w:color="auto"/>
        <w:left w:val="none" w:sz="0" w:space="0" w:color="auto"/>
        <w:bottom w:val="none" w:sz="0" w:space="0" w:color="auto"/>
        <w:right w:val="none" w:sz="0" w:space="0" w:color="auto"/>
      </w:divBdr>
      <w:divsChild>
        <w:div w:id="1165435421">
          <w:marLeft w:val="0"/>
          <w:marRight w:val="0"/>
          <w:marTop w:val="0"/>
          <w:marBottom w:val="0"/>
          <w:divBdr>
            <w:top w:val="none" w:sz="0" w:space="0" w:color="auto"/>
            <w:left w:val="none" w:sz="0" w:space="0" w:color="auto"/>
            <w:bottom w:val="none" w:sz="0" w:space="0" w:color="auto"/>
            <w:right w:val="none" w:sz="0" w:space="0" w:color="auto"/>
          </w:divBdr>
          <w:divsChild>
            <w:div w:id="16458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3944">
      <w:bodyDiv w:val="1"/>
      <w:marLeft w:val="0"/>
      <w:marRight w:val="0"/>
      <w:marTop w:val="0"/>
      <w:marBottom w:val="0"/>
      <w:divBdr>
        <w:top w:val="none" w:sz="0" w:space="0" w:color="auto"/>
        <w:left w:val="none" w:sz="0" w:space="0" w:color="auto"/>
        <w:bottom w:val="none" w:sz="0" w:space="0" w:color="auto"/>
        <w:right w:val="none" w:sz="0" w:space="0" w:color="auto"/>
      </w:divBdr>
      <w:divsChild>
        <w:div w:id="118306007">
          <w:marLeft w:val="0"/>
          <w:marRight w:val="0"/>
          <w:marTop w:val="0"/>
          <w:marBottom w:val="0"/>
          <w:divBdr>
            <w:top w:val="none" w:sz="0" w:space="0" w:color="auto"/>
            <w:left w:val="none" w:sz="0" w:space="0" w:color="auto"/>
            <w:bottom w:val="none" w:sz="0" w:space="0" w:color="auto"/>
            <w:right w:val="none" w:sz="0" w:space="0" w:color="auto"/>
          </w:divBdr>
          <w:divsChild>
            <w:div w:id="824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2026-04-07T07:23:00Z</dcterms:created>
  <dcterms:modified xsi:type="dcterms:W3CDTF">2026-04-07T07:38:00Z</dcterms:modified>
</cp:coreProperties>
</file>