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AI integrations, and data pipelines, leveraging expertise in React Native, TypeScript, and cloud infrastructure to drive business growth and operational efficiency.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Cloud infrastructure,  Multi-tenancy,  Idempotency,  Retry mechanisms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backend systems to power AI-driven social shopping experiences,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data pipelines and workflows to integrate with Gemini APIs, supporting thousands of concurrent users and driving business growth.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idempotent APIs, retry mechanisms, and rate limiting to ensure system resilience and prevent silent failures.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define and implement evals and regression checks, ensuring high-quality production systems.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cross-platform wellness apps with React Native, integrating Gemini, OpenAI, and Spoonacular APIs to provide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and workflows to support real-time personalization, ensuring data quality and freshness.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maintainable backend systems, leveraging TypeScript and Supabase to support multi-tenant environments.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healthcare appointment booking apps with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backend systems to support multi-tenant environments, including config, permissions, and evolving schemas.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define and implement evals and regression checks, ensuring high-quality production systems.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using LSTM-based architectures, achieving 92% accuracy in time-series forecasting.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web applications to present predictive analytics, ensuring WCAG accessibility compliance and data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