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采购管理制度</w:t>
      </w:r>
    </w:p>
    <w:p>
      <w:pPr>
        <w:pStyle w:val="Heading2"/>
      </w:pPr>
      <w:r>
        <w:t>一、采购申请流程</w:t>
      </w:r>
    </w:p>
    <w:p>
      <w:r>
        <w:t>各部门采购需求需提前填写《采购申请单》，注明采购物品、数量、预算金额及用途，经部门负责人审批后提交采购部。单笔采购金额在 5000 元以下由部门负责人审批即可，5000 元至 5 万元需总监审批，超过 5 万元需总经理审批，超过 20 万元需走招标流程。</w:t>
      </w:r>
    </w:p>
    <w:p>
      <w:pPr>
        <w:pStyle w:val="Heading2"/>
      </w:pPr>
      <w:r>
        <w:t>二、供应商管理</w:t>
      </w:r>
    </w:p>
    <w:p>
      <w:r>
        <w:t>新供应商合作前需通过采购部资质审核，提交营业执照、税务登记证明、银行开户信息等材料。供应商分为 A/B/C 三级，A 级供应商为长期战略合作伙伴，享有优先付款及账期延长权益；B 级为常规合作供应商；C 级为一次性或试用期供应商，需在合作满 6 个月且无质量问题后方可升级为 B 级。</w:t>
      </w:r>
    </w:p>
    <w:p>
      <w:pPr>
        <w:pStyle w:val="Heading2"/>
      </w:pPr>
      <w:r>
        <w:t>三、付款与验收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采购金额区间</w:t>
            </w:r>
          </w:p>
        </w:tc>
        <w:tc>
          <w:tcPr>
            <w:tcW w:type="dxa" w:w="4320"/>
          </w:tcPr>
          <w:p>
            <w:r>
              <w:t>付款周期</w:t>
            </w:r>
          </w:p>
        </w:tc>
      </w:tr>
      <w:tr>
        <w:tc>
          <w:tcPr>
            <w:tcW w:type="dxa" w:w="4320"/>
          </w:tcPr>
          <w:p>
            <w:r>
              <w:t>5000元以下</w:t>
            </w:r>
          </w:p>
        </w:tc>
        <w:tc>
          <w:tcPr>
            <w:tcW w:type="dxa" w:w="4320"/>
          </w:tcPr>
          <w:p>
            <w:r>
              <w:t>验收合格后7个工作日内</w:t>
            </w:r>
          </w:p>
        </w:tc>
      </w:tr>
      <w:tr>
        <w:tc>
          <w:tcPr>
            <w:tcW w:type="dxa" w:w="4320"/>
          </w:tcPr>
          <w:p>
            <w:r>
              <w:t>5000-5万元</w:t>
            </w:r>
          </w:p>
        </w:tc>
        <w:tc>
          <w:tcPr>
            <w:tcW w:type="dxa" w:w="4320"/>
          </w:tcPr>
          <w:p>
            <w:r>
              <w:t>验收合格后15个工作日内</w:t>
            </w:r>
          </w:p>
        </w:tc>
      </w:tr>
      <w:tr>
        <w:tc>
          <w:tcPr>
            <w:tcW w:type="dxa" w:w="4320"/>
          </w:tcPr>
          <w:p>
            <w:r>
              <w:t>5万元以上</w:t>
            </w:r>
          </w:p>
        </w:tc>
        <w:tc>
          <w:tcPr>
            <w:tcW w:type="dxa" w:w="4320"/>
          </w:tcPr>
          <w:p>
            <w:r>
              <w:t>按合同约定账期，一般30-60天</w:t>
            </w:r>
          </w:p>
        </w:tc>
      </w:tr>
    </w:tbl>
    <w:p>
      <w:r>
        <w:t>采购物品到货后需由使用部门及采购部共同验收，验收不合格的物品供应商需在 7 天内退换，逾期未处理的，公司有权扣除质保金并记入供应商不良记录。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