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Projektbericht</w:t>
        <w:br/>
      </w:r>
      <w:r>
        <w:rPr>
          <w:sz w:val="40"/>
        </w:rPr>
        <w:t>Vom physikalischen Kernkonzept bis zum aktuellen Stand des Typ‑B‑Ausschlusstests</w:t>
      </w:r>
    </w:p>
    <w:p>
      <w:pPr>
        <w:pStyle w:val="SubtitleCustom"/>
      </w:pPr>
      <w:r>
        <w:t>Interner, menschenlesbarer Entwicklungsbericht</w:t>
      </w:r>
    </w:p>
    <w:p>
      <w:pPr>
        <w:pStyle w:val="BodyLead"/>
        <w:spacing w:before="360"/>
      </w:pPr>
      <w:r>
        <w:t xml:space="preserve">Ziel dieses Berichts ist es, den roten Faden des Projekts nachvollziehbar darzustellen: </w:t>
      </w:r>
      <w:r>
        <w:rPr>
          <w:b/>
        </w:rPr>
        <w:t>von der physikalischen Ausgangsidee über die numerische und methodische Entwicklung bis zum derzeitigen Arbeitsstand.</w:t>
      </w:r>
      <w:r>
        <w:t xml:space="preserve"> Er ist nicht als Werbetext geschrieben, sondern als lesbarer Zwischenstand für Menschen, die sowohl das inhaltliche Motiv als auch die innere Logik der Entwicklungsarbeit verstehen wollen.</w:t>
      </w:r>
    </w:p>
    <w:tbl>
      <w:tblPr>
        <w:tblW w:type="auto" w:w="0"/>
        <w:jc w:val="left"/>
        <w:tblLook w:firstColumn="1" w:firstRow="1" w:lastColumn="0" w:lastRow="0" w:noHBand="0" w:noVBand="1" w:val="04A0"/>
        <w:tblBorders>
          <w:top w:val="single" w:sz="6" w:color="D7DEE6" w:space="0"/>
          <w:left w:val="single" w:sz="6" w:color="D7DEE6" w:space="0"/>
          <w:bottom w:val="single" w:sz="6" w:color="D7DEE6" w:space="0"/>
          <w:right w:val="single" w:sz="6" w:color="D7DEE6" w:space="0"/>
          <w:insideH w:val="single" w:sz="6" w:color="D7DEE6" w:space="0"/>
          <w:insideV w:val="single" w:sz="6" w:color="D7DEE6" w:space="0"/>
        </w:tblBorders>
      </w:tblPr>
      <w:tblGrid>
        <w:gridCol w:w="2268"/>
        <w:gridCol w:w="5953"/>
      </w:tblGrid>
      <w:tr>
        <w:tc>
          <w:tcPr>
            <w:tcW w:type="dxa" w:w="4873"/>
            <w:tcMar>
              <w:top w:w="90" w:type="dxa"/>
              <w:start w:w="110" w:type="dxa"/>
              <w:bottom w:w="90" w:type="dxa"/>
              <w:end w:w="110" w:type="dxa"/>
            </w:tcMar>
            <w:vAlign w:val="center"/>
            <w:shd w:fill="EEF3F7"/>
          </w:tcPr>
          <w:p>
            <w:r>
              <w:rPr>
                <w:b/>
                <w:color w:val="183A5A"/>
                <w:sz w:val="20"/>
              </w:rPr>
              <w:t>Projekt</w:t>
            </w:r>
          </w:p>
        </w:tc>
        <w:tc>
          <w:tcPr>
            <w:tcW w:type="dxa" w:w="4873"/>
            <w:tcMar>
              <w:top w:w="90" w:type="dxa"/>
              <w:start w:w="110" w:type="dxa"/>
              <w:bottom w:w="90" w:type="dxa"/>
              <w:end w:w="110" w:type="dxa"/>
            </w:tcMar>
            <w:vAlign w:val="center"/>
          </w:tcPr>
          <w:p>
            <w:r>
              <w:rPr>
                <w:sz w:val="20"/>
              </w:rPr>
              <w:t>Gravitation und RaumZeit / Relationale Phase — Emergenz von Geometrie ohne vorgegebene Raumzeit</w:t>
            </w:r>
          </w:p>
        </w:tc>
      </w:tr>
      <w:tr>
        <w:tc>
          <w:tcPr>
            <w:tcW w:type="dxa" w:w="4873"/>
            <w:tcMar>
              <w:top w:w="90" w:type="dxa"/>
              <w:start w:w="110" w:type="dxa"/>
              <w:bottom w:w="90" w:type="dxa"/>
              <w:end w:w="110" w:type="dxa"/>
            </w:tcMar>
            <w:vAlign w:val="center"/>
            <w:shd w:fill="EEF3F7"/>
          </w:tcPr>
          <w:p>
            <w:r>
              <w:rPr>
                <w:b/>
                <w:color w:val="183A5A"/>
                <w:sz w:val="20"/>
              </w:rPr>
              <w:t>Fokus dieses Berichts</w:t>
            </w:r>
          </w:p>
        </w:tc>
        <w:tc>
          <w:tcPr>
            <w:tcW w:type="dxa" w:w="4873"/>
            <w:tcMar>
              <w:top w:w="90" w:type="dxa"/>
              <w:start w:w="110" w:type="dxa"/>
              <w:bottom w:w="90" w:type="dxa"/>
              <w:end w:w="110" w:type="dxa"/>
            </w:tcMar>
            <w:vAlign w:val="center"/>
          </w:tcPr>
          <w:p>
            <w:r>
              <w:rPr>
                <w:sz w:val="20"/>
              </w:rPr>
              <w:t>Theoretischer Entwicklungsfaden und methodische Härtung bis zum Typ‑B‑Ausschlusstest M.3.9x.3g</w:t>
            </w:r>
          </w:p>
        </w:tc>
      </w:tr>
      <w:tr>
        <w:tc>
          <w:tcPr>
            <w:tcW w:type="dxa" w:w="4873"/>
            <w:tcMar>
              <w:top w:w="90" w:type="dxa"/>
              <w:start w:w="110" w:type="dxa"/>
              <w:bottom w:w="90" w:type="dxa"/>
              <w:end w:w="110" w:type="dxa"/>
            </w:tcMar>
            <w:vAlign w:val="center"/>
            <w:shd w:fill="EEF3F7"/>
          </w:tcPr>
          <w:p>
            <w:r>
              <w:rPr>
                <w:b/>
                <w:color w:val="183A5A"/>
                <w:sz w:val="20"/>
              </w:rPr>
              <w:t>Status</w:t>
            </w:r>
          </w:p>
        </w:tc>
        <w:tc>
          <w:tcPr>
            <w:tcW w:type="dxa" w:w="4873"/>
            <w:tcMar>
              <w:top w:w="90" w:type="dxa"/>
              <w:start w:w="110" w:type="dxa"/>
              <w:bottom w:w="90" w:type="dxa"/>
              <w:end w:w="110" w:type="dxa"/>
            </w:tcMar>
            <w:vAlign w:val="center"/>
          </w:tcPr>
          <w:p>
            <w:r>
              <w:rPr>
                <w:sz w:val="20"/>
              </w:rPr>
              <w:t>Interner Projektbericht, Stand nach gehärtetem Protokoll mit O2 als Hauptreferenz und O3 als Stütz-/Replikationsvariante</w:t>
            </w:r>
          </w:p>
        </w:tc>
      </w:tr>
      <w:tr>
        <w:tc>
          <w:tcPr>
            <w:tcW w:type="dxa" w:w="4873"/>
            <w:tcMar>
              <w:top w:w="90" w:type="dxa"/>
              <w:start w:w="110" w:type="dxa"/>
              <w:bottom w:w="90" w:type="dxa"/>
              <w:end w:w="110" w:type="dxa"/>
            </w:tcMar>
            <w:vAlign w:val="center"/>
            <w:shd w:fill="EEF3F7"/>
          </w:tcPr>
          <w:p>
            <w:r>
              <w:rPr>
                <w:b/>
                <w:color w:val="183A5A"/>
                <w:sz w:val="20"/>
              </w:rPr>
              <w:t>Ton</w:t>
            </w:r>
          </w:p>
        </w:tc>
        <w:tc>
          <w:tcPr>
            <w:tcW w:type="dxa" w:w="4873"/>
            <w:tcMar>
              <w:top w:w="90" w:type="dxa"/>
              <w:start w:w="110" w:type="dxa"/>
              <w:bottom w:w="90" w:type="dxa"/>
              <w:end w:w="110" w:type="dxa"/>
            </w:tcMar>
            <w:vAlign w:val="center"/>
          </w:tcPr>
          <w:p>
            <w:r>
              <w:rPr>
                <w:sz w:val="20"/>
              </w:rPr>
              <w:t>Defensiv, lesbar, nachvollziehbar; starke Befunde werden benannt, offene Flanken ebenfalls</w:t>
            </w:r>
          </w:p>
        </w:tc>
      </w:tr>
    </w:tbl>
    <w:p>
      <w:r>
        <w:br/>
      </w:r>
    </w:p>
    <w:p>
      <w:pPr>
        <w:pStyle w:val="Heading1Custom"/>
      </w:pPr>
      <w:r>
        <w:t>Kurzüberblick</w:t>
      </w:r>
    </w:p>
    <w:p>
      <w:pPr>
        <w:pStyle w:val="BodyLead"/>
        <w:spacing w:after="100"/>
      </w:pPr>
      <w:r>
        <w:t>Das Projekt verfolgt die Leitidee, Geometrie und Raumzeit nicht als vorab gegebene Bühne anzusetzen, sondern als emergente Struktur aus Relationen zwischen Zuständen. Ausgangspunkt ist eine wellenbasierte, relationale Sicht: Die fundamentale Größe ist nicht der Ort eines Objekts, sondern die Stärke und Struktur seiner Korrelationen mit anderen Zuständen.</w:t>
      </w:r>
    </w:p>
    <w:p>
      <w:pPr>
        <w:spacing w:after="100"/>
      </w:pPr>
      <w:r>
        <w:t>Auf dieser Basis wurde schrittweise eine Brücke von physikalischer Theorie zu numerisch prüfbaren Diagnosen gebaut. Ein zentraler methodischer Lernprozess bestand darin, schöne Lesarten nicht einfach zu bestätigen, sondern durch Negativtests, Kontrollmodelle und Härtungsschritte unter Druck zu setzen.</w:t>
      </w:r>
    </w:p>
    <w:p>
      <w:pPr>
        <w:ind w:left="283" w:hanging="198"/>
      </w:pPr>
      <w:r>
        <w:rPr>
          <w:b/>
        </w:rPr>
        <w:t xml:space="preserve">• </w:t>
      </w:r>
      <w:r>
        <w:t>Physikalischer Kern: relationale Korrelationen, de‑Broglie‑Motiv als Brücke, emergente Distanz über Überlappungsstrukturen.</w:t>
      </w:r>
    </w:p>
    <w:p>
      <w:pPr>
        <w:ind w:left="283" w:hanging="198"/>
      </w:pPr>
      <w:r>
        <w:rPr>
          <w:b/>
        </w:rPr>
        <w:t xml:space="preserve">• </w:t>
      </w:r>
      <w:r>
        <w:t>Numerischer Kern: Gram‑/Graph‑Pipeline, aus Relationen abgeleitete Diagnosegrößen, später threshold‑freie und resampling‑basierte Härtung.</w:t>
      </w:r>
    </w:p>
    <w:p>
      <w:pPr>
        <w:ind w:left="283" w:hanging="198"/>
      </w:pPr>
      <w:r>
        <w:rPr>
          <w:b/>
        </w:rPr>
        <w:t xml:space="preserve">• </w:t>
      </w:r>
      <w:r>
        <w:t>Aktueller Schwerpunkt: Typ‑B‑Raum — insbesondere die Frage, ob FSW und AO echte Teilstrukturen eines kohärenten Zwischenraums sind oder nur ein Restbehälter für Nicht‑A/C/D‑Modelle.</w:t>
      </w:r>
    </w:p>
    <w:p>
      <w:pPr>
        <w:ind w:left="283" w:hanging="198"/>
      </w:pPr>
      <w:r>
        <w:rPr>
          <w:b/>
        </w:rPr>
        <w:t xml:space="preserve">• </w:t>
      </w:r>
      <w:r>
        <w:t>Der jetzige Stand ist positiv, aber bewusst defensiv formuliert: Typ‑B‑Ausschluss ist unter dem aktuellen gehärteten Protokoll gestützt, nicht als endgültiger externer Beweis abgeschlossen.</w:t>
      </w:r>
    </w:p>
    <w:p>
      <w:pPr>
        <w:pStyle w:val="Heading1Custom"/>
      </w:pPr>
      <w:r>
        <w:t>1. Die physikalische Ausgangsidee</w:t>
      </w:r>
    </w:p>
    <w:p>
      <w:pPr>
        <w:pStyle w:val="Heading2Custom"/>
      </w:pPr>
      <w:r>
        <w:t>1.1 Motivation</w:t>
      </w:r>
    </w:p>
    <w:p>
      <w:pPr>
        <w:spacing w:after="100"/>
      </w:pPr>
      <w:r>
        <w:t>Der Ausgangsimpuls des Projekts ist einfach und radikal zugleich: Wenn Raum und Zeit in der heutigen Physik oft die Bühne sind, auf der alles geschieht, dann stellt sich die Frage, ob diese Bühne selbst aus etwas Tieferem entstehen kann. Die Arbeitshypothese lautet: Nicht primär Punkte im Raum sind fundamental, sondern Relationen zwischen Zuständen.</w:t>
      </w:r>
    </w:p>
    <w:p>
      <w:pPr>
        <w:spacing w:after="100"/>
      </w:pPr>
      <w:r>
        <w:t>Damit verschiebt sich der Blick. Eine physikalische Welt wird dann nicht zuerst als Koordinatensystem gedacht, sondern als Netz gegenseitiger Bezüge, Überlappungen und Phasenbeziehungen. Diese Relationen müssen so reich sein, dass aus ihnen später geometrische Nähe, Trennung, Dynamik und Grenzphänomene wiedergewonnen werden können.</w:t>
      </w:r>
    </w:p>
    <w:p>
      <w:pPr>
        <w:pStyle w:val="Heading2Custom"/>
      </w:pPr>
      <w:r>
        <w:t>1.2 Der relationale Kern</w:t>
      </w:r>
    </w:p>
    <w:p>
      <w:pPr>
        <w:spacing w:after="100"/>
      </w:pPr>
      <w:r>
        <w:t>Im Zentrum steht eine Korrelationsmatrix vom Typ K_ij = ⟨ψ_i | ψ_j⟩. Sie kodiert, wie stark zwei Zustände einander überlappen. Nicht der absolute Ort der Zustände ist fundamental, sondern die Struktur dieser Überlappungen.</w:t>
      </w:r>
    </w:p>
    <w:p>
      <w:pPr>
        <w:spacing w:after="100"/>
      </w:pPr>
      <w:r>
        <w:t>Aus der Amplitude der Überlappung wird eine emergente Distanz abgeleitet. Der zentrale Gedanke ist: Starke Überlappung entspricht geringer relationaler Distanz, schwache Überlappung großer Distanz. Die logarithmische Abbildung ist hier wichtig, weil sie Multiplikativität von Überlappungen in additive Distanz übersetzt.</w:t>
      </w:r>
    </w:p>
    <w:p>
      <w:pPr>
        <w:pStyle w:val="Heading2Custom"/>
      </w:pPr>
      <w:r>
        <w:t>1.3 Warum de Broglie in dieser Geschichte wichtig ist</w:t>
      </w:r>
    </w:p>
    <w:p>
      <w:pPr>
        <w:spacing w:after="100"/>
      </w:pPr>
      <w:r>
        <w:t>Das de‑Broglie‑Motiv ist in diesem Projekt keine Dekoration, sondern eine Brückenidee. De‑Broglie‑Wellen machen sichtbar, dass Materie, Dynamik und Phasenstruktur zusammengehören. Genau diese Verbindung ist für eine Theorie attraktiv, die Geometrie nicht voraussetzt, sondern aus wellenbasierten Relationen emergieren lassen will.</w:t>
      </w:r>
    </w:p>
    <w:p>
      <w:pPr>
        <w:spacing w:after="100"/>
      </w:pPr>
      <w:r>
        <w:t>Die Arbeitshaltung war daher von Anfang an: nicht einfach neue Felder oder zusätzliche ontologische Bausteine erfinden, sondern prüfen, wie weit man mit einer minimalen, relationale‑wellenbasierten Konstruktion kommt.</w:t>
      </w:r>
    </w:p>
    <w:p>
      <w:pPr>
        <w:pStyle w:val="Heading1Custom"/>
      </w:pPr>
      <w:r>
        <w:t>2. Von der Theorie zur numerischen Pipeline</w:t>
      </w:r>
    </w:p>
    <w:p>
      <w:pPr>
        <w:pStyle w:val="Heading2Custom"/>
      </w:pPr>
      <w:r>
        <w:t>2.1 Der Übergang vom Konzept zum Test</w:t>
      </w:r>
    </w:p>
    <w:p>
      <w:pPr>
        <w:spacing w:after="100"/>
      </w:pPr>
      <w:r>
        <w:t>Ein Projekt dieser Art scheitert leicht an einem klassischen Problem: Die Theorie klingt spannend, aber sie produziert keine prüfbaren Strukturen. Deshalb wurde früh eine numerische Pipeline aufgebaut, die aus dem Korrelationskern diagnostische Größen konstruiert.</w:t>
      </w:r>
    </w:p>
    <w:p>
      <w:pPr>
        <w:spacing w:after="100"/>
      </w:pPr>
      <w:r>
        <w:t>Die Logik lässt sich grob so lesen: Aus einem Phasen- oder Zustandsensemble wird zunächst ein Gram‑Objekt gebaut, daraus ein Graph bzw. eine Nachbarschaftsstruktur, und daraus werden Diagnosegrößen gewonnen, die Unterschiede zwischen Regimen sichtbar machen.</w:t>
      </w:r>
    </w:p>
    <w:p>
      <w:pPr>
        <w:pStyle w:val="Heading2Custom"/>
      </w:pPr>
      <w:r>
        <w:t>2.2 Methodische Grundhaltung</w:t>
      </w:r>
    </w:p>
    <w:p>
      <w:pPr>
        <w:spacing w:after="100"/>
      </w:pPr>
      <w:r>
        <w:t>Wichtig war dabei immer eine defensive Wissenschaftshaltung: Definition, Ableitung, Interpretation und numerischer Befund sollten getrennt bleiben. Numerik sollte nicht durch rhetorische Wucht ersetzt werden. Wenn ein Test eine geliebte Lesart beschädigt, wird nicht der Test abgeräumt, sondern die Lesart präzisiert.</w:t>
      </w:r>
    </w:p>
    <w:p>
      <w:pPr>
        <w:pStyle w:val="Heading2Custom"/>
      </w:pPr>
      <w:r>
        <w:t>2.3 Warum der rote Faden wichtig ist</w:t>
      </w:r>
    </w:p>
    <w:p>
      <w:pPr>
        <w:spacing w:after="100"/>
      </w:pPr>
      <w:r>
        <w:t>Viele Projekte sterben nicht an fehlender Intelligenz, sondern an lokaler Intelligenz ohne Gesamtkompass. Deshalb wurde das Projekt zunehmend als orchestrierter Baukasten verstanden: Jede neue Diagnose, jeder Test und jede Kontrollfamilie muss sich daran messen lassen, ob sie den roten Faden stärkt oder nur lokale Raffinesse produziert.</w:t>
      </w:r>
    </w:p>
    <w:p>
      <w:pPr>
        <w:pStyle w:val="Heading1Custom"/>
      </w:pPr>
      <w:r>
        <w:t>3. Der Weg in die Typ‑B‑Frage</w:t>
      </w:r>
    </w:p>
    <w:p>
      <w:pPr>
        <w:pStyle w:val="Heading2Custom"/>
      </w:pPr>
      <w:r>
        <w:t>3.1 Worum es bei Typ B geht</w:t>
      </w:r>
    </w:p>
    <w:p>
      <w:pPr>
        <w:spacing w:after="100"/>
      </w:pPr>
      <w:r>
        <w:t>Im späteren Projektverlauf verdichtete sich die Aufmerksamkeit auf einen Zwischenraum, der weder klar Typ A noch Typ C oder Typ D war. Genau daraus entstand die Typ‑B‑Frage: Liegt hier eine kohärente, strukturierte Klasse vor, oder nur ein Auffangraum für Modelle, die anderswo nicht gut hineinpassen?</w:t>
      </w:r>
    </w:p>
    <w:p>
      <w:pPr>
        <w:spacing w:after="100"/>
      </w:pPr>
      <w:r>
        <w:t>Diese Frage ist zentral, weil sie ein typisches Risiko theoretisch‑numerischer Arbeit berührt: Man kann leicht eine hübsche mittlere Kategorie erfinden, die in Wahrheit nur aus Resten besteht. Typ B durfte also nicht einfach behauptet, sondern musste unter Druck gesetzt werden.</w:t>
      </w:r>
    </w:p>
    <w:p>
      <w:pPr>
        <w:pStyle w:val="Heading2Custom"/>
      </w:pPr>
      <w:r>
        <w:t>3.2 FSW und AO</w:t>
      </w:r>
    </w:p>
    <w:p>
      <w:pPr>
        <w:spacing w:after="100"/>
      </w:pPr>
      <w:r>
        <w:t>Zwei Bereiche wurden im Typ‑B‑Raum besonders wichtig: FSW und AO. Zunächst lag die verführerische Lesart nahe, beide als Ausdruck eines gemeinsamen harten Typ‑B‑Kerns zu lesen. Die weitere Arbeit zeigte aber: Genau hier musste die Projektlogik ernst machen.</w:t>
      </w:r>
    </w:p>
    <w:p>
      <w:pPr>
        <w:pStyle w:val="Heading1Custom"/>
      </w:pPr>
      <w:r>
        <w:t>4. Der kritische Wendepunkt: negativer Kern‑Overlap</w:t>
      </w:r>
    </w:p>
    <w:p>
      <w:pPr>
        <w:pStyle w:val="Heading2Custom"/>
      </w:pPr>
      <w:r>
        <w:t>4.1 Warum dieser Befund wichtig war</w:t>
      </w:r>
    </w:p>
    <w:p>
      <w:pPr>
        <w:spacing w:after="100"/>
      </w:pPr>
      <w:r>
        <w:t>Der negative Kern‑Overlap‑Befund war methodisch ein Schlüsselmoment. Er zerstörte nicht das Projekt, aber er zerstörte die bequemere Lesart eines gemeinsamen, klaren Typ‑B‑Kerns. Genau das machte den Befund wertvoll: Er zwang zu einer präziseren Strukturauffassung.</w:t>
      </w:r>
    </w:p>
    <w:p>
      <w:pPr>
        <w:pStyle w:val="Heading2Custom"/>
      </w:pPr>
      <w:r>
        <w:t>4.2 Die neue Arbeitslesart</w:t>
      </w:r>
    </w:p>
    <w:p>
      <w:pPr>
        <w:spacing w:after="100"/>
      </w:pPr>
      <w:r>
        <w:t>Aus diesem Befund entstand die heute tragende Zwischenformel: FSW und AO sind derzeit am saubersten als zwei verwandte, aber getrennte Pfade in einem strukturierten Zwischenraum zu lesen. FSW trägt stärker einen quantitativen Korridor, AO stärker einen quantitativ‑strukturellen Übergangspfad.</w:t>
      </w:r>
    </w:p>
    <w:p>
      <w:pPr>
        <w:spacing w:after="100"/>
      </w:pPr>
      <w:r>
        <w:t>Das ist nicht bloß Umbenennung. Die spätere Distanz- und Feature‑Diagnostik zeigte, dass die Trennung nicht zufällig ist: unterschiedliche Merkmalsblöcke tragen unterschiedliche Teilaspekte der Struktur.</w:t>
      </w:r>
    </w:p>
    <w:p>
      <w:pPr>
        <w:pStyle w:val="Heading2Custom"/>
      </w:pPr>
      <w:r>
        <w:t>4.3 Was damit noch nicht gezeigt ist</w:t>
      </w:r>
    </w:p>
    <w:p>
      <w:pPr>
        <w:spacing w:after="100"/>
      </w:pPr>
      <w:r>
        <w:t>Wichtig ist aber: "verwandt" bedeutet bisher geordnete empirische Verwandtschaft, nicht gemeinsamer mechanischer Ursprung. Der gemeinsame Trend‑ oder Gemeinsamkeitsnachweis zwischen FSW und AO bleibt eine der wichtigsten offenen theoretischen Baustellen.</w:t>
      </w:r>
    </w:p>
    <w:p>
      <w:pPr>
        <w:pStyle w:val="Heading1Custom"/>
      </w:pPr>
      <w:r>
        <w:t>5. Vom Befund zur Härtung: M.3.9x.3g</w:t>
      </w:r>
    </w:p>
    <w:p>
      <w:pPr>
        <w:pStyle w:val="Heading2Custom"/>
      </w:pPr>
      <w:r>
        <w:t>5.1 Warum ein Ausschlusstest nötig wurde</w:t>
      </w:r>
    </w:p>
    <w:p>
      <w:pPr>
        <w:spacing w:after="100"/>
      </w:pPr>
      <w:r>
        <w:t>Wenn Typ B mehr sein soll als ein Name für Nicht‑A/C/D, braucht das Projekt Ausschlusskraft. Genau daraus wurde der Block M.3.9x.3g entwickelt: Ein gehärteter Typ‑B‑Ausschlusstest, der prüft, ob explizite Nicht‑Typ‑B‑Kontrollen dennoch Typ‑B‑artig erscheinen.</w:t>
      </w:r>
    </w:p>
    <w:p>
      <w:pPr>
        <w:pStyle w:val="Heading2Custom"/>
      </w:pPr>
      <w:r>
        <w:t>5.2 Der verschärfte Typ‑B‑Regelblock</w:t>
      </w:r>
    </w:p>
    <w:p>
      <w:pPr>
        <w:spacing w:after="100"/>
      </w:pPr>
      <w:r>
        <w:t>Der Typ‑B‑Regelblock wurde bewusst konjunktiv und physikalisch lesbar gemacht. Er kombiniert quantitative und strukturelle Kriterien und verlangt zusätzlich Stabilität unter Resampling.</w:t>
      </w:r>
    </w:p>
    <w:p>
      <w:pPr>
        <w:ind w:left="283" w:hanging="198"/>
      </w:pPr>
      <w:r>
        <w:rPr>
          <w:b/>
        </w:rPr>
        <w:t xml:space="preserve">• </w:t>
      </w:r>
      <w:r>
        <w:t>Quantitativer Kern: Distanz zu Typ D und Spektralvariabilität liegen in einem plausiblen Zwischenbereich.</w:t>
      </w:r>
    </w:p>
    <w:p>
      <w:pPr>
        <w:ind w:left="283" w:hanging="198"/>
      </w:pPr>
      <w:r>
        <w:rPr>
          <w:b/>
        </w:rPr>
        <w:t xml:space="preserve">• </w:t>
      </w:r>
      <w:r>
        <w:t>Strukturelle Konsistenz: Gitterabweichung und eine einfache Steifigkeits‑Surrogatgröße dürfen weder trivial noch extrem entkoppelt sein.</w:t>
      </w:r>
    </w:p>
    <w:p>
      <w:pPr>
        <w:ind w:left="283" w:hanging="198"/>
      </w:pPr>
      <w:r>
        <w:rPr>
          <w:b/>
        </w:rPr>
        <w:t xml:space="preserve">• </w:t>
      </w:r>
      <w:r>
        <w:t>Resampling: Eine lokale oder zufällige Trennung genügt nicht; die Einordnung muss unter Bootstrap‑Wiederholungen bestehen.</w:t>
      </w:r>
    </w:p>
    <w:p>
      <w:pPr>
        <w:pStyle w:val="Heading2Custom"/>
      </w:pPr>
      <w:r>
        <w:t>5.3 Dateninformierte Schwellen</w:t>
      </w:r>
    </w:p>
    <w:p>
      <w:pPr>
        <w:spacing w:after="100"/>
      </w:pPr>
      <w:r>
        <w:t>Die Schwellen wurden nicht als ewige Konstanten behauptet, sondern dateninformiert kalibriert. Genau das machte die Logik realistischer, brachte aber später zugleich die berechtigte Kritik auf, dass Kalibrierung und Evaluation zunächst noch zu stark im selben Datenkontext stattfanden.</w:t>
      </w:r>
    </w:p>
    <w:p>
      <w:pPr>
        <w:pStyle w:val="Heading1Custom"/>
      </w:pPr>
      <w:r>
        <w:t>6. Adversariale Kontrollen und Boundary‑Scans</w:t>
      </w:r>
    </w:p>
    <w:p>
      <w:pPr>
        <w:pStyle w:val="Heading2Custom"/>
      </w:pPr>
      <w:r>
        <w:t>6.1 Von Dummy‑Kontrollen zu adversarialen Kontrollen</w:t>
      </w:r>
    </w:p>
    <w:p>
      <w:pPr>
        <w:spacing w:after="100"/>
      </w:pPr>
      <w:r>
        <w:t>Frühe, zu harmlose Kontrollen sind wenig wert, weil sie nur zeigen, dass klare Gegenmodelle draußen bleiben. Deshalb wurden adversarialere Kontrollfamilien konstruiert, die einzelnen Typ‑B‑Merkmalen gezielt nahekommen sollten, ohne wirklich Typ‑B‑kohärent zu sein.</w:t>
      </w:r>
    </w:p>
    <w:p>
      <w:pPr>
        <w:spacing w:after="100"/>
      </w:pPr>
      <w:r>
        <w:t>Die wichtigsten Familien waren K1a, K2a und K3a. Sie störten Gitterstruktur, Rigidität oder beide gemeinsam so, dass grenznahe Nicht‑Typ‑B‑Fälle entstanden.</w:t>
      </w:r>
    </w:p>
    <w:p>
      <w:pPr>
        <w:pStyle w:val="Heading2Custom"/>
      </w:pPr>
      <w:r>
        <w:t>6.2 Boundary‑ und Feinscan</w:t>
      </w:r>
    </w:p>
    <w:p>
      <w:pPr>
        <w:spacing w:after="100"/>
      </w:pPr>
      <w:r>
        <w:t>Ein entscheidender Fortschritt war, die Kontrollen nicht nur einmal zu testen, sondern systematisch um ihre kritischen Parameterbereiche herum zu scannen. Dadurch ließ sich zeigen, dass die Kontrollen nicht nur zufällig negativ sind, sondern im lokalen Grenzbereich stabil negativ bleiben.</w:t>
      </w:r>
    </w:p>
    <w:p>
      <w:pPr>
        <w:spacing w:after="100"/>
      </w:pPr>
      <w:r>
        <w:t>Besonders aufschlussreich war K2a: Diese Familie kam der Typ‑B‑Grenze am nächsten, kippte aber im Feinscan dennoch nicht in eine robuste positive Typ‑B‑Klassifikation. Das stärkt die Spezifitätsseite des Tests erheblich.</w:t>
      </w:r>
    </w:p>
    <w:p>
      <w:pPr>
        <w:pStyle w:val="Heading1Custom"/>
      </w:pPr>
      <w:r>
        <w:t>7. Die Originalseite: O1, O2, O3</w:t>
      </w:r>
    </w:p>
    <w:p>
      <w:pPr>
        <w:pStyle w:val="Heading2Custom"/>
      </w:pPr>
      <w:r>
        <w:t>7.1 Warum die Originalreferenz neu gedacht werden musste</w:t>
      </w:r>
    </w:p>
    <w:p>
      <w:pPr>
        <w:spacing w:after="100"/>
      </w:pPr>
      <w:r>
        <w:t>Die Kontrollseite wurde zunehmend gut beherrscht. Der Engpass verschob sich damit auf die Originalseite: Welche Originalpaarung ist stark genug, um nicht nur stabil, sondern auch qualitativ überzeugend zu sein?</w:t>
      </w:r>
    </w:p>
    <w:p>
      <w:pPr>
        <w:spacing w:after="100"/>
      </w:pPr>
      <w:r>
        <w:t>Aus genau diesem Grund wurden die Kandidaten O1, O2 und O3 systematisch gegeneinander ausgewertet.</w:t>
      </w:r>
    </w:p>
    <w:tbl>
      <w:tblPr>
        <w:tblW w:type="auto" w:w="0"/>
        <w:jc w:val="center"/>
        <w:tblLook w:firstColumn="1" w:firstRow="1" w:lastColumn="0" w:lastRow="0" w:noHBand="0" w:noVBand="1" w:val="04A0"/>
        <w:tblBorders>
          <w:top w:val="single" w:sz="6" w:color="D7DEE6" w:space="0"/>
          <w:left w:val="single" w:sz="6" w:color="D7DEE6" w:space="0"/>
          <w:bottom w:val="single" w:sz="6" w:color="D7DEE6" w:space="0"/>
          <w:right w:val="single" w:sz="6" w:color="D7DEE6" w:space="0"/>
          <w:insideH w:val="single" w:sz="6" w:color="D7DEE6" w:space="0"/>
          <w:insideV w:val="single" w:sz="6" w:color="D7DEE6" w:space="0"/>
        </w:tblBorders>
      </w:tblPr>
      <w:tblGrid>
        <w:gridCol w:w="2436"/>
        <w:gridCol w:w="2436"/>
        <w:gridCol w:w="2436"/>
        <w:gridCol w:w="2436"/>
      </w:tblGrid>
      <w:tr>
        <w:trPr>
          <w:tblHeader w:val="true"/>
        </w:trPr>
        <w:tc>
          <w:tcPr>
            <w:tcW w:type="dxa" w:w="2436"/>
            <w:shd w:fill="EAF1F7"/>
            <w:tcMar>
              <w:top w:w="90" w:type="dxa"/>
              <w:start w:w="110" w:type="dxa"/>
              <w:bottom w:w="90" w:type="dxa"/>
              <w:end w:w="110" w:type="dxa"/>
            </w:tcMar>
            <w:vAlign w:val="center"/>
          </w:tcPr>
          <w:p>
            <w:pPr>
              <w:jc w:val="center"/>
            </w:pPr>
            <w:r>
              <w:rPr>
                <w:b/>
                <w:color w:val="183A5A"/>
                <w:sz w:val="20"/>
              </w:rPr>
              <w:t>Referenz</w:t>
            </w:r>
          </w:p>
        </w:tc>
        <w:tc>
          <w:tcPr>
            <w:tcW w:type="dxa" w:w="2436"/>
            <w:shd w:fill="EAF1F7"/>
            <w:tcMar>
              <w:top w:w="90" w:type="dxa"/>
              <w:start w:w="110" w:type="dxa"/>
              <w:bottom w:w="90" w:type="dxa"/>
              <w:end w:w="110" w:type="dxa"/>
            </w:tcMar>
            <w:vAlign w:val="center"/>
          </w:tcPr>
          <w:p>
            <w:pPr>
              <w:jc w:val="center"/>
            </w:pPr>
            <w:r>
              <w:rPr>
                <w:b/>
                <w:color w:val="183A5A"/>
                <w:sz w:val="20"/>
              </w:rPr>
              <w:t>AO-Fenster</w:t>
            </w:r>
          </w:p>
        </w:tc>
        <w:tc>
          <w:tcPr>
            <w:tcW w:type="dxa" w:w="2436"/>
            <w:shd w:fill="EAF1F7"/>
            <w:tcMar>
              <w:top w:w="90" w:type="dxa"/>
              <w:start w:w="110" w:type="dxa"/>
              <w:bottom w:w="90" w:type="dxa"/>
              <w:end w:w="110" w:type="dxa"/>
            </w:tcMar>
            <w:vAlign w:val="center"/>
          </w:tcPr>
          <w:p>
            <w:pPr>
              <w:jc w:val="center"/>
            </w:pPr>
            <w:r>
              <w:rPr>
                <w:b/>
                <w:color w:val="183A5A"/>
                <w:sz w:val="20"/>
              </w:rPr>
              <w:t>separation_margin_mean</w:t>
            </w:r>
          </w:p>
        </w:tc>
        <w:tc>
          <w:tcPr>
            <w:tcW w:type="dxa" w:w="2436"/>
            <w:shd w:fill="EAF1F7"/>
            <w:tcMar>
              <w:top w:w="90" w:type="dxa"/>
              <w:start w:w="110" w:type="dxa"/>
              <w:bottom w:w="90" w:type="dxa"/>
              <w:end w:w="110" w:type="dxa"/>
            </w:tcMar>
            <w:vAlign w:val="center"/>
          </w:tcPr>
          <w:p>
            <w:pPr>
              <w:jc w:val="center"/>
            </w:pPr>
            <w:r>
              <w:rPr>
                <w:b/>
                <w:color w:val="183A5A"/>
                <w:sz w:val="20"/>
              </w:rPr>
              <w:t>overall_pass</w:t>
            </w:r>
          </w:p>
        </w:tc>
      </w:tr>
      <w:tr>
        <w:tc>
          <w:tcPr>
            <w:tcW w:type="dxa" w:w="2436"/>
            <w:tcMar>
              <w:top w:w="90" w:type="dxa"/>
              <w:start w:w="110" w:type="dxa"/>
              <w:bottom w:w="90" w:type="dxa"/>
              <w:end w:w="110" w:type="dxa"/>
            </w:tcMar>
            <w:vAlign w:val="center"/>
          </w:tcPr>
          <w:p>
            <w:pPr>
              <w:jc w:val="center"/>
            </w:pPr>
            <w:r>
              <w:rPr>
                <w:b/>
              </w:rPr>
              <w:t>O1</w:t>
            </w:r>
          </w:p>
        </w:tc>
        <w:tc>
          <w:tcPr>
            <w:tcW w:type="dxa" w:w="2436"/>
            <w:tcMar>
              <w:top w:w="90" w:type="dxa"/>
              <w:start w:w="110" w:type="dxa"/>
              <w:bottom w:w="90" w:type="dxa"/>
              <w:end w:w="110" w:type="dxa"/>
            </w:tcMar>
            <w:vAlign w:val="center"/>
          </w:tcPr>
          <w:p>
            <w:pPr>
              <w:jc w:val="center"/>
            </w:pPr>
            <w:r>
              <w:t>AO_A03–A05</w:t>
            </w:r>
          </w:p>
        </w:tc>
        <w:tc>
          <w:tcPr>
            <w:tcW w:type="dxa" w:w="2436"/>
            <w:tcMar>
              <w:top w:w="90" w:type="dxa"/>
              <w:start w:w="110" w:type="dxa"/>
              <w:bottom w:w="90" w:type="dxa"/>
              <w:end w:w="110" w:type="dxa"/>
            </w:tcMar>
            <w:vAlign w:val="center"/>
          </w:tcPr>
          <w:p>
            <w:pPr>
              <w:jc w:val="center"/>
            </w:pPr>
            <w:r>
              <w:t>0.173602</w:t>
            </w:r>
          </w:p>
        </w:tc>
        <w:tc>
          <w:tcPr>
            <w:tcW w:type="dxa" w:w="2436"/>
            <w:tcMar>
              <w:top w:w="90" w:type="dxa"/>
              <w:start w:w="110" w:type="dxa"/>
              <w:bottom w:w="90" w:type="dxa"/>
              <w:end w:w="110" w:type="dxa"/>
            </w:tcMar>
            <w:vAlign w:val="center"/>
          </w:tcPr>
          <w:p>
            <w:pPr>
              <w:jc w:val="center"/>
            </w:pPr>
            <w:r>
              <w:rPr>
                <w:b/>
              </w:rPr>
              <w:t>False</w:t>
            </w:r>
          </w:p>
        </w:tc>
      </w:tr>
      <w:tr>
        <w:tc>
          <w:tcPr>
            <w:tcW w:type="dxa" w:w="2436"/>
            <w:tcMar>
              <w:top w:w="90" w:type="dxa"/>
              <w:start w:w="110" w:type="dxa"/>
              <w:bottom w:w="90" w:type="dxa"/>
              <w:end w:w="110" w:type="dxa"/>
            </w:tcMar>
            <w:vAlign w:val="center"/>
          </w:tcPr>
          <w:p>
            <w:pPr>
              <w:jc w:val="center"/>
            </w:pPr>
            <w:r>
              <w:rPr>
                <w:b/>
              </w:rPr>
              <w:t>O2</w:t>
            </w:r>
          </w:p>
        </w:tc>
        <w:tc>
          <w:tcPr>
            <w:tcW w:type="dxa" w:w="2436"/>
            <w:tcMar>
              <w:top w:w="90" w:type="dxa"/>
              <w:start w:w="110" w:type="dxa"/>
              <w:bottom w:w="90" w:type="dxa"/>
              <w:end w:w="110" w:type="dxa"/>
            </w:tcMar>
            <w:vAlign w:val="center"/>
          </w:tcPr>
          <w:p>
            <w:pPr>
              <w:jc w:val="center"/>
            </w:pPr>
            <w:r>
              <w:t>AO_A04–A06</w:t>
            </w:r>
          </w:p>
        </w:tc>
        <w:tc>
          <w:tcPr>
            <w:tcW w:type="dxa" w:w="2436"/>
            <w:tcMar>
              <w:top w:w="90" w:type="dxa"/>
              <w:start w:w="110" w:type="dxa"/>
              <w:bottom w:w="90" w:type="dxa"/>
              <w:end w:w="110" w:type="dxa"/>
            </w:tcMar>
            <w:vAlign w:val="center"/>
          </w:tcPr>
          <w:p>
            <w:pPr>
              <w:jc w:val="center"/>
            </w:pPr>
            <w:r>
              <w:t>0.212229</w:t>
            </w:r>
          </w:p>
        </w:tc>
        <w:tc>
          <w:tcPr>
            <w:tcW w:type="dxa" w:w="2436"/>
            <w:tcMar>
              <w:top w:w="90" w:type="dxa"/>
              <w:start w:w="110" w:type="dxa"/>
              <w:bottom w:w="90" w:type="dxa"/>
              <w:end w:w="110" w:type="dxa"/>
            </w:tcMar>
            <w:vAlign w:val="center"/>
          </w:tcPr>
          <w:p>
            <w:pPr>
              <w:jc w:val="center"/>
            </w:pPr>
            <w:r>
              <w:rPr>
                <w:b/>
              </w:rPr>
              <w:t>True</w:t>
            </w:r>
          </w:p>
        </w:tc>
      </w:tr>
      <w:tr>
        <w:tc>
          <w:tcPr>
            <w:tcW w:type="dxa" w:w="2436"/>
            <w:tcMar>
              <w:top w:w="90" w:type="dxa"/>
              <w:start w:w="110" w:type="dxa"/>
              <w:bottom w:w="90" w:type="dxa"/>
              <w:end w:w="110" w:type="dxa"/>
            </w:tcMar>
            <w:vAlign w:val="center"/>
          </w:tcPr>
          <w:p>
            <w:pPr>
              <w:jc w:val="center"/>
            </w:pPr>
            <w:r>
              <w:rPr>
                <w:b/>
              </w:rPr>
              <w:t>O3</w:t>
            </w:r>
          </w:p>
        </w:tc>
        <w:tc>
          <w:tcPr>
            <w:tcW w:type="dxa" w:w="2436"/>
            <w:tcMar>
              <w:top w:w="90" w:type="dxa"/>
              <w:start w:w="110" w:type="dxa"/>
              <w:bottom w:w="90" w:type="dxa"/>
              <w:end w:w="110" w:type="dxa"/>
            </w:tcMar>
            <w:vAlign w:val="center"/>
          </w:tcPr>
          <w:p>
            <w:pPr>
              <w:jc w:val="center"/>
            </w:pPr>
            <w:r>
              <w:t>AO_A04–A05</w:t>
            </w:r>
          </w:p>
        </w:tc>
        <w:tc>
          <w:tcPr>
            <w:tcW w:type="dxa" w:w="2436"/>
            <w:tcMar>
              <w:top w:w="90" w:type="dxa"/>
              <w:start w:w="110" w:type="dxa"/>
              <w:bottom w:w="90" w:type="dxa"/>
              <w:end w:w="110" w:type="dxa"/>
            </w:tcMar>
            <w:vAlign w:val="center"/>
          </w:tcPr>
          <w:p>
            <w:pPr>
              <w:jc w:val="center"/>
            </w:pPr>
            <w:r>
              <w:t>0.212229</w:t>
            </w:r>
          </w:p>
        </w:tc>
        <w:tc>
          <w:tcPr>
            <w:tcW w:type="dxa" w:w="2436"/>
            <w:tcMar>
              <w:top w:w="90" w:type="dxa"/>
              <w:start w:w="110" w:type="dxa"/>
              <w:bottom w:w="90" w:type="dxa"/>
              <w:end w:w="110" w:type="dxa"/>
            </w:tcMar>
            <w:vAlign w:val="center"/>
          </w:tcPr>
          <w:p>
            <w:pPr>
              <w:jc w:val="center"/>
            </w:pPr>
            <w:r>
              <w:rPr>
                <w:b/>
              </w:rPr>
              <w:t>True</w:t>
            </w:r>
          </w:p>
        </w:tc>
      </w:tr>
    </w:tbl>
    <w:p>
      <w:pPr>
        <w:pStyle w:val="SmallMuted"/>
      </w:pPr>
      <w:r>
        <w:t>Tabelle: Vergleich der drei vorab festgelegten Originalreferenzen innerhalb des aktuellen gehärteten Protokolls.</w:t>
      </w:r>
    </w:p>
    <w:p>
      <w:pPr>
        <w:pStyle w:val="Heading2Custom"/>
      </w:pPr>
      <w:r>
        <w:t>7.2 Entscheidung</w:t>
      </w:r>
    </w:p>
    <w:p>
      <w:pPr>
        <w:spacing w:after="100"/>
      </w:pPr>
      <w:r>
        <w:t>O2 wurde als Hauptreferenz gewählt, O3 als stützende Replikations-/Robustheitsvariante, O1 blieb als Legacy‑Baseline dokumentiert. Diese Entscheidung war nicht bloß kosmetisch: Mit O2 und O3 erreichte die Originalseite die gewünschte Kombination aus Margin, Stabilität und Assignment‑Qualität.</w:t>
      </w:r>
    </w:p>
    <w:p>
      <w:pPr>
        <w:pStyle w:val="Heading2Custom"/>
      </w:pPr>
      <w:r>
        <w:t>7.3 Warum O3 vorsichtig zu rahmen ist</w:t>
      </w:r>
    </w:p>
    <w:p>
      <w:pPr>
        <w:spacing w:after="100"/>
      </w:pPr>
      <w:r>
        <w:t>Später wurde zu Recht kritisch angemerkt, dass O2 und O3 sich in den Kennzahlen sehr ähnlich verhalten. O3 ist deshalb im jetzigen Stand eher eine nahe Replikations- oder Kernvariante als eine vollkommen unabhängige Robustheitsprobe. Für den internen roten Faden ist sie trotzdem wertvoll, weil sie zeigt, dass der positive Befund nicht nur an O2 als Einzelwahl hängt.</w:t>
      </w:r>
    </w:p>
    <w:p>
      <w:pPr>
        <w:pStyle w:val="Heading1Custom"/>
      </w:pPr>
      <w:r>
        <w:t>8. Der erste positive Durchlauf</w:t>
      </w:r>
    </w:p>
    <w:p>
      <w:pPr>
        <w:spacing w:after="100"/>
      </w:pPr>
      <w:r>
        <w:t xml:space="preserve">Mit O2 als Hauptreferenz, O3 als stützender Variante und den adversarialen Kontrollen K1a/K2a/K3a erhielt der gehärtete Lauf erstmals den Status </w:t>
      </w:r>
    </w:p>
    <w:p>
      <w:pPr>
        <w:pStyle w:val="BodyLead"/>
      </w:pPr>
      <w:r>
        <w:rPr>
          <w:b/>
        </w:rPr>
        <w:t>type_B_exclusion_supported</w:t>
      </w:r>
      <w:r>
        <w:t>.</w:t>
      </w:r>
    </w:p>
    <w:p>
      <w:pPr>
        <w:spacing w:after="100"/>
      </w:pPr>
      <w:r>
        <w:t>Der Befund ist stark, weil er auf mehreren Schichten ruht: negativ bleibende Kontrollen, robuste Originalseite, lokale Boundary‑Scans und eine inzwischen viel sauberere Entscheidungslogik.</w:t>
      </w:r>
    </w:p>
    <w:p>
      <w:pPr>
        <w:spacing w:after="100"/>
      </w:pPr>
      <w:r>
        <w:t>Aber genau an diesem Punkt begann die nächste Reifungsstufe: Die Frage, ob dieser positive Befund schon belastbar genug ist, wenn Schwellen, Paarwahl und Evaluation noch zu sehr aus demselben Projektkontext stammen.</w:t>
      </w:r>
    </w:p>
    <w:p>
      <w:pPr>
        <w:pStyle w:val="Heading1Custom"/>
      </w:pPr>
      <w:r>
        <w:t>9. Kritik ernst nehmen: De‑Zirkularisierung</w:t>
      </w:r>
    </w:p>
    <w:p>
      <w:pPr>
        <w:pStyle w:val="Heading2Custom"/>
      </w:pPr>
      <w:r>
        <w:t>9.1 Die stärkste Red‑Team‑Kritik</w:t>
      </w:r>
    </w:p>
    <w:p>
      <w:pPr>
        <w:spacing w:after="100"/>
      </w:pPr>
      <w:r>
        <w:t>Die methodisch stärkste Kritik lautete: Ein positiver Befund ist nur begrenzt überzeugend, wenn die Schwellen in‑sample auf demselben Kontext kalibriert wurden, in dem O2 anschließend erfolgreich ist. Mit anderen Worten: supported ist nicht automatisch schon extern robust.</w:t>
      </w:r>
    </w:p>
    <w:p>
      <w:pPr>
        <w:pStyle w:val="Heading2Custom"/>
      </w:pPr>
      <w:r>
        <w:t>9.2 Der Split‑Eval‑Schritt</w:t>
      </w:r>
    </w:p>
    <w:p>
      <w:pPr>
        <w:spacing w:after="100"/>
      </w:pPr>
      <w:r>
        <w:t>Als Antwort darauf wurde ein erster de‑zirkularisierter Split‑Eval‑Lauf gebaut. Die Idee war bewusst minimal, aber sauber: O1 diente als Kalibrierungsseite, O2 und O3 wurden separat evaluiert.</w:t>
      </w:r>
    </w:p>
    <w:p>
      <w:pPr>
        <w:spacing w:after="100"/>
      </w:pPr>
      <w:r>
        <w:t>Das Ergebnis war wichtig: O2 und O3 blieben auch unter dieser ersten O1‑basierten Entkopplung positiv. Dadurch wurde der positive Befund nicht unabhängig im strengen Sinne, aber deutlich weniger zirkulär als zuvor.</w:t>
      </w:r>
    </w:p>
    <w:p>
      <w:pPr>
        <w:pStyle w:val="Heading2Custom"/>
      </w:pPr>
      <w:r>
        <w:t>9.3 Was dieser Schritt leistet — und was nicht</w:t>
      </w:r>
    </w:p>
    <w:p>
      <w:pPr>
        <w:spacing w:after="100"/>
      </w:pPr>
      <w:r>
        <w:t>Der Split‑Eval‑Lauf ist ein echter methodischer Fortschritt, aber kein vollwertiger Holdout‑Beweis. Er reduziert den unmittelbaren Einwand, dass O2 nur deshalb positiv ist, weil O2‑nahe Schwellen gewählt wurden. Er ersetzt aber noch keine echte Out‑of‑Sample‑ oder Transfer‑Validierung.</w:t>
      </w:r>
    </w:p>
    <w:p>
      <w:pPr>
        <w:pStyle w:val="Heading1Custom"/>
      </w:pPr>
      <w:r>
        <w:t>10. Synthese des aktuellen Stands</w:t>
      </w:r>
    </w:p>
    <w:p>
      <w:pPr>
        <w:spacing w:after="100"/>
      </w:pPr>
      <w:r>
        <w:t>Wenn man die internen Auswertungen, die kritischen Kollegensichten und die methodische Selbstprüfung zusammennimmt, ergibt sich eine klare Zwischenbilanz.</w:t>
      </w:r>
    </w:p>
    <w:p>
      <w:pPr>
        <w:ind w:left="283" w:hanging="198"/>
      </w:pPr>
      <w:r>
        <w:rPr>
          <w:b/>
        </w:rPr>
        <w:t xml:space="preserve">• </w:t>
      </w:r>
      <w:r>
        <w:t>Der Block M.3.9x.3g ist methodisch deutlich reifer als frühere Stufen.</w:t>
      </w:r>
    </w:p>
    <w:p>
      <w:pPr>
        <w:ind w:left="283" w:hanging="198"/>
      </w:pPr>
      <w:r>
        <w:rPr>
          <w:b/>
        </w:rPr>
        <w:t xml:space="preserve">• </w:t>
      </w:r>
      <w:r>
        <w:t>Unter dem aktuellen gehärteten Protokoll ist der Typ‑B‑Ausschlusstest gestützt.</w:t>
      </w:r>
    </w:p>
    <w:p>
      <w:pPr>
        <w:ind w:left="283" w:hanging="198"/>
      </w:pPr>
      <w:r>
        <w:rPr>
          <w:b/>
        </w:rPr>
        <w:t xml:space="preserve">• </w:t>
      </w:r>
      <w:r>
        <w:t>Die adversarialen Nicht‑Typ‑B‑Kontrollen reproduzieren keine robuste Typ‑B‑Struktur.</w:t>
      </w:r>
    </w:p>
    <w:p>
      <w:pPr>
        <w:ind w:left="283" w:hanging="198"/>
      </w:pPr>
      <w:r>
        <w:rPr>
          <w:b/>
        </w:rPr>
        <w:t xml:space="preserve">• </w:t>
      </w:r>
      <w:r>
        <w:t>O2 erfüllt die gegenwärtigen Qualitätskriterien; O3 stützt den Befund als nahe Replikations-/Kernvariante.</w:t>
      </w:r>
    </w:p>
    <w:p>
      <w:pPr>
        <w:ind w:left="283" w:hanging="198"/>
      </w:pPr>
      <w:r>
        <w:rPr>
          <w:b/>
        </w:rPr>
        <w:t xml:space="preserve">• </w:t>
      </w:r>
      <w:r>
        <w:t>Die stärkste offene Flanke bleibt die Unabhängigkeit von Kalibrierung und Evaluation.</w:t>
      </w:r>
    </w:p>
    <w:p>
      <w:pPr>
        <w:ind w:left="283" w:hanging="198"/>
      </w:pPr>
      <w:r>
        <w:rPr>
          <w:b/>
        </w:rPr>
        <w:t xml:space="preserve">• </w:t>
      </w:r>
      <w:r>
        <w:t>Der wichtigste theoretische offene Punkt ist weiterhin der gemeinsame Trend- oder Gemeinsamkeitsnachweis zwischen FSW und AO.</w:t>
      </w:r>
    </w:p>
    <w:p>
      <w:pPr>
        <w:pStyle w:val="Heading1Custom"/>
      </w:pPr>
      <w:r>
        <w:t>11. Was bisher physikalisch gewonnen wurde</w:t>
      </w:r>
    </w:p>
    <w:p>
      <w:pPr>
        <w:pStyle w:val="Heading2Custom"/>
      </w:pPr>
      <w:r>
        <w:t>11.1 Nicht nur Methodik, sondern auch Inhalt</w:t>
      </w:r>
    </w:p>
    <w:p>
      <w:pPr>
        <w:spacing w:after="100"/>
      </w:pPr>
      <w:r>
        <w:t>Es wäre zu wenig, diesen Projektstand nur als technischen Testapparat zu lesen. Inhaltlich wurde ebenfalls etwas gewonnen. Die Arbeit legt nahe, dass der fragliche Zwischenraum nicht bloß eine willkürliche Restklasse sein muss. Es spricht inzwischen mehr dafür, dass hier tatsächlich strukturierte Teilbereiche vorliegen.</w:t>
      </w:r>
    </w:p>
    <w:p>
      <w:pPr>
        <w:spacing w:after="100"/>
      </w:pPr>
      <w:r>
        <w:t>FSW und AO erscheinen derzeit als zwei unterschiedliche Erkundungen eines Zwischenraums zwischen stärker regulären und stärker irregulären Regimen. Diese Lesart ist im Moment nicht mechanisch geschlossen, aber sie ist empirisch besser gestützt als die frühere bequemere Kernhypothese.</w:t>
      </w:r>
    </w:p>
    <w:p>
      <w:pPr>
        <w:pStyle w:val="Heading2Custom"/>
      </w:pPr>
      <w:r>
        <w:t>11.2 Warum das für das Gesamtprojekt zählt</w:t>
      </w:r>
    </w:p>
    <w:p>
      <w:pPr>
        <w:spacing w:after="100"/>
      </w:pPr>
      <w:r>
        <w:t>Für das Gesamtprojekt ist das wichtig, weil die Typ‑B‑Frage exemplarisch zeigt, wie Theorie und numerische Härtung zusammenarbeiten können: Eine relationale, wellenbasierte Grundidee wird nicht einfach behauptet, sondern in einem konkreten Zwischenraum auf Ausschlusskraft, Struktur und Gegenlesarten getestet.</w:t>
      </w:r>
    </w:p>
    <w:p>
      <w:pPr>
        <w:pStyle w:val="Heading1Custom"/>
      </w:pPr>
      <w:r>
        <w:t>12. Offene Punkte und nächste Schritte</w:t>
      </w:r>
    </w:p>
    <w:p>
      <w:pPr>
        <w:spacing w:after="100"/>
      </w:pPr>
      <w:r>
        <w:t>Trotz des positiven Arbeitsstands ist die Geschichte ausdrücklich nicht zu Ende.</w:t>
      </w:r>
    </w:p>
    <w:p>
      <w:pPr>
        <w:ind w:left="283" w:hanging="198"/>
      </w:pPr>
      <w:r>
        <w:rPr>
          <w:b/>
        </w:rPr>
        <w:t xml:space="preserve">• </w:t>
      </w:r>
      <w:r>
        <w:t>Echte Out‑of‑Sample‑ oder Holdout‑Validierung: Kalibrierung und Evaluation sollen weiter entkoppelt werden.</w:t>
      </w:r>
    </w:p>
    <w:p>
      <w:pPr>
        <w:ind w:left="283" w:hanging="198"/>
      </w:pPr>
      <w:r>
        <w:rPr>
          <w:b/>
        </w:rPr>
        <w:t xml:space="preserve">• </w:t>
      </w:r>
      <w:r>
        <w:t>Breitere Gegenraum‑Kontrollen: zusätzliche boundary‑nahe oder andersartige Nicht‑Typ‑B‑Kontrollen wären eine weitere Härtung.</w:t>
      </w:r>
    </w:p>
    <w:p>
      <w:pPr>
        <w:ind w:left="283" w:hanging="198"/>
      </w:pPr>
      <w:r>
        <w:rPr>
          <w:b/>
        </w:rPr>
        <w:t xml:space="preserve">• </w:t>
      </w:r>
      <w:r>
        <w:t>Gemeinsamer Trendnachweis für FSW und AO: Der Ausschlusstest zeigt, wer draußen bleibt; er erklärt noch nicht, warum beide Drinnenen zusammengehören.</w:t>
      </w:r>
    </w:p>
    <w:p>
      <w:pPr>
        <w:ind w:left="283" w:hanging="198"/>
      </w:pPr>
      <w:r>
        <w:rPr>
          <w:b/>
        </w:rPr>
        <w:t xml:space="preserve">• </w:t>
      </w:r>
      <w:r>
        <w:t>Robustere Sekundärvariante: Langfristig wäre neben O2 und O3 eine substanziell unabhängigere Robustheitsreferenz hilfreich.</w:t>
      </w:r>
    </w:p>
    <w:p>
      <w:pPr>
        <w:ind w:left="283" w:hanging="198"/>
      </w:pPr>
      <w:r>
        <w:rPr>
          <w:b/>
        </w:rPr>
        <w:t xml:space="preserve">• </w:t>
      </w:r>
      <w:r>
        <w:t>Dokumentationsdisziplin: Der positive Befund soll defensiv und protokollgebunden formuliert bleiben, bis stärkere Unabhängigkeit erreicht ist.</w:t>
      </w:r>
    </w:p>
    <w:p>
      <w:pPr>
        <w:pStyle w:val="Heading1Custom"/>
      </w:pPr>
      <w:r>
        <w:t>13. Schluss</w:t>
      </w:r>
    </w:p>
    <w:p>
      <w:pPr>
        <w:spacing w:after="100"/>
      </w:pPr>
      <w:r>
        <w:t>Die Entwicklung bis hierher zeigt einen roten Faden, der wissenschaftlich wertvoll ist: Das Projekt hat wiederholt gelernt, geliebte Lesarten loszulassen, wenn die Tests sie nicht tragen. Gerade dadurch wurde es stärker.</w:t>
      </w:r>
    </w:p>
    <w:p>
      <w:pPr>
        <w:pStyle w:val="BodyLead"/>
        <w:spacing w:after="100"/>
      </w:pPr>
      <w:r>
        <w:t>Im jetzigen Stand lässt sich sagen: Das Projekt verfügt über einen physikalisch motivierten Kern, eine nachvollziehbare numerische Pipeline und einen gehärteten Typ‑B‑Ausschlusstest, der unter dem aktuellen Protokoll positiv gestützt ist. Zugleich weiß das Projekt ziemlich genau, was noch fehlt, damit aus einem starken internen Arbeitsbefund ein breiter belastbarer externer Befund wird.</w:t>
      </w:r>
    </w:p>
    <w:p>
      <w:pPr>
        <w:pStyle w:val="Heading1Custom"/>
      </w:pPr>
      <w:r>
        <w:t>Anhang: Kurzchronik der jüngsten Härtung</w:t>
      </w:r>
    </w:p>
    <w:tbl>
      <w:tblPr>
        <w:tblW w:type="auto" w:w="0"/>
        <w:jc w:val="center"/>
        <w:tblLook w:firstColumn="1" w:firstRow="1" w:lastColumn="0" w:lastRow="0" w:noHBand="0" w:noVBand="1" w:val="04A0"/>
        <w:tblBorders>
          <w:top w:val="single" w:sz="6" w:color="D7DEE6" w:space="0"/>
          <w:left w:val="single" w:sz="6" w:color="D7DEE6" w:space="0"/>
          <w:bottom w:val="single" w:sz="6" w:color="D7DEE6" w:space="0"/>
          <w:right w:val="single" w:sz="6" w:color="D7DEE6" w:space="0"/>
          <w:insideH w:val="single" w:sz="6" w:color="D7DEE6" w:space="0"/>
          <w:insideV w:val="single" w:sz="6" w:color="D7DEE6" w:space="0"/>
        </w:tblBorders>
      </w:tblPr>
      <w:tblGrid>
        <w:gridCol w:w="3249"/>
        <w:gridCol w:w="3249"/>
        <w:gridCol w:w="3249"/>
      </w:tblGrid>
      <w:tr>
        <w:trPr>
          <w:tblHeader w:val="true"/>
        </w:trPr>
        <w:tc>
          <w:tcPr>
            <w:tcW w:type="dxa" w:w="3249"/>
            <w:shd w:fill="EAF1F7"/>
            <w:tcMar>
              <w:top w:w="90" w:type="dxa"/>
              <w:start w:w="110" w:type="dxa"/>
              <w:bottom w:w="90" w:type="dxa"/>
              <w:end w:w="110" w:type="dxa"/>
            </w:tcMar>
            <w:vAlign w:val="center"/>
          </w:tcPr>
          <w:p>
            <w:r>
              <w:rPr>
                <w:b/>
                <w:color w:val="183A5A"/>
              </w:rPr>
              <w:t>Schritt</w:t>
            </w:r>
          </w:p>
        </w:tc>
        <w:tc>
          <w:tcPr>
            <w:tcW w:type="dxa" w:w="3249"/>
            <w:shd w:fill="EAF1F7"/>
            <w:tcMar>
              <w:top w:w="90" w:type="dxa"/>
              <w:start w:w="110" w:type="dxa"/>
              <w:bottom w:w="90" w:type="dxa"/>
              <w:end w:w="110" w:type="dxa"/>
            </w:tcMar>
            <w:vAlign w:val="center"/>
          </w:tcPr>
          <w:p>
            <w:r>
              <w:rPr>
                <w:b/>
                <w:color w:val="183A5A"/>
              </w:rPr>
              <w:t>Sinn</w:t>
            </w:r>
          </w:p>
        </w:tc>
        <w:tc>
          <w:tcPr>
            <w:tcW w:type="dxa" w:w="3249"/>
            <w:shd w:fill="EAF1F7"/>
            <w:tcMar>
              <w:top w:w="90" w:type="dxa"/>
              <w:start w:w="110" w:type="dxa"/>
              <w:bottom w:w="90" w:type="dxa"/>
              <w:end w:w="110" w:type="dxa"/>
            </w:tcMar>
            <w:vAlign w:val="center"/>
          </w:tcPr>
          <w:p>
            <w:r>
              <w:rPr>
                <w:b/>
                <w:color w:val="183A5A"/>
              </w:rPr>
              <w:t>Ergebnis</w:t>
            </w:r>
          </w:p>
        </w:tc>
      </w:tr>
      <w:tr>
        <w:tc>
          <w:tcPr>
            <w:tcW w:type="dxa" w:w="3249"/>
            <w:tcMar>
              <w:top w:w="90" w:type="dxa"/>
              <w:start w:w="110" w:type="dxa"/>
              <w:bottom w:w="90" w:type="dxa"/>
              <w:end w:w="110" w:type="dxa"/>
            </w:tcMar>
            <w:vAlign w:val="center"/>
          </w:tcPr>
          <w:p>
            <w:r>
              <w:rPr>
                <w:b/>
              </w:rPr>
              <w:t>Verschärfter Typ‑B‑Regelblock</w:t>
            </w:r>
          </w:p>
        </w:tc>
        <w:tc>
          <w:tcPr>
            <w:tcW w:type="dxa" w:w="3249"/>
            <w:tcMar>
              <w:top w:w="90" w:type="dxa"/>
              <w:start w:w="110" w:type="dxa"/>
              <w:bottom w:w="90" w:type="dxa"/>
              <w:end w:w="110" w:type="dxa"/>
            </w:tcMar>
            <w:vAlign w:val="center"/>
          </w:tcPr>
          <w:p>
            <w:r>
              <w:t>False Positives reduzieren</w:t>
            </w:r>
          </w:p>
        </w:tc>
        <w:tc>
          <w:tcPr>
            <w:tcW w:type="dxa" w:w="3249"/>
            <w:tcMar>
              <w:top w:w="90" w:type="dxa"/>
              <w:start w:w="110" w:type="dxa"/>
              <w:bottom w:w="90" w:type="dxa"/>
              <w:end w:w="110" w:type="dxa"/>
            </w:tcMar>
            <w:vAlign w:val="center"/>
          </w:tcPr>
          <w:p>
            <w:r>
              <w:t>Konjunktive, physikalisch lesbare Regeln</w:t>
            </w:r>
          </w:p>
        </w:tc>
      </w:tr>
      <w:tr>
        <w:tc>
          <w:tcPr>
            <w:tcW w:type="dxa" w:w="3249"/>
            <w:tcMar>
              <w:top w:w="90" w:type="dxa"/>
              <w:start w:w="110" w:type="dxa"/>
              <w:bottom w:w="90" w:type="dxa"/>
              <w:end w:w="110" w:type="dxa"/>
            </w:tcMar>
            <w:vAlign w:val="center"/>
          </w:tcPr>
          <w:p>
            <w:r>
              <w:rPr>
                <w:b/>
              </w:rPr>
              <w:t>Adversariale Kontrollen K1a/K2a/K3a</w:t>
            </w:r>
          </w:p>
        </w:tc>
        <w:tc>
          <w:tcPr>
            <w:tcW w:type="dxa" w:w="3249"/>
            <w:tcMar>
              <w:top w:w="90" w:type="dxa"/>
              <w:start w:w="110" w:type="dxa"/>
              <w:bottom w:w="90" w:type="dxa"/>
              <w:end w:w="110" w:type="dxa"/>
            </w:tcMar>
            <w:vAlign w:val="center"/>
          </w:tcPr>
          <w:p>
            <w:r>
              <w:t>Nicht‑Typ‑B aktiv herausfordern</w:t>
            </w:r>
          </w:p>
        </w:tc>
        <w:tc>
          <w:tcPr>
            <w:tcW w:type="dxa" w:w="3249"/>
            <w:tcMar>
              <w:top w:w="90" w:type="dxa"/>
              <w:start w:w="110" w:type="dxa"/>
              <w:bottom w:w="90" w:type="dxa"/>
              <w:end w:w="110" w:type="dxa"/>
            </w:tcMar>
            <w:vAlign w:val="center"/>
          </w:tcPr>
          <w:p>
            <w:r>
              <w:t>Kontrollen bleiben negativ</w:t>
            </w:r>
          </w:p>
        </w:tc>
      </w:tr>
      <w:tr>
        <w:tc>
          <w:tcPr>
            <w:tcW w:type="dxa" w:w="3249"/>
            <w:tcMar>
              <w:top w:w="90" w:type="dxa"/>
              <w:start w:w="110" w:type="dxa"/>
              <w:bottom w:w="90" w:type="dxa"/>
              <w:end w:w="110" w:type="dxa"/>
            </w:tcMar>
            <w:vAlign w:val="center"/>
          </w:tcPr>
          <w:p>
            <w:r>
              <w:rPr>
                <w:b/>
              </w:rPr>
              <w:t>Boundary‑ und Feinscan</w:t>
            </w:r>
          </w:p>
        </w:tc>
        <w:tc>
          <w:tcPr>
            <w:tcW w:type="dxa" w:w="3249"/>
            <w:tcMar>
              <w:top w:w="90" w:type="dxa"/>
              <w:start w:w="110" w:type="dxa"/>
              <w:bottom w:w="90" w:type="dxa"/>
              <w:end w:w="110" w:type="dxa"/>
            </w:tcMar>
            <w:vAlign w:val="center"/>
          </w:tcPr>
          <w:p>
            <w:r>
              <w:t>Grenznahe Kontrolle prüfen</w:t>
            </w:r>
          </w:p>
        </w:tc>
        <w:tc>
          <w:tcPr>
            <w:tcW w:type="dxa" w:w="3249"/>
            <w:tcMar>
              <w:top w:w="90" w:type="dxa"/>
              <w:start w:w="110" w:type="dxa"/>
              <w:bottom w:w="90" w:type="dxa"/>
              <w:end w:w="110" w:type="dxa"/>
            </w:tcMar>
            <w:vAlign w:val="center"/>
          </w:tcPr>
          <w:p>
            <w:r>
              <w:t>K2a am nächsten, aber stabil negativ</w:t>
            </w:r>
          </w:p>
        </w:tc>
      </w:tr>
      <w:tr>
        <w:tc>
          <w:tcPr>
            <w:tcW w:type="dxa" w:w="3249"/>
            <w:tcMar>
              <w:top w:w="90" w:type="dxa"/>
              <w:start w:w="110" w:type="dxa"/>
              <w:bottom w:w="90" w:type="dxa"/>
              <w:end w:w="110" w:type="dxa"/>
            </w:tcMar>
            <w:vAlign w:val="center"/>
          </w:tcPr>
          <w:p>
            <w:r>
              <w:rPr>
                <w:b/>
              </w:rPr>
              <w:t>O1/O2/O3‑Ranking</w:t>
            </w:r>
          </w:p>
        </w:tc>
        <w:tc>
          <w:tcPr>
            <w:tcW w:type="dxa" w:w="3249"/>
            <w:tcMar>
              <w:top w:w="90" w:type="dxa"/>
              <w:start w:w="110" w:type="dxa"/>
              <w:bottom w:w="90" w:type="dxa"/>
              <w:end w:w="110" w:type="dxa"/>
            </w:tcMar>
            <w:vAlign w:val="center"/>
          </w:tcPr>
          <w:p>
            <w:r>
              <w:t>Originalseite stärken</w:t>
            </w:r>
          </w:p>
        </w:tc>
        <w:tc>
          <w:tcPr>
            <w:tcW w:type="dxa" w:w="3249"/>
            <w:tcMar>
              <w:top w:w="90" w:type="dxa"/>
              <w:start w:w="110" w:type="dxa"/>
              <w:bottom w:w="90" w:type="dxa"/>
              <w:end w:w="110" w:type="dxa"/>
            </w:tcMar>
            <w:vAlign w:val="center"/>
          </w:tcPr>
          <w:p>
            <w:r>
              <w:t>O2/O3 bestehen, O1 nicht</w:t>
            </w:r>
          </w:p>
        </w:tc>
      </w:tr>
      <w:tr>
        <w:tc>
          <w:tcPr>
            <w:tcW w:type="dxa" w:w="3249"/>
            <w:tcMar>
              <w:top w:w="90" w:type="dxa"/>
              <w:start w:w="110" w:type="dxa"/>
              <w:bottom w:w="90" w:type="dxa"/>
              <w:end w:w="110" w:type="dxa"/>
            </w:tcMar>
            <w:vAlign w:val="center"/>
          </w:tcPr>
          <w:p>
            <w:r>
              <w:rPr>
                <w:b/>
              </w:rPr>
              <w:t>O2 als Hauptreferenz, O3 als Stützvariante</w:t>
            </w:r>
          </w:p>
        </w:tc>
        <w:tc>
          <w:tcPr>
            <w:tcW w:type="dxa" w:w="3249"/>
            <w:tcMar>
              <w:top w:w="90" w:type="dxa"/>
              <w:start w:w="110" w:type="dxa"/>
              <w:bottom w:w="90" w:type="dxa"/>
              <w:end w:w="110" w:type="dxa"/>
            </w:tcMar>
            <w:vAlign w:val="center"/>
          </w:tcPr>
          <w:p>
            <w:r>
              <w:t>Positiven Hauptlauf definieren</w:t>
            </w:r>
          </w:p>
        </w:tc>
        <w:tc>
          <w:tcPr>
            <w:tcW w:type="dxa" w:w="3249"/>
            <w:tcMar>
              <w:top w:w="90" w:type="dxa"/>
              <w:start w:w="110" w:type="dxa"/>
              <w:bottom w:w="90" w:type="dxa"/>
              <w:end w:w="110" w:type="dxa"/>
            </w:tcMar>
            <w:vAlign w:val="center"/>
          </w:tcPr>
          <w:p>
            <w:r>
              <w:t>Typ‑B‑Ausschluss supported</w:t>
            </w:r>
          </w:p>
        </w:tc>
      </w:tr>
      <w:tr>
        <w:tc>
          <w:tcPr>
            <w:tcW w:type="dxa" w:w="3249"/>
            <w:tcMar>
              <w:top w:w="90" w:type="dxa"/>
              <w:start w:w="110" w:type="dxa"/>
              <w:bottom w:w="90" w:type="dxa"/>
              <w:end w:w="110" w:type="dxa"/>
            </w:tcMar>
            <w:vAlign w:val="center"/>
          </w:tcPr>
          <w:p>
            <w:r>
              <w:rPr>
                <w:b/>
              </w:rPr>
              <w:t>Split‑Eval mit O1‑basierter Kalibrierung</w:t>
            </w:r>
          </w:p>
        </w:tc>
        <w:tc>
          <w:tcPr>
            <w:tcW w:type="dxa" w:w="3249"/>
            <w:tcMar>
              <w:top w:w="90" w:type="dxa"/>
              <w:start w:w="110" w:type="dxa"/>
              <w:bottom w:w="90" w:type="dxa"/>
              <w:end w:w="110" w:type="dxa"/>
            </w:tcMar>
            <w:vAlign w:val="center"/>
          </w:tcPr>
          <w:p>
            <w:r>
              <w:t>Zirkularität reduzieren</w:t>
            </w:r>
          </w:p>
        </w:tc>
        <w:tc>
          <w:tcPr>
            <w:tcW w:type="dxa" w:w="3249"/>
            <w:tcMar>
              <w:top w:w="90" w:type="dxa"/>
              <w:start w:w="110" w:type="dxa"/>
              <w:bottom w:w="90" w:type="dxa"/>
              <w:end w:w="110" w:type="dxa"/>
            </w:tcMar>
            <w:vAlign w:val="center"/>
          </w:tcPr>
          <w:p>
            <w:r>
              <w:t>O2/O3 bleiben positiv</w:t>
            </w:r>
          </w:p>
        </w:tc>
      </w:tr>
    </w:tbl>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A6A6A"/>
        <w:sz w:val="17"/>
      </w:rPr>
      <w:t xml:space="preserve">Seite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A6A6A"/>
        <w:sz w:val="17"/>
      </w:rPr>
      <w:t>Gravitation und RaumZeit — Projektbericht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80"/>
    </w:pPr>
    <w:rPr>
      <w:rFonts w:ascii="Aptos" w:hAnsi="Aptos"/>
      <w:b/>
      <w:color w:val="183A5A"/>
      <w:sz w:val="48"/>
    </w:rPr>
  </w:style>
  <w:style w:type="paragraph" w:customStyle="1" w:styleId="SubtitleCustom">
    <w:name w:val="SubtitleCustom"/>
    <w:basedOn w:val="Normal"/>
    <w:pPr>
      <w:spacing w:after="80"/>
    </w:pPr>
    <w:rPr>
      <w:rFonts w:ascii="Aptos" w:hAnsi="Aptos"/>
      <w:b w:val="0"/>
      <w:color w:val="5B6770"/>
      <w:sz w:val="24"/>
    </w:rPr>
  </w:style>
  <w:style w:type="paragraph" w:customStyle="1" w:styleId="Heading1Custom">
    <w:name w:val="Heading1Custom"/>
    <w:basedOn w:val="Normal"/>
    <w:pPr>
      <w:spacing w:before="240" w:after="80"/>
    </w:pPr>
    <w:rPr>
      <w:rFonts w:ascii="Aptos" w:hAnsi="Aptos"/>
      <w:b/>
      <w:color w:val="183A5A"/>
      <w:sz w:val="32"/>
    </w:rPr>
  </w:style>
  <w:style w:type="paragraph" w:customStyle="1" w:styleId="Heading2Custom">
    <w:name w:val="Heading2Custom"/>
    <w:basedOn w:val="Normal"/>
    <w:pPr>
      <w:spacing w:before="240" w:after="80"/>
    </w:pPr>
    <w:rPr>
      <w:rFonts w:ascii="Aptos" w:hAnsi="Aptos"/>
      <w:b/>
      <w:color w:val="2A5B84"/>
      <w:sz w:val="25"/>
    </w:rPr>
  </w:style>
  <w:style w:type="paragraph" w:customStyle="1" w:styleId="Heading3Custom">
    <w:name w:val="Heading3Custom"/>
    <w:basedOn w:val="Normal"/>
    <w:pPr>
      <w:spacing w:before="240" w:after="80"/>
    </w:pPr>
    <w:rPr>
      <w:rFonts w:ascii="Aptos" w:hAnsi="Aptos"/>
      <w:b/>
      <w:color w:val="3E6C8F"/>
      <w:sz w:val="22"/>
    </w:rPr>
  </w:style>
  <w:style w:type="paragraph" w:customStyle="1" w:styleId="BodyLead">
    <w:name w:val="BodyLead"/>
    <w:basedOn w:val="Normal"/>
    <w:pPr>
      <w:spacing w:after="80"/>
    </w:pPr>
    <w:rPr>
      <w:rFonts w:ascii="Aptos" w:hAnsi="Aptos"/>
      <w:b w:val="0"/>
      <w:color w:val="222222"/>
      <w:sz w:val="23"/>
    </w:rPr>
  </w:style>
  <w:style w:type="paragraph" w:customStyle="1" w:styleId="SmallMuted">
    <w:name w:val="SmallMuted"/>
    <w:basedOn w:val="Normal"/>
    <w:pPr>
      <w:spacing w:after="80"/>
    </w:pPr>
    <w:rPr>
      <w:rFonts w:ascii="Aptos" w:hAnsi="Aptos"/>
      <w:b w:val="0"/>
      <w:color w:val="6A6A6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