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Rapport de Consultation Médicale</w:t>
      </w:r>
    </w:p>
    <w:p/>
    <w:p/>
    <w:p>
      <w:pPr>
        <w:jc w:val="center"/>
      </w:pPr>
      <w:r>
        <w:rPr>
          <w:rFonts w:ascii="Arial" w:hAnsi="Arial" w:eastAsia="Arial" w:cs="Arial"/>
          <w:sz w:val="28"/>
          <w:szCs w:val="28"/>
        </w:rPr>
        <w:t xml:space="preserve">Patient: Milone molf</w:t>
      </w:r>
    </w:p>
    <w:p>
      <w:pPr>
        <w:jc w:val="center"/>
      </w:pPr>
      <w:r>
        <w:rPr>
          <w:rFonts w:ascii="Arial" w:hAnsi="Arial" w:eastAsia="Arial" w:cs="Arial"/>
          <w:sz w:val="28"/>
          <w:szCs w:val="28"/>
        </w:rPr>
        <w:t xml:space="preserve">Date: 21/06/2025</w:t>
      </w:r>
    </w:p>
    <w:p>
      <w:r>
        <w:br w:type="page"/>
      </w:r>
    </w:p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Informations administratives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 du site (FOSA)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Hôpital Général de Douala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Région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Extrême-Nord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District de santé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cité verte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Date (période) du diagnostic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2025-06-06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Numéro de dossier / IPP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PC15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Personnel remplissant le formulaire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MBIDA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Référé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Référé de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sangmelima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Pour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biyemassi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Evolution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Perdu de vue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Données démographiques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 et Prénom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Milone molf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Age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Date de naissance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2023-10-12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Sexe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M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 de la personne à contacter en cas d'urgence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vicky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Lien avec le patient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Grandfather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Vit avec le patient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Assurance / Couverture sociale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Appartient à un groupe/Association de patients drépanocytaires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Vit avec ses parents biologiques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Antécédents médicaux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Type de drépanocytose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SC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Age au diagnostic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4-6 mois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Circonstance de diagnostic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Dépistage néonatal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Histoire familiale de drépanocytose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Autres antécédents médicaux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Chirurgies antérieures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Allergies connues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Antécédents spécifiques liés à la drépanocytose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Nombre total d’épisodes de crises vaso-occlusives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3-5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Nombre total d’hospitalisations (3 derniers mois)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5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Durée de la plus longue hospitalisation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2-5 semaines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Nombre de transfusions (3 derniers mois)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3-5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Antécédents de réaction transfusionnelle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Types de réaction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Fébrile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Antécédents d’allo-immunisation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Signes d’hyperviscosité observés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Épisodes de syndrome thoracique aigu (3 derniers mois)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2-5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 d’AVC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 de priapisme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 d’ulcère de jambe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 de cholecystectomie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Antécédent d’asplénie fonctionnelle ou splénectomie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Vaccination à jour (PEV)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Types de vaccination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DTC (+ HepB-Hib+Polio+Pneumo13+Rota1)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Vaccins recommandés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Antipneumococcique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Traitements en cours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Hydroxyurée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Raisons de non-utilisation de l’hydroxyurée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Manque de moyens financiers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Acide folique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Antibioprophylaxie (Pénicilline)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Transfusions régulières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Type de transfusion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Fractionné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Examens paracliniques complémentaires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NFS (GB)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GB entre 4000-10000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NFS (Hb)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HB 8-10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NFS (Pqts)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Pqttes 10000-15000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GS Rh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AB+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Imagerie médicale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Radio Bassin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Ophtalmologie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Rétinopathie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Consultations spécialisées associées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Orthopédie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Suivi psychologique et social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Impact scolaire / absentéisme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Accompagnement psychologique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Soutien social / Prestations spécifiques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Famille informée et éduquée sur la maladie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Oui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Plan de suivi personnalisé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absentéisme scolaire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Éducation thérapeutique prévue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Non</w:t>
            </w:r>
          </w:p>
        </w:tc>
      </w:tr>
    </w:tbl>
    <w:p/>
    <w:p>
      <w:pPr>
        <w:spacing w:after="200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Suivi trimestriel / Consultation</w:t>
      </w:r>
    </w:p>
    <w:tbl>
      <w:tblGrid>
        <w:gridCol w:w="4000" w:type="dxa"/>
        <w:gridCol w:w="8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Poids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90</w:t>
            </w:r>
          </w:p>
        </w:tc>
      </w:tr>
      <w:tr>
        <w:trPr/>
        <w:tc>
          <w:tcPr>
            <w:tcW w:w="4000" w:type="dxa"/>
            <w:shd w:val="clear" w:fill="f0f0f0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Taille</w:t>
            </w:r>
          </w:p>
        </w:tc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color w:val="666666"/>
                <w:sz w:val="20"/>
                <w:szCs w:val="20"/>
                <w:b w:val="1"/>
                <w:bCs w:val="1"/>
              </w:rPr>
              <w:t xml:space="preserve">165</w:t>
            </w:r>
          </w:p>
        </w:tc>
      </w:tr>
    </w:tbl>
    <w:p/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Arial" w:hAnsi="Arial" w:eastAsia="Arial" w:cs="Arial"/>
        <w:sz w:val="20"/>
        <w:szCs w:val="20"/>
      </w:rPr>
      <w:t xml:space="preserve">Page </w:t>
    </w:r>
    <w:r>
      <w:fldChar w:fldCharType="begin"/>
    </w:r>
    <w:r>
      <w:rPr>
        <w:rFonts w:ascii="Arial" w:hAnsi="Arial" w:eastAsia="Arial" w:cs="Arial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rFonts w:ascii="Arial" w:hAnsi="Arial" w:eastAsia="Arial" w:cs="Arial"/>
        <w:sz w:val="20"/>
        <w:szCs w:val="20"/>
      </w:rPr>
      <w:t xml:space="preserve"> de </w:t>
    </w:r>
    <w:r>
      <w:fldChar w:fldCharType="begin"/>
    </w:r>
    <w:r>
      <w:rPr>
        <w:rFonts w:ascii="Arial" w:hAnsi="Arial" w:eastAsia="Arial" w:cs="Arial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Arial" w:hAnsi="Arial" w:eastAsia="Arial" w:cs="Arial"/>
        <w:sz w:val="20"/>
        <w:szCs w:val="20"/>
      </w:rPr>
      <w:t xml:space="preserve">Consultation de Milone molf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Arial"/>
    <w:rPr>
      <w:rFonts w:ascii="Arial" w:hAnsi="Arial" w:eastAsia="Arial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2025-06-21T09:55:32+02:00</dcterms:created>
  <dcterms:modified xsi:type="dcterms:W3CDTF">2025-06-21T09:55:32+02:00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