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Rapport de Consultation Médicale</w:t>
      </w:r>
    </w:p>
    <w:p/>
    <w:p/>
    <w:p>
      <w:pPr>
        <w:jc w:val="center"/>
      </w:pPr>
      <w:r>
        <w:rPr>
          <w:rFonts w:ascii="Arial" w:hAnsi="Arial" w:eastAsia="Arial" w:cs="Arial"/>
          <w:sz w:val="28"/>
          <w:szCs w:val="28"/>
        </w:rPr>
        <w:t xml:space="preserve">Patient: Ralph Emma</w:t>
      </w:r>
    </w:p>
    <w:p>
      <w:pPr>
        <w:jc w:val="center"/>
      </w:pPr>
      <w:r>
        <w:rPr>
          <w:rFonts w:ascii="Arial" w:hAnsi="Arial" w:eastAsia="Arial" w:cs="Arial"/>
          <w:sz w:val="28"/>
          <w:szCs w:val="28"/>
        </w:rPr>
        <w:t xml:space="preserve">Date: 21/06/2025</w:t>
      </w:r>
    </w:p>
    <w:p>
      <w:r>
        <w:br w:type="page"/>
      </w:r>
    </w:p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Informations administratives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 du site (FOSA)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Hôpital Général de Douala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Région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Nord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District de santé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cité verte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Date (période) du diagnostic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2025-05-28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Numéro de dossier / IPP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PC15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Personnel remplissant le formulaire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MBIDA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Référé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Référé de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sangmelima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Pour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biyemassi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Evolution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Perdu de vue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Données démographiques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 et Prénom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Ralph Emma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Age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26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Date de naissance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1999-03-31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Sexe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M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Adresse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vbnkj5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 de la personne à contacter en cas d'urgence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vicky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Lien avec le patient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Grandfather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Téléphone de la personne à contacter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+237455555555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Vit avec le patient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Assurance / Couverture sociale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tim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Appartient à un groupe/Association de patients drépanocytaires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 du groupe/Association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ASCOMA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Vit avec ses parents biologiques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Antécédents médicaux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Type de drépanocytose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Sβ⁰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Age au diagnostic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4-6 mois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Circonstance de diagnostic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Contexte familial de drépanocytose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Histoire familiale de drépanocytose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Autres antécédents médicaux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Chirurgies antérieures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Allergies connues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Antécédents spécifiques liés à la drépanocytose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Nombre total d’épisodes de crises vaso-occlusives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moins de 2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Nombre total d’hospitalisations (3 derniers mois)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plus de 10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Durée de la plus longue hospitalisation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5-8 semaines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Nombre de transfusions (3 derniers mois)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moins de 2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Taux d’hémoglobine le plus récent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Antécédents de réaction transfusionnelle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Types de réaction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Hémolytique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Antécédents d’allo-immunisation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Signes d’hyperviscosité observés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Épisodes de syndrome thoracique aigu (3 derniers mois)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5-8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 d’AVC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 de priapisme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 d’ulcère de jambe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 de cholecystectomie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 d’asplénie fonctionnelle ou splénectomie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Vaccination à jour (PEV)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Vaccins recommandés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Antipneumococcique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Traitements en cours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Hydroxyurée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Raisons de non-utilisation de l’hydroxyurée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Crainte des effets secondaires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Acide folique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Antibioprophylaxie (Pénicilline)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Transfusions régulières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Type de transfusion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Échange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Fréquence des transfusions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ee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Examens paracliniques complémentaires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NFS (GB)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GB entre 4000-10000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NFS (Hb)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HB 8-10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NFS (Pqts)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Pqttes inférieure à 4000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Taux de réticulocytes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qwerty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Microalbuminurie de 24h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Bilan d’hémolyse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eeee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GS Rh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AB+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Imagerie médicale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IRM Thoracique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Ophtalmologie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FO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Consultations spécialisées associées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Orthopédie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Suivi psychologique et social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Impact scolaire / absentéisme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Accompagnement psychologique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Soutien social / Prestations spécifiques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Famille informée et éduquée sur la maladie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Plan de suivi personnalisé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absentéisme scolaire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Plan de suivi personnalisé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Éducation thérapeutique prévue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Suivi trimestriel / Consultation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Poids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95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Taille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120</w:t>
            </w:r>
          </w:p>
        </w:tc>
      </w:tr>
    </w:tbl>
    <w:p/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Arial" w:hAnsi="Arial" w:eastAsia="Arial" w:cs="Arial"/>
        <w:sz w:val="20"/>
        <w:szCs w:val="20"/>
      </w:rPr>
      <w:t xml:space="preserve">Page </w:t>
    </w:r>
    <w:r>
      <w:fldChar w:fldCharType="begin"/>
    </w:r>
    <w:r>
      <w:rPr>
        <w:rFonts w:ascii="Arial" w:hAnsi="Arial" w:eastAsia="Arial" w:cs="Arial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rFonts w:ascii="Arial" w:hAnsi="Arial" w:eastAsia="Arial" w:cs="Arial"/>
        <w:sz w:val="20"/>
        <w:szCs w:val="20"/>
      </w:rPr>
      <w:t xml:space="preserve"> de </w:t>
    </w:r>
    <w:r>
      <w:fldChar w:fldCharType="begin"/>
    </w:r>
    <w:r>
      <w:rPr>
        <w:rFonts w:ascii="Arial" w:hAnsi="Arial" w:eastAsia="Arial" w:cs="Arial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Arial" w:hAnsi="Arial" w:eastAsia="Arial" w:cs="Arial"/>
        <w:sz w:val="20"/>
        <w:szCs w:val="20"/>
      </w:rPr>
      <w:t xml:space="preserve">Consultation de Ralph Emma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Arial"/>
    <w:rPr>
      <w:rFonts w:ascii="Arial" w:hAnsi="Arial" w:eastAsia="Arial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2025-06-21T09:41:23+02:00</dcterms:created>
  <dcterms:modified xsi:type="dcterms:W3CDTF">2025-06-21T09:41:23+02:00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