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Consultation de Milone molf</w:t>
      </w:r>
    </w:p>
    <w:p>
      <w:pPr>
        <w:spacing w:after="200"/>
      </w:pPr>
      <w:r>
        <w:rPr>
          <w:sz w:val="28"/>
          <w:szCs w:val="28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Fosa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wwwww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Region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wwww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District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wwwww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Diagnostic date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2025-06-07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Ipp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rrrr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Personnel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eee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Referred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Perdu de vue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Full name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Milone molf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Birth date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2016-06-06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Sex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Address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vbnkj5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Emergency contact name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vic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Emergency contact relation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bvbb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Emergency contact phone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34589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Lives with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Insurance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tim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Group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Parents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Sickle type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kkk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Diagnosis age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Diagnosis circumstance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ff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Family history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Other medical history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ggg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Previous surgeries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nnn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Allergies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nnn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Vocs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yyyy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Hospitalizations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fffff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Hospitalization cause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hhhh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Longest hospitalization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hhhhh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Transfusion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Transfusion count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Stroke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Priapism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Leg ulcer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Hydroxyurea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Tolerance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Bonne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Folic acid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Penicillin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Regular transfusion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Transfusion types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Simple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Ophthalmology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School impact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Psych support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Social support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Family educated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Oui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Plan de suivi personnalisé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Next consultation date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2025-06-13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Pre consultation exams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Therapeutic education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Non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Commentaires / Observations libres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Comments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ok</w:t>
            </w:r>
          </w:p>
        </w:tc>
      </w:tr>
    </w:tbl>
    <w:p/>
    <w:p>
      <w:pPr>
        <w:spacing w:after="200"/>
      </w:pPr>
      <w:r>
        <w:rPr>
          <w:sz w:val="28"/>
          <w:szCs w:val="28"/>
          <w:b w:val="1"/>
          <w:bCs w:val="1"/>
        </w:rPr>
        <w:t xml:space="preserve">Suivi trimestriel / Consultation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noWrap/>
          </w:tcPr>
          <w:p>
            <w:pPr/>
            <w:r>
              <w:rPr/>
              <w:t xml:space="preserve">Fosa followup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rrr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Region followup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center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District followup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n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Followup date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2025-06-27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Weight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rr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/>
              <w:t xml:space="preserve">Height</w:t>
            </w:r>
          </w:p>
        </w:tc>
        <w:tc>
          <w:tcPr>
            <w:tcW w:w="8000" w:type="dxa"/>
            <w:noWrap/>
          </w:tcPr>
          <w:p>
            <w:pPr/>
            <w:r>
              <w:rPr/>
              <w:t xml:space="preserve">rrr</w:t>
            </w:r>
          </w:p>
        </w:tc>
      </w:tr>
    </w:tbl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2025-06-07T20:09:38+02:00</dcterms:created>
  <dcterms:modified xsi:type="dcterms:W3CDTF">2025-06-07T20:09:38+02:00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