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785F64D" w:rsidR="007A0806" w:rsidRPr="00D95EB7" w:rsidRDefault="007A0806" w:rsidP="00F77135">
      <w:pPr>
        <w:pStyle w:val="Titel"/>
        <w:ind w:firstLine="708"/>
        <w:jc w:val="center"/>
        <w:rPr>
          <w:lang w:val="en-US"/>
        </w:rPr>
      </w:pPr>
      <w:r w:rsidRPr="00D95EB7">
        <w:rPr>
          <w:lang w:val="en-US"/>
        </w:rPr>
        <w:t xml:space="preserve">Extending </w:t>
      </w:r>
      <w:proofErr w:type="spellStart"/>
      <w:r w:rsidR="00F77135">
        <w:rPr>
          <w:lang w:val="en-US"/>
        </w:rPr>
        <w:t>DeVIDE</w:t>
      </w:r>
      <w:proofErr w:type="spellEnd"/>
      <w:r w:rsidRPr="00D95EB7">
        <w:rPr>
          <w:lang w:val="en-US"/>
        </w:rPr>
        <w:t xml:space="preserv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3663891E" w14:textId="7468F0A6" w:rsidR="00B12C6E" w:rsidRPr="00B12C6E" w:rsidRDefault="007A0806" w:rsidP="00B65C60">
      <w:pPr>
        <w:ind w:left="567" w:right="567"/>
        <w:jc w:val="both"/>
        <w:rPr>
          <w:sz w:val="18"/>
          <w:szCs w:val="18"/>
          <w:lang w:val="en-US"/>
        </w:rPr>
      </w:pPr>
      <w:r w:rsidRPr="00B12C6E">
        <w:rPr>
          <w:b/>
          <w:sz w:val="18"/>
          <w:szCs w:val="18"/>
          <w:lang w:val="en-US"/>
        </w:rPr>
        <w:t>Abstract</w:t>
      </w:r>
      <w:r w:rsidR="00F96462" w:rsidRPr="00B12C6E">
        <w:rPr>
          <w:b/>
          <w:sz w:val="18"/>
          <w:szCs w:val="18"/>
          <w:lang w:val="en-US"/>
        </w:rPr>
        <w:br/>
      </w:r>
      <w:r w:rsidR="001765F2" w:rsidRPr="00037059">
        <w:rPr>
          <w:i/>
          <w:sz w:val="18"/>
          <w:szCs w:val="18"/>
          <w:lang w:val="en-US"/>
        </w:rPr>
        <w:t xml:space="preserve">In </w:t>
      </w:r>
      <w:proofErr w:type="spellStart"/>
      <w:r w:rsidR="00F77135">
        <w:rPr>
          <w:i/>
          <w:sz w:val="18"/>
          <w:szCs w:val="18"/>
          <w:lang w:val="en-US"/>
        </w:rPr>
        <w:t>DeVIDE</w:t>
      </w:r>
      <w:proofErr w:type="spellEnd"/>
      <w:r w:rsidR="001765F2" w:rsidRPr="00037059">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037059">
        <w:rPr>
          <w:i/>
          <w:sz w:val="18"/>
          <w:szCs w:val="18"/>
          <w:lang w:val="en-US"/>
        </w:rPr>
        <w:t>seed points</w:t>
      </w:r>
      <w:r w:rsidR="001765F2" w:rsidRPr="00037059">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proofErr w:type="spellStart"/>
      <w:r w:rsidR="00F77135">
        <w:rPr>
          <w:sz w:val="18"/>
          <w:szCs w:val="18"/>
          <w:lang w:val="en-US" w:eastAsia="nl-NL"/>
        </w:rPr>
        <w:t>DeVIDE</w:t>
      </w:r>
      <w:proofErr w:type="spellEnd"/>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proofErr w:type="spellStart"/>
      <w:r w:rsidR="00F77135">
        <w:rPr>
          <w:sz w:val="18"/>
          <w:szCs w:val="18"/>
          <w:lang w:val="en-US" w:eastAsia="nl-NL"/>
        </w:rPr>
        <w:t>DeVIDE</w:t>
      </w:r>
      <w:proofErr w:type="spellEnd"/>
      <w:r w:rsidRPr="00D95EB7">
        <w:rPr>
          <w:sz w:val="18"/>
          <w:szCs w:val="18"/>
          <w:lang w:val="en-US" w:eastAsia="nl-NL"/>
        </w:rPr>
        <w:t xml:space="preserve">. Because of the experiences we had in the practical exercises, we decided to use </w:t>
      </w:r>
      <w:proofErr w:type="spellStart"/>
      <w:r w:rsidR="00F77135">
        <w:rPr>
          <w:sz w:val="18"/>
          <w:szCs w:val="18"/>
          <w:lang w:val="en-US" w:eastAsia="nl-NL"/>
        </w:rPr>
        <w:t>DeVIDE</w:t>
      </w:r>
      <w:proofErr w:type="spellEnd"/>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proofErr w:type="spellStart"/>
      <w:r w:rsidR="00F77135">
        <w:rPr>
          <w:sz w:val="18"/>
          <w:szCs w:val="18"/>
          <w:lang w:val="en-US" w:eastAsia="nl-NL"/>
        </w:rPr>
        <w:t>DeVIDE</w:t>
      </w:r>
      <w:proofErr w:type="spellEnd"/>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proofErr w:type="spellStart"/>
      <w:r w:rsidR="00F77135">
        <w:rPr>
          <w:sz w:val="18"/>
          <w:szCs w:val="18"/>
          <w:lang w:val="en-US"/>
        </w:rPr>
        <w:t>DeVIDE</w:t>
      </w:r>
      <w:proofErr w:type="spellEnd"/>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0E6470BC"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proofErr w:type="spellStart"/>
      <w:r w:rsidR="00F77135">
        <w:rPr>
          <w:sz w:val="18"/>
          <w:szCs w:val="18"/>
          <w:lang w:val="en-US" w:eastAsia="nl-NL"/>
        </w:rPr>
        <w:t>DeVIDE</w:t>
      </w:r>
      <w:proofErr w:type="spellEnd"/>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proofErr w:type="spellStart"/>
      <w:r w:rsidR="00F77135">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proofErr w:type="spellStart"/>
      <w:r w:rsidR="00F77135">
        <w:rPr>
          <w:sz w:val="18"/>
          <w:szCs w:val="18"/>
          <w:lang w:val="en-US"/>
        </w:rPr>
        <w:t>DeVIDE</w:t>
      </w:r>
      <w:proofErr w:type="spellEnd"/>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proofErr w:type="spellStart"/>
      <w:r w:rsidR="00F77135">
        <w:rPr>
          <w:i/>
          <w:sz w:val="18"/>
          <w:szCs w:val="18"/>
          <w:lang w:val="en-US"/>
        </w:rPr>
        <w:t>DeVIDE</w:t>
      </w:r>
      <w:proofErr w:type="spellEnd"/>
      <w:r>
        <w:rPr>
          <w:i/>
          <w:sz w:val="18"/>
          <w:szCs w:val="18"/>
          <w:lang w:val="en-US"/>
        </w:rPr>
        <w:t xml:space="preserve"> Network.</w:t>
      </w:r>
    </w:p>
    <w:p w14:paraId="5F910F51" w14:textId="659F0F9A"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proofErr w:type="spellStart"/>
      <w:r w:rsidR="00F77135">
        <w:rPr>
          <w:iCs/>
          <w:sz w:val="18"/>
          <w:szCs w:val="18"/>
          <w:lang w:val="en-US" w:eastAsia="nl-NL"/>
        </w:rPr>
        <w:t>DeVIDE</w:t>
      </w:r>
      <w:proofErr w:type="spellEnd"/>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proofErr w:type="spellStart"/>
      <w:r w:rsidR="00126808">
        <w:rPr>
          <w:iCs/>
          <w:sz w:val="18"/>
          <w:szCs w:val="18"/>
          <w:lang w:val="en-US" w:eastAsia="nl-NL"/>
        </w:rPr>
        <w:t>controlpanel</w:t>
      </w:r>
      <w:proofErr w:type="spellEnd"/>
      <w:r w:rsidR="00126808">
        <w:rPr>
          <w:iCs/>
          <w:sz w:val="18"/>
          <w:szCs w:val="18"/>
          <w:lang w:val="en-US" w:eastAsia="nl-NL"/>
        </w:rPr>
        <w:t>.</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5ACBBCB3" w14:textId="16CD858F" w:rsidR="00126808" w:rsidRDefault="00126808" w:rsidP="00126808">
      <w:pPr>
        <w:spacing w:before="180" w:after="0"/>
        <w:jc w:val="both"/>
        <w:rPr>
          <w:iCs/>
          <w:sz w:val="18"/>
          <w:szCs w:val="18"/>
          <w:lang w:val="en-US" w:eastAsia="nl-NL"/>
        </w:rPr>
      </w:pP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proofErr w:type="spellStart"/>
      <w:r w:rsidR="00F77135">
        <w:rPr>
          <w:i/>
          <w:sz w:val="18"/>
          <w:szCs w:val="18"/>
          <w:lang w:val="en-US"/>
        </w:rPr>
        <w:t>DeVIDE</w:t>
      </w:r>
      <w:proofErr w:type="spellEnd"/>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w:t>
      </w:r>
      <w:proofErr w:type="spellStart"/>
      <w:r>
        <w:rPr>
          <w:sz w:val="18"/>
          <w:szCs w:val="18"/>
          <w:lang w:val="en-US"/>
        </w:rPr>
        <w:t>datavalues</w:t>
      </w:r>
      <w:proofErr w:type="spellEnd"/>
      <w:r>
        <w:rPr>
          <w:sz w:val="18"/>
          <w:szCs w:val="18"/>
          <w:lang w:val="en-US"/>
        </w:rPr>
        <w:t xml:space="preserve">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 xml:space="preserve">With a single </w:t>
      </w:r>
      <w:proofErr w:type="spellStart"/>
      <w:r w:rsidR="00A77E3F">
        <w:rPr>
          <w:sz w:val="18"/>
          <w:szCs w:val="18"/>
          <w:lang w:val="en-US"/>
        </w:rPr>
        <w:t>seedpoint</w:t>
      </w:r>
      <w:proofErr w:type="spellEnd"/>
      <w:r w:rsidR="00A77E3F">
        <w:rPr>
          <w:sz w:val="18"/>
          <w:szCs w:val="18"/>
          <w:lang w:val="en-US"/>
        </w:rPr>
        <w: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52BF4E94" w14:textId="4A46706D" w:rsidR="000E47F1" w:rsidRPr="00760A23" w:rsidRDefault="00760A23" w:rsidP="00760A23">
      <w:pPr>
        <w:pStyle w:val="Lijstalinea"/>
        <w:numPr>
          <w:ilvl w:val="0"/>
          <w:numId w:val="1"/>
        </w:numPr>
        <w:spacing w:after="0"/>
        <w:ind w:left="284" w:right="-71" w:hanging="284"/>
        <w:rPr>
          <w:b/>
          <w:sz w:val="18"/>
          <w:szCs w:val="18"/>
          <w:lang w:val="en-US"/>
        </w:rPr>
      </w:pPr>
      <w:commentRangeStart w:id="6"/>
      <w:r w:rsidRPr="00760A23">
        <w:rPr>
          <w:b/>
          <w:sz w:val="18"/>
          <w:szCs w:val="18"/>
          <w:lang w:val="en-US"/>
        </w:rPr>
        <w:t>Di</w:t>
      </w:r>
      <w:r w:rsidR="00F77135">
        <w:rPr>
          <w:b/>
          <w:sz w:val="18"/>
          <w:szCs w:val="18"/>
          <w:lang w:val="en-US"/>
        </w:rPr>
        <w:t>s</w:t>
      </w:r>
      <w:bookmarkStart w:id="7" w:name="_GoBack"/>
      <w:bookmarkEnd w:id="7"/>
      <w:r w:rsidRPr="00760A23">
        <w:rPr>
          <w:b/>
          <w:sz w:val="18"/>
          <w:szCs w:val="18"/>
          <w:lang w:val="en-US"/>
        </w:rPr>
        <w:t>cussion</w:t>
      </w:r>
      <w:commentRangeEnd w:id="6"/>
      <w:r w:rsidR="002A6C5E">
        <w:rPr>
          <w:rStyle w:val="Verwijzingopmerking"/>
        </w:rPr>
        <w:commentReference w:id="6"/>
      </w:r>
    </w:p>
    <w:p w14:paraId="12F692B5" w14:textId="77777777" w:rsidR="00760A23" w:rsidRPr="00760A23" w:rsidRDefault="00760A23" w:rsidP="00760A23">
      <w:pPr>
        <w:ind w:right="-71"/>
        <w:rPr>
          <w:sz w:val="18"/>
          <w:szCs w:val="18"/>
          <w:lang w:val="en-US"/>
        </w:rPr>
      </w:pPr>
    </w:p>
    <w:p w14:paraId="35D638A6" w14:textId="77777777" w:rsidR="00EA29C6" w:rsidRPr="00D95EB7" w:rsidRDefault="00EA29C6" w:rsidP="00EA29C6">
      <w:pPr>
        <w:pStyle w:val="Geenafstand"/>
        <w:rPr>
          <w:lang w:val="en-US"/>
        </w:rPr>
      </w:pPr>
      <w:r w:rsidRPr="00D95EB7">
        <w:rPr>
          <w:noProof/>
          <w:lang w:eastAsia="nl-NL"/>
        </w:rPr>
        <w:lastRenderedPageBreak/>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383696D8" w:rsidR="00EA29C6" w:rsidRPr="00D95EB7" w:rsidRDefault="00EA29C6" w:rsidP="00EA29C6">
      <w:pPr>
        <w:ind w:right="-71"/>
        <w:jc w:val="center"/>
        <w:rPr>
          <w:i/>
          <w:sz w:val="18"/>
          <w:szCs w:val="18"/>
          <w:lang w:val="en-US"/>
        </w:rPr>
      </w:pPr>
      <w:r w:rsidRPr="00D95EB7">
        <w:rPr>
          <w:b/>
          <w:sz w:val="18"/>
          <w:szCs w:val="18"/>
          <w:lang w:val="en-US"/>
        </w:rPr>
        <w:t xml:space="preserve">Figure </w:t>
      </w:r>
      <w:r w:rsidR="008F3AB2">
        <w:rPr>
          <w:b/>
          <w:sz w:val="18"/>
          <w:szCs w:val="18"/>
          <w:lang w:val="en-US"/>
        </w:rPr>
        <w:t>8</w:t>
      </w:r>
      <w:r w:rsidRPr="00D95EB7">
        <w:rPr>
          <w:b/>
          <w:sz w:val="18"/>
          <w:szCs w:val="18"/>
          <w:lang w:val="en-US"/>
        </w:rPr>
        <w:t>:</w:t>
      </w:r>
      <w:r w:rsidRPr="00D95EB7">
        <w:rPr>
          <w:i/>
          <w:sz w:val="18"/>
          <w:szCs w:val="18"/>
          <w:lang w:val="en-US"/>
        </w:rPr>
        <w:t xml:space="preserve"> 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8"/>
      <w:r w:rsidRPr="00D95EB7">
        <w:rPr>
          <w:b/>
          <w:sz w:val="18"/>
          <w:szCs w:val="18"/>
          <w:lang w:val="en-US"/>
        </w:rPr>
        <w:t>Conclusion</w:t>
      </w:r>
      <w:commentRangeEnd w:id="8"/>
      <w:r w:rsidR="000B33A3" w:rsidRPr="00D95EB7">
        <w:rPr>
          <w:rStyle w:val="Verwijzingopmerking"/>
          <w:sz w:val="18"/>
          <w:szCs w:val="18"/>
          <w:lang w:val="en-US"/>
        </w:rPr>
        <w:commentReference w:id="8"/>
      </w:r>
    </w:p>
    <w:p w14:paraId="609138DD" w14:textId="18FF9DD5" w:rsidR="00EB7E5C" w:rsidRDefault="00F77135" w:rsidP="00A33ED9">
      <w:pPr>
        <w:spacing w:after="0"/>
        <w:jc w:val="both"/>
        <w:rPr>
          <w:sz w:val="18"/>
          <w:szCs w:val="18"/>
          <w:lang w:val="en-US"/>
        </w:rPr>
      </w:pPr>
      <w:proofErr w:type="spellStart"/>
      <w:r>
        <w:rPr>
          <w:sz w:val="18"/>
          <w:szCs w:val="18"/>
          <w:highlight w:val="yellow"/>
          <w:lang w:val="en-US"/>
        </w:rPr>
        <w:t>DeVIDE</w:t>
      </w:r>
      <w:proofErr w:type="spellEnd"/>
      <w:r w:rsidR="00EB7E5C" w:rsidRPr="00D95EB7">
        <w:rPr>
          <w:sz w:val="18"/>
          <w:szCs w:val="18"/>
          <w:highlight w:val="yellow"/>
          <w:lang w:val="en-US"/>
        </w:rPr>
        <w:t xml:space="preserve"> was in need of help and we came to the rescue ?</w:t>
      </w:r>
    </w:p>
    <w:p w14:paraId="06293E60" w14:textId="0354506B" w:rsidR="00E06047" w:rsidRPr="00D43B23" w:rsidRDefault="00027BEA" w:rsidP="00D43B23">
      <w:pPr>
        <w:spacing w:after="0"/>
        <w:jc w:val="both"/>
        <w:rPr>
          <w:sz w:val="18"/>
          <w:szCs w:val="18"/>
          <w:lang w:val="en-US"/>
        </w:rPr>
      </w:pPr>
      <w:r>
        <w:rPr>
          <w:sz w:val="18"/>
          <w:szCs w:val="18"/>
          <w:lang w:val="en-US"/>
        </w:rPr>
        <w:t xml:space="preserve">WAS KUT, want </w:t>
      </w:r>
      <w:proofErr w:type="spellStart"/>
      <w:r>
        <w:rPr>
          <w:sz w:val="18"/>
          <w:szCs w:val="18"/>
          <w:lang w:val="en-US"/>
        </w:rPr>
        <w:t>geen</w:t>
      </w:r>
      <w:proofErr w:type="spellEnd"/>
      <w:r>
        <w:rPr>
          <w:sz w:val="18"/>
          <w:szCs w:val="18"/>
          <w:lang w:val="en-US"/>
        </w:rPr>
        <w:t xml:space="preserve"> </w:t>
      </w:r>
      <w:proofErr w:type="spellStart"/>
      <w:r>
        <w:rPr>
          <w:sz w:val="18"/>
          <w:szCs w:val="18"/>
          <w:lang w:val="en-US"/>
        </w:rPr>
        <w:t>documentatie</w:t>
      </w:r>
      <w:proofErr w:type="spellEnd"/>
      <w:r w:rsidR="00D43B23">
        <w:rPr>
          <w:sz w:val="18"/>
          <w:szCs w:val="18"/>
          <w:lang w:val="en-US"/>
        </w:rPr>
        <w:t>, but does yields very good results, with minimal effort.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9"/>
      <w:r w:rsidRPr="00D95EB7">
        <w:rPr>
          <w:b/>
          <w:sz w:val="18"/>
          <w:szCs w:val="18"/>
          <w:lang w:val="en-US"/>
        </w:rPr>
        <w:t>Future work</w:t>
      </w:r>
      <w:commentRangeEnd w:id="9"/>
      <w:r w:rsidR="00EC4002" w:rsidRPr="00D95EB7">
        <w:rPr>
          <w:rStyle w:val="Verwijzingopmerking"/>
          <w:sz w:val="18"/>
          <w:szCs w:val="18"/>
          <w:lang w:val="en-US"/>
        </w:rPr>
        <w:commentReference w:id="9"/>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 xml:space="preserve">For further improvements the colored indicators from the original specifications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framework, but it would be nice to see how the other views are zoomed, compared to a specific 2d view.</w:t>
      </w:r>
    </w:p>
    <w:p w14:paraId="3B84C995" w14:textId="1BF80347" w:rsidR="00165D30"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w:t>
      </w:r>
      <w:proofErr w:type="spellStart"/>
      <w:r w:rsidRPr="00D95EB7">
        <w:rPr>
          <w:sz w:val="18"/>
          <w:szCs w:val="18"/>
          <w:highlight w:val="yellow"/>
          <w:lang w:val="en-US"/>
        </w:rPr>
        <w:t>fullscreen</w:t>
      </w:r>
      <w:proofErr w:type="spellEnd"/>
      <w:r w:rsidRPr="00D95EB7">
        <w:rPr>
          <w:sz w:val="18"/>
          <w:szCs w:val="18"/>
          <w:highlight w:val="yellow"/>
          <w:lang w:val="en-US"/>
        </w:rPr>
        <w:t>.</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 xml:space="preserve">Selection Colors per </w:t>
      </w:r>
      <w:proofErr w:type="spellStart"/>
      <w:r w:rsidRPr="009C5E62">
        <w:rPr>
          <w:sz w:val="18"/>
          <w:szCs w:val="18"/>
          <w:highlight w:val="yellow"/>
          <w:lang w:val="en-US"/>
        </w:rPr>
        <w:t>seedpoint</w:t>
      </w:r>
      <w:proofErr w:type="spellEnd"/>
    </w:p>
    <w:p w14:paraId="0F625403" w14:textId="778C0297" w:rsidR="005F4126" w:rsidRDefault="009C5E62" w:rsidP="00CE710B">
      <w:pPr>
        <w:ind w:firstLine="284"/>
        <w:jc w:val="both"/>
        <w:rPr>
          <w:sz w:val="18"/>
          <w:szCs w:val="18"/>
          <w:lang w:val="en-US"/>
        </w:rPr>
      </w:pPr>
      <w:r w:rsidRPr="009C5E62">
        <w:rPr>
          <w:sz w:val="18"/>
          <w:szCs w:val="18"/>
          <w:highlight w:val="yellow"/>
          <w:lang w:val="en-US"/>
        </w:rPr>
        <w:t>Selection Colors as transfer functions</w:t>
      </w:r>
    </w:p>
    <w:p w14:paraId="5BF85053" w14:textId="7CC0CC96" w:rsidR="001F4D94" w:rsidRPr="00D95EB7" w:rsidRDefault="001F4D94" w:rsidP="00CE710B">
      <w:pPr>
        <w:ind w:firstLine="284"/>
        <w:jc w:val="both"/>
        <w:rPr>
          <w:sz w:val="18"/>
          <w:szCs w:val="18"/>
          <w:lang w:val="en-US"/>
        </w:rPr>
      </w:pPr>
      <w:r w:rsidRPr="001F4D94">
        <w:rPr>
          <w:sz w:val="18"/>
          <w:szCs w:val="18"/>
          <w:highlight w:val="yellow"/>
          <w:lang w:val="en-US"/>
        </w:rPr>
        <w:t>‘Shading on selected 3D data to give a better depth perception</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58DDBDA7" w:rsidR="00F40E6D" w:rsidRPr="00F40E6D" w:rsidRDefault="00F40E6D" w:rsidP="00F40E6D">
      <w:pPr>
        <w:spacing w:after="0"/>
        <w:rPr>
          <w:lang w:val="en-US"/>
        </w:rPr>
      </w:pPr>
      <w:r>
        <w:rPr>
          <w:rStyle w:val="Verwijzingopmerking"/>
        </w:rPr>
        <w:annotationRef/>
      </w:r>
      <w:r w:rsidRPr="00A90E9C">
        <w:rPr>
          <w:lang w:val="en-US"/>
        </w:rPr>
        <w:t>(discussion): Present the results that you obtained. This can be images with different data</w:t>
      </w:r>
      <w:r w:rsidR="00B8661F">
        <w:rPr>
          <w:lang w:val="en-US"/>
        </w:rPr>
        <w:t xml:space="preserve"> sets, time tables, etc.</w:t>
      </w:r>
      <w:r>
        <w:rPr>
          <w:lang w:val="en-US"/>
        </w:rPr>
        <w:t xml:space="preserve">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3T14:42:00Z" w:initials="JvV">
    <w:p w14:paraId="2A7FB75B" w14:textId="123F13C0" w:rsidR="002A6C5E" w:rsidRPr="002A6C5E" w:rsidRDefault="002A6C5E">
      <w:pPr>
        <w:pStyle w:val="Tekstopmerking"/>
        <w:rPr>
          <w:lang w:val="en-US"/>
        </w:rPr>
      </w:pPr>
      <w:r>
        <w:rPr>
          <w:rStyle w:val="Verwijzingopmerking"/>
        </w:rPr>
        <w:annotationRef/>
      </w:r>
      <w:r w:rsidRPr="00A90E9C">
        <w:rPr>
          <w:lang w:val="en-US"/>
        </w:rPr>
        <w:t xml:space="preserve">the discussion of the results, how good </w:t>
      </w:r>
      <w:r>
        <w:rPr>
          <w:lang w:val="en-US"/>
        </w:rPr>
        <w:t>are they.</w:t>
      </w:r>
    </w:p>
  </w:comment>
  <w:comment w:id="8"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9"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A7FB75B"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42502" w14:textId="77777777" w:rsidR="00E07C90" w:rsidRDefault="00E07C90" w:rsidP="00FC13FD">
      <w:pPr>
        <w:spacing w:after="0" w:line="240" w:lineRule="auto"/>
      </w:pPr>
      <w:r>
        <w:separator/>
      </w:r>
    </w:p>
  </w:endnote>
  <w:endnote w:type="continuationSeparator" w:id="0">
    <w:p w14:paraId="09F83279" w14:textId="77777777" w:rsidR="00E07C90" w:rsidRDefault="00E07C90"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F283E" w14:textId="77777777" w:rsidR="00E07C90" w:rsidRDefault="00E07C90" w:rsidP="00FC13FD">
      <w:pPr>
        <w:spacing w:after="0" w:line="240" w:lineRule="auto"/>
      </w:pPr>
      <w:r>
        <w:separator/>
      </w:r>
    </w:p>
  </w:footnote>
  <w:footnote w:type="continuationSeparator" w:id="0">
    <w:p w14:paraId="39467978" w14:textId="77777777" w:rsidR="00E07C90" w:rsidRDefault="00E07C90"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A32D7"/>
    <w:rsid w:val="001B2FB9"/>
    <w:rsid w:val="001B74B2"/>
    <w:rsid w:val="001B77CC"/>
    <w:rsid w:val="001C18A9"/>
    <w:rsid w:val="001C68CD"/>
    <w:rsid w:val="001D0AA9"/>
    <w:rsid w:val="001D4088"/>
    <w:rsid w:val="001D52CD"/>
    <w:rsid w:val="001E1C9A"/>
    <w:rsid w:val="001E34B6"/>
    <w:rsid w:val="001F4D94"/>
    <w:rsid w:val="001F6C0F"/>
    <w:rsid w:val="002008C2"/>
    <w:rsid w:val="002009C7"/>
    <w:rsid w:val="0020187E"/>
    <w:rsid w:val="002121C0"/>
    <w:rsid w:val="00222797"/>
    <w:rsid w:val="00247996"/>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1266"/>
    <w:rsid w:val="00333997"/>
    <w:rsid w:val="00337E11"/>
    <w:rsid w:val="0034614A"/>
    <w:rsid w:val="00346A99"/>
    <w:rsid w:val="00351611"/>
    <w:rsid w:val="00354734"/>
    <w:rsid w:val="00355AA7"/>
    <w:rsid w:val="00356E4E"/>
    <w:rsid w:val="00361A8B"/>
    <w:rsid w:val="003706CE"/>
    <w:rsid w:val="00370F9E"/>
    <w:rsid w:val="003753F3"/>
    <w:rsid w:val="003828A2"/>
    <w:rsid w:val="003A58CE"/>
    <w:rsid w:val="003A65EB"/>
    <w:rsid w:val="003B33E7"/>
    <w:rsid w:val="003B3574"/>
    <w:rsid w:val="003B71E1"/>
    <w:rsid w:val="003E269B"/>
    <w:rsid w:val="003E3904"/>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5B0D"/>
    <w:rsid w:val="004F563B"/>
    <w:rsid w:val="00510274"/>
    <w:rsid w:val="00526C70"/>
    <w:rsid w:val="00535D0B"/>
    <w:rsid w:val="00545A44"/>
    <w:rsid w:val="00547B7C"/>
    <w:rsid w:val="005811B3"/>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0A23"/>
    <w:rsid w:val="00763414"/>
    <w:rsid w:val="00784C34"/>
    <w:rsid w:val="007926F6"/>
    <w:rsid w:val="007A0806"/>
    <w:rsid w:val="007C1441"/>
    <w:rsid w:val="007C1D56"/>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A1DF0"/>
    <w:rsid w:val="008B70F9"/>
    <w:rsid w:val="008C1D08"/>
    <w:rsid w:val="008D1633"/>
    <w:rsid w:val="008D29F9"/>
    <w:rsid w:val="008D5609"/>
    <w:rsid w:val="008F3AB2"/>
    <w:rsid w:val="008F79E6"/>
    <w:rsid w:val="00905C54"/>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D1BC6"/>
    <w:rsid w:val="00AE0144"/>
    <w:rsid w:val="00AE26D7"/>
    <w:rsid w:val="00AE2D31"/>
    <w:rsid w:val="00AF43A3"/>
    <w:rsid w:val="00B01D81"/>
    <w:rsid w:val="00B070F2"/>
    <w:rsid w:val="00B12C6E"/>
    <w:rsid w:val="00B13E87"/>
    <w:rsid w:val="00B26694"/>
    <w:rsid w:val="00B27853"/>
    <w:rsid w:val="00B417A2"/>
    <w:rsid w:val="00B437DF"/>
    <w:rsid w:val="00B439C7"/>
    <w:rsid w:val="00B65C60"/>
    <w:rsid w:val="00B66A5F"/>
    <w:rsid w:val="00B8661F"/>
    <w:rsid w:val="00B87732"/>
    <w:rsid w:val="00B90C63"/>
    <w:rsid w:val="00B9245D"/>
    <w:rsid w:val="00BA60E2"/>
    <w:rsid w:val="00BB097A"/>
    <w:rsid w:val="00BB2A1F"/>
    <w:rsid w:val="00BB7E17"/>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296B"/>
    <w:rsid w:val="00D6391B"/>
    <w:rsid w:val="00D6449D"/>
    <w:rsid w:val="00D6545E"/>
    <w:rsid w:val="00D65CE0"/>
    <w:rsid w:val="00D776E5"/>
    <w:rsid w:val="00D8300A"/>
    <w:rsid w:val="00D862E0"/>
    <w:rsid w:val="00D94678"/>
    <w:rsid w:val="00D95EB7"/>
    <w:rsid w:val="00DB7525"/>
    <w:rsid w:val="00DC1E6C"/>
    <w:rsid w:val="00DD5468"/>
    <w:rsid w:val="00DF2CE0"/>
    <w:rsid w:val="00DF7B60"/>
    <w:rsid w:val="00E06047"/>
    <w:rsid w:val="00E07C90"/>
    <w:rsid w:val="00E30455"/>
    <w:rsid w:val="00E35630"/>
    <w:rsid w:val="00E4265A"/>
    <w:rsid w:val="00E62907"/>
    <w:rsid w:val="00E6334F"/>
    <w:rsid w:val="00E63371"/>
    <w:rsid w:val="00E86373"/>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77135"/>
    <w:rsid w:val="00F90903"/>
    <w:rsid w:val="00F947E9"/>
    <w:rsid w:val="00F96462"/>
    <w:rsid w:val="00FA243D"/>
    <w:rsid w:val="00FB478B"/>
    <w:rsid w:val="00FC13FD"/>
    <w:rsid w:val="00FC4F50"/>
    <w:rsid w:val="00FE120E"/>
    <w:rsid w:val="00FE2593"/>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7AF8A-E94C-41EE-BBEF-32AF5FA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1468</Words>
  <Characters>8076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Ralf Nieuwenhuizen</cp:lastModifiedBy>
  <cp:revision>272</cp:revision>
  <dcterms:created xsi:type="dcterms:W3CDTF">2014-06-22T13:39:00Z</dcterms:created>
  <dcterms:modified xsi:type="dcterms:W3CDTF">2014-06-23T12:47:00Z</dcterms:modified>
</cp:coreProperties>
</file>