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9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bookmarkStart w:colFirst="0" w:colLast="0" w:name="_ftakebeufaha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Personal Investment Portfolio (2019-2023)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34.1463414634147"/>
        <w:gridCol w:w="1775.6097560975609"/>
        <w:gridCol w:w="722.9268292682927"/>
        <w:gridCol w:w="2219.512195121951"/>
        <w:gridCol w:w="1775.6097560975609"/>
        <w:gridCol w:w="2232.1951219512193"/>
        <w:tblGridChange w:id="0">
          <w:tblGrid>
            <w:gridCol w:w="634.1463414634147"/>
            <w:gridCol w:w="1775.6097560975609"/>
            <w:gridCol w:w="722.9268292682927"/>
            <w:gridCol w:w="2219.512195121951"/>
            <w:gridCol w:w="1775.6097560975609"/>
            <w:gridCol w:w="2232.195121951219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  <w:rtl w:val="0"/>
              </w:rPr>
              <w:t xml:space="preserve">Ticker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  <w:rtl w:val="0"/>
              </w:rPr>
              <w:t xml:space="preserve">Amount Invested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  <w:rtl w:val="0"/>
              </w:rPr>
              <w:t xml:space="preserve">Annual Return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  <w:rtl w:val="0"/>
              </w:rPr>
              <w:t xml:space="preserve">Value End of Year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AlphaTech Inc.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11,200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GreenEnergy Corp.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GEC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8,000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8,640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HealthPlus Ltd.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HPL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5,750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FinServ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FSG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7,000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411.42960000000005" w:lineRule="auto"/>
              <w:rPr>
                <w:rFonts w:ascii="Montserrat" w:cs="Montserrat" w:eastAsia="Montserrat" w:hAnsi="Montserrat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1"/>
                <w:szCs w:val="21"/>
                <w:rtl w:val="0"/>
              </w:rPr>
              <w:t xml:space="preserve">6,650</w:t>
            </w:r>
          </w:p>
        </w:tc>
      </w:tr>
    </w:tbl>
    <w:p w:rsidR="00000000" w:rsidDel="00000000" w:rsidP="00000000" w:rsidRDefault="00000000" w:rsidRPr="00000000" w14:paraId="00000020">
      <w:pPr>
        <w:spacing w:after="120" w:before="120" w:line="39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| 2020 | AlphaTech Inc. | ATI | - | 20 | 13,440 |</w:t>
        <w:br w:type="textWrapping"/>
        <w:t xml:space="preserve">| 2020 | GreenEnergy Corp. | GEC | - | 10 | 9,504 |</w:t>
        <w:br w:type="textWrapping"/>
        <w:t xml:space="preserve">| 2020 | HealthPlus Ltd. | HPL | - | 5 | 6,037 |</w:t>
        <w:br w:type="textWrapping"/>
        <w:t xml:space="preserve">| 2020 | FinServ Global | FSG | - | 7 | 7,116 |</w:t>
        <w:br w:type="textWrapping"/>
        <w:t xml:space="preserve">| 2020 | RetailMart Co. | RMC | 6,000 | 3 | 6,180 |</w:t>
      </w:r>
    </w:p>
    <w:p w:rsidR="00000000" w:rsidDel="00000000" w:rsidP="00000000" w:rsidRDefault="00000000" w:rsidRPr="00000000" w14:paraId="00000021">
      <w:pPr>
        <w:spacing w:after="120" w:before="240" w:line="39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| 2021 | AlphaTech Inc. | ATI | - | 30 | 17,472 |</w:t>
        <w:br w:type="textWrapping"/>
        <w:t xml:space="preserve">| 2021 | GreenEnergy Corp. | GEC | - | 12 | 10,645 |</w:t>
        <w:br w:type="textWrapping"/>
        <w:t xml:space="preserve">| 2021 | HealthPlus Ltd. | HPL | - | 8 | 6,520 |</w:t>
        <w:br w:type="textWrapping"/>
        <w:t xml:space="preserve">| 2021 | FinServ Global | FSG | - | -3 | 6,902 |</w:t>
        <w:br w:type="textWrapping"/>
        <w:t xml:space="preserve">| 2021 | RetailMart Co. | RMC | - | 15 | 7,107 |</w:t>
        <w:br w:type="textWrapping"/>
        <w:t xml:space="preserve">| 2021 | TechWave Ltd. | TWL | 4,000 | 25 | 5,000 |</w:t>
      </w:r>
    </w:p>
    <w:p w:rsidR="00000000" w:rsidDel="00000000" w:rsidP="00000000" w:rsidRDefault="00000000" w:rsidRPr="00000000" w14:paraId="00000022">
      <w:pPr>
        <w:spacing w:after="120" w:before="240" w:line="39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| 2022 | AlphaTech Inc. | ATI | - | -10 | 15,725 |</w:t>
        <w:br w:type="textWrapping"/>
        <w:t xml:space="preserve">| 2022 | GreenEnergy Corp. | GEC | - | 5 | 11,177 |</w:t>
        <w:br w:type="textWrapping"/>
        <w:t xml:space="preserve">| 2022 | HealthPlus Ltd. | HPL | - | 12 | 7,302 |</w:t>
        <w:br w:type="textWrapping"/>
        <w:t xml:space="preserve">| 2022 | FinServ Global | FSG | - | 4 | 7,178 |</w:t>
        <w:br w:type="textWrapping"/>
        <w:t xml:space="preserve">| 2022 | RetailMart Co. | RMC | - | 8 | 7,675 |</w:t>
        <w:br w:type="textWrapping"/>
        <w:t xml:space="preserve">| 2022 | TechWave Ltd. | TWL | - | 18 | 5,900 |</w:t>
      </w:r>
    </w:p>
    <w:p w:rsidR="00000000" w:rsidDel="00000000" w:rsidP="00000000" w:rsidRDefault="00000000" w:rsidRPr="00000000" w14:paraId="00000023">
      <w:pPr>
        <w:spacing w:after="120" w:before="240" w:line="39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| 2023 | AlphaTech Inc. | ATI | - | 20 | 18,870 |</w:t>
        <w:br w:type="textWrapping"/>
        <w:t xml:space="preserve">| 2023 | GreenEnergy Corp. | GEC | - | 7 | 11,960 |</w:t>
        <w:br w:type="textWrapping"/>
        <w:t xml:space="preserve">| 2023 | HealthPlus Ltd. | HPL | - | 3 | 7,521 |</w:t>
        <w:br w:type="textWrapping"/>
        <w:t xml:space="preserve">| 2023 | FinServ Global | FSG | - | 10 | 7,896 |</w:t>
        <w:br w:type="textWrapping"/>
        <w:t xml:space="preserve">| 2023 | RetailMart Co. | RMC | - | 5 | 8,059 |</w:t>
        <w:br w:type="textWrapping"/>
        <w:t xml:space="preserve">| 2023 | TechWave Ltd. | TWL | - | 12 | 6,608 |</w:t>
      </w:r>
    </w:p>
    <w:p w:rsidR="00000000" w:rsidDel="00000000" w:rsidP="00000000" w:rsidRDefault="00000000" w:rsidRPr="00000000" w14:paraId="00000024">
      <w:pPr>
        <w:spacing w:line="39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="39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bookmarkStart w:colFirst="0" w:colLast="0" w:name="_mstwv0pkztv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6"/>
          <w:szCs w:val="36"/>
          <w:rtl w:val="0"/>
        </w:rPr>
        <w:t xml:space="preserve">Summary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Initial investment mostly in 2019, with additions in 2020 and 2021.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Portfolio includes technology (AlphaTech, TechWave), renewable energy (GreenEnergy), healthcare (HealthPlus), financial services (FinServ), and retail (RetailMart).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Fluctuating returns reflecting market variability with overall growth.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Ending portfolio value (2023): Approximately $60,000</w:t>
      </w:r>
    </w:p>
    <w:p w:rsidR="00000000" w:rsidDel="00000000" w:rsidP="00000000" w:rsidRDefault="00000000" w:rsidRPr="00000000" w14:paraId="0000002A">
      <w:pPr>
        <w:spacing w:after="120" w:before="120" w:line="39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Would you like the data formatted as a CSV or for specific types of companies or industries?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