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  <w:color w:val="303030"/>
          <w:sz w:val="33"/>
          <w:szCs w:val="33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33"/>
          <w:szCs w:val="33"/>
          <w:highlight w:val="white"/>
          <w:rtl w:val="0"/>
        </w:rPr>
        <w:t xml:space="preserve">Step-by-Step AI Competitor Research Agent Build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This two-page guide outlines the step-by-step construction of an automated competitor research AI agent built within the n8n environment, utilizing multiple Large Language Model (LLM) connected services and a Google Sheet database.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color w:val="30303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4"/>
          <w:szCs w:val="24"/>
          <w:highlight w:val="white"/>
          <w:rtl w:val="0"/>
        </w:rPr>
        <w:t xml:space="preserve">A. Goal and Infrastructure Overview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The objective of this workflow is to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automate the painful process of competitor research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to generate daily, consistent, and comprehensive insights directly into a spreadsheet, requiring only 30 minutes of setup time.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The flow operates as follows: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1.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Input: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Google Sheets provides competitor names and URLs.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2.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Data Collection (Two-Request Framework):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Two separate HTTP requests gather different types of data (general information and specific news) from LLM-connected services (Perplexity and Tavali).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3.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Agent Processing: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An LLM chain (the "agent") takes the raw, merged data and formats it into a standardized intelligence report, ensuring consistency and structured analysis.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4.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Output: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The final report is dynamically written back to the Google Sheet.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color w:val="30303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4"/>
          <w:szCs w:val="24"/>
          <w:highlight w:val="white"/>
          <w:rtl w:val="0"/>
        </w:rPr>
        <w:t xml:space="preserve">B. Step-by-Step Agent Construction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The agent flow is built using six primary nodes: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Step 1: Initialize Input (Google Sheet Node)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This node sets up the data source for the workflow.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Setup: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Configure the Google Sheet node to connect to the relevant sheet (e.g., "competitor research demo sheet") and the designated "research Tab".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Action: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The operation should be set to retrieve competitor information.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Data Retrieved: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The flow pulls the Competitor Name, the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Website URL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(used because competitor names might be similar), and the Row Number.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Step 2: Data Gathering – General Information (Perplexity Node)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This node uses Perplexity to connect LLMs (like Claude or GPT) to the internet for live, general data and comprehensive information.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Endpoint: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282a2c"/>
          <w:sz w:val="21"/>
          <w:szCs w:val="21"/>
          <w:shd w:fill="c4c7c5" w:val="clear"/>
          <w:rtl w:val="0"/>
        </w:rPr>
        <w:t xml:space="preserve">api.perplexity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Authentication: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Set the Authorization header type to </w:t>
      </w:r>
      <w:r w:rsidDel="00000000" w:rsidR="00000000" w:rsidRPr="00000000">
        <w:rPr>
          <w:rFonts w:ascii="Montserrat" w:cs="Montserrat" w:eastAsia="Montserrat" w:hAnsi="Montserrat"/>
          <w:color w:val="282a2c"/>
          <w:sz w:val="21"/>
          <w:szCs w:val="21"/>
          <w:shd w:fill="c4c7c5" w:val="clear"/>
          <w:rtl w:val="0"/>
        </w:rPr>
        <w:t xml:space="preserve">Bearer space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followed by your API key (obtained from Perplexity’s site).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Headers: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Specify </w:t>
      </w:r>
      <w:r w:rsidDel="00000000" w:rsidR="00000000" w:rsidRPr="00000000">
        <w:rPr>
          <w:rFonts w:ascii="Montserrat" w:cs="Montserrat" w:eastAsia="Montserrat" w:hAnsi="Montserrat"/>
          <w:color w:val="282a2c"/>
          <w:sz w:val="21"/>
          <w:szCs w:val="21"/>
          <w:shd w:fill="c4c7c5" w:val="clear"/>
          <w:rtl w:val="0"/>
        </w:rPr>
        <w:t xml:space="preserve">Accept: application/Json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Body Configuration: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   ◦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Model: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Use the standard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Llama 3.1 Sona small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(recommended as the cheapest model).</w:t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   ◦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Role: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Set to </w:t>
      </w:r>
      <w:r w:rsidDel="00000000" w:rsidR="00000000" w:rsidRPr="00000000">
        <w:rPr>
          <w:rFonts w:ascii="Montserrat" w:cs="Montserrat" w:eastAsia="Montserrat" w:hAnsi="Montserrat"/>
          <w:color w:val="282a2c"/>
          <w:sz w:val="21"/>
          <w:szCs w:val="21"/>
          <w:shd w:fill="c4c7c5" w:val="clear"/>
          <w:rtl w:val="0"/>
        </w:rPr>
        <w:t xml:space="preserve">user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   ◦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Content/Prompt: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Use a broad prompt asking the model to analyze the competitor using publicly available data.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Crucially, the prompt must pass the Website URL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dragged from the input sheet. Guidelines should be included to ensure the model uses only credible sources and returns information in clear sections with bullet points.</w:t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Step 3: Data Gathering – Specific News (Tavali HTTP Request)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This node complements Perplexity by focusing specifically on recent news articles, utilizing Tavali's specialized news endpoint.</w:t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Endpoint: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282a2c"/>
          <w:sz w:val="21"/>
          <w:szCs w:val="21"/>
          <w:shd w:fill="c4c7c5" w:val="clear"/>
          <w:rtl w:val="0"/>
        </w:rPr>
        <w:t xml:space="preserve">tavali.com/search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Authentication: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Use header authentication with the API key.</w:t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Body Configuration:</w:t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   ◦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Query: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The query should be simple, asking to find news about the competitor (using name and website) from the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last seven days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   ◦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Settings: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Specify that the search should be an </w:t>
      </w:r>
      <w:r w:rsidDel="00000000" w:rsidR="00000000" w:rsidRPr="00000000">
        <w:rPr>
          <w:rFonts w:ascii="Montserrat" w:cs="Montserrat" w:eastAsia="Montserrat" w:hAnsi="Montserrat"/>
          <w:color w:val="282a2c"/>
          <w:sz w:val="21"/>
          <w:szCs w:val="21"/>
          <w:shd w:fill="c4c7c5" w:val="clear"/>
          <w:rtl w:val="0"/>
        </w:rPr>
        <w:t xml:space="preserve">advanced search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and set the maximum number of results (Max results) to 20. Crucially, ensure the setting specifies returning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news articles only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Step 4: Data Consolidation (Merge Node)</w:t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The data gathered in Steps 2 and 3 is still raw (containing citations and messy structure) but needs to be combined before processing.</w:t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Action: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Merge the two inputs (general information from Perplexity and specific news from Tavali).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Method: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Merge by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position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. Since only two results are input per competitor, merging by position ensures they form one long, consistent result.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Step 5: Agent Processing and Formatting (LLM Chain Node)</w:t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This is the core "agent" node, responsible for thinking through the data, structuring it, and returning consistent, standardized output.</w:t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Node Name: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Format Report (or similar LLM Chain name).</w:t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Input: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The node receives the merged raw data (referred to as </w:t>
      </w:r>
      <w:r w:rsidDel="00000000" w:rsidR="00000000" w:rsidRPr="00000000">
        <w:rPr>
          <w:rFonts w:ascii="Montserrat" w:cs="Montserrat" w:eastAsia="Montserrat" w:hAnsi="Montserrat"/>
          <w:color w:val="282a2c"/>
          <w:sz w:val="21"/>
          <w:szCs w:val="21"/>
          <w:shd w:fill="c4c7c5" w:val="clear"/>
          <w:rtl w:val="0"/>
        </w:rPr>
        <w:t xml:space="preserve">general info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and </w:t>
      </w:r>
      <w:r w:rsidDel="00000000" w:rsidR="00000000" w:rsidRPr="00000000">
        <w:rPr>
          <w:rFonts w:ascii="Montserrat" w:cs="Montserrat" w:eastAsia="Montserrat" w:hAnsi="Montserrat"/>
          <w:color w:val="282a2c"/>
          <w:sz w:val="21"/>
          <w:szCs w:val="21"/>
          <w:shd w:fill="c4c7c5" w:val="clear"/>
          <w:rtl w:val="0"/>
        </w:rPr>
        <w:t xml:space="preserve">news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System Prompt (The Agent Definition):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This is the most important component. Define the agent's role: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"You're a task with analyzing two inputs and forming them into a standardized intelligence report."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Key Instructions/Categorization: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Explicitly tell the agent to format the analysis and pull out key insights, such as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pricing strategy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and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financial status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, providing examples of relevant information.</w:t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Rules: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Include specific rules for the output format to ensure consistency.</w:t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Step 6: Output Storage (Google Sheet Update Node)</w:t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This node stores the final, comprehensive intelligence report back into the spreadsheet daily.</w:t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Operation: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Use the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82a2c"/>
          <w:sz w:val="21"/>
          <w:szCs w:val="21"/>
          <w:shd w:fill="c4c7c5" w:val="clear"/>
          <w:rtl w:val="0"/>
        </w:rPr>
        <w:t xml:space="preserve">update rows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operation.</w:t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Mapping: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Map the </w:t>
      </w:r>
      <w:r w:rsidDel="00000000" w:rsidR="00000000" w:rsidRPr="00000000">
        <w:rPr>
          <w:rFonts w:ascii="Montserrat" w:cs="Montserrat" w:eastAsia="Montserrat" w:hAnsi="Montserrat"/>
          <w:color w:val="282a2c"/>
          <w:sz w:val="21"/>
          <w:szCs w:val="21"/>
          <w:shd w:fill="c4c7c5" w:val="clear"/>
          <w:rtl w:val="0"/>
        </w:rPr>
        <w:t xml:space="preserve">competitor name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to the corresponding row in the Google Sheet.</w:t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Dynamic Column Creation (The Trick):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To ensure a new column is created for the research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303030"/>
          <w:sz w:val="21"/>
          <w:szCs w:val="21"/>
          <w:highlight w:val="white"/>
          <w:rtl w:val="0"/>
        </w:rPr>
        <w:t xml:space="preserve">every day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   1. Set the title of the column holding the research to be dynamically generated as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today's date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(using an expression like </w:t>
      </w:r>
      <w:r w:rsidDel="00000000" w:rsidR="00000000" w:rsidRPr="00000000">
        <w:rPr>
          <w:rFonts w:ascii="Montserrat" w:cs="Montserrat" w:eastAsia="Montserrat" w:hAnsi="Montserrat"/>
          <w:color w:val="282a2c"/>
          <w:sz w:val="21"/>
          <w:szCs w:val="21"/>
          <w:shd w:fill="c4c7c5" w:val="clear"/>
          <w:rtl w:val="0"/>
        </w:rPr>
        <w:t xml:space="preserve">now.format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   2. In the options, enable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03030"/>
          <w:sz w:val="21"/>
          <w:szCs w:val="21"/>
          <w:highlight w:val="white"/>
          <w:rtl w:val="0"/>
        </w:rPr>
        <w:t xml:space="preserve">"handling extra fields in input"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and select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82a2c"/>
          <w:sz w:val="21"/>
          <w:szCs w:val="21"/>
          <w:shd w:fill="c4c7c5" w:val="clear"/>
          <w:rtl w:val="0"/>
        </w:rPr>
        <w:t xml:space="preserve">insert new columns</w:t>
      </w: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03030"/>
          <w:sz w:val="21"/>
          <w:szCs w:val="21"/>
          <w:highlight w:val="white"/>
          <w:rtl w:val="0"/>
        </w:rPr>
        <w:t xml:space="preserve">    3. This setup "tricks" the sheet into recognizing the date title as a new column title daily, inserting the agent’s finalized report into that new column</w:t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