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Launch Architecture Brief: Citizen Cipher - Offensive Defense Edition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expert report details the mandated strategic architecture for the external visual identity ("Image") and the Public Relations Launch Kit (PR Kit Design) for the "Citizen Cipher: Offensive Defense Edition" course. The overarching goal is to ensure the external market communication directly reflects the internal academic rigor and verifiable outcomes (KSAOs) inherent in the certification process, thereby establishing a defensible position of trust and authority.</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I: The Strategic Brand Mandate (Image)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brand mandate requires a visual identity that is robust, authoritative, and capable of signaling advanced methodological rigor. This foundation is critical for overcoming initial market skepticism and establishing the program as a PHD-Level standard.</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 Defining the Zero Trust Brand Architecture: Alignment of Rigor, Trust, and Authority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visual identity of "Citizen Cipher" must be architected as a system of demonstrable rigor. If the program’s value proposition is centered on the defense against manipulation, the brand itself cannot rely on superficial persuasion techniques. Therefore, the aesthetics must defeat common cognitive shortcuts used by manipulators. Manipulation often thrives on visual ambiguity or low-effort presentation, appealing to the </w:t>
      </w:r>
      <w:r w:rsidDel="00000000" w:rsidR="00000000" w:rsidRPr="00000000">
        <w:rPr>
          <w:i w:val="1"/>
          <w:rtl w:val="0"/>
        </w:rPr>
        <w:t xml:space="preserve">Fluency Heuristic</w:t>
      </w:r>
      <w:r w:rsidDel="00000000" w:rsidR="00000000" w:rsidRPr="00000000">
        <w:rPr>
          <w:rtl w:val="0"/>
        </w:rPr>
        <w:t xml:space="preserve"> or exploiting the </w:t>
      </w:r>
      <w:r w:rsidDel="00000000" w:rsidR="00000000" w:rsidRPr="00000000">
        <w:rPr>
          <w:i w:val="1"/>
          <w:rtl w:val="0"/>
        </w:rPr>
        <w:t xml:space="preserve">Illusory Truth Effect</w:t>
      </w:r>
      <w:r w:rsidDel="00000000" w:rsidR="00000000" w:rsidRPr="00000000">
        <w:rPr>
          <w:rtl w:val="0"/>
        </w:rPr>
        <w:t xml:space="preserve"> [V 2.4]. The brand architecture must guarantee immediate visual consistency and objective professionalism.</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design philosophy is conceptually aligned with high-level cybersecurity requirements, particularly the need for "Defense-in-Depth" and synchronization with established organizational frameworks such as "Zero Trust Architecture (ZTA)". ZTA demands continuous verification rather than passive acceptance. Consequently, the visual identity avoids static, monolithic security iconography. Instead, the branding must communicate active, systemic defense and verification—a perfect reflection of the student achieving Level 4 Mastery, which requires flexible, self-correcting application substantiated by data. The consistent utilization of standardized brand elements is an essential operational requirement, as research indicates that consistent deployment of brand fonts can increase brand recognition by as much as 80%.</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2.0 Color Psychology and The Trust Spectrum</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selection of the official color palette is non-negotiable, prioritizing credibility, intelligence, and reliability over urgency or overt aggression.</w:t>
      </w:r>
    </w:p>
    <w:p w:rsidR="00000000" w:rsidDel="00000000" w:rsidP="00000000" w:rsidRDefault="00000000" w:rsidRPr="00000000" w14:paraId="0000000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2.0.1 Primary Trust and Authority Palette Selection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Deep blue is the mandatory anchor for any brand seeking to convey security, finance, or intelligence, as it is widely associated with trust and reliability. The official palette leverages the existing foundational standard set by ALL ELITE SECURITY, utilizing Primary Trust Blue (#2168BA) and Core White (#FFFFFF). Specifically, the darker blue hues are utilized to convey intelligence and tradition , which directly supports the foundational claim of a PHD-Level rubric and established academic pedigree.</w:t>
      </w:r>
    </w:p>
    <w:p w:rsidR="00000000" w:rsidDel="00000000" w:rsidP="00000000" w:rsidRDefault="00000000" w:rsidRPr="00000000" w14:paraId="0000000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2.0.2 Secondary and Countermeasure Palette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strategic deployment of a secondary, lighter blue provides essential psychological assurance. Light blues evoke feelings of freedom and security. The secondary brand color, #99ACFF , is utilized to establish a Freedom-Security Gradient within the branding. The contrast between the severe, structured dark blue and the lighter, freeing blue captures the course's ultimate objective: the rigorous application of defensive countermeasures—the structure and discipline—leads directly to mental freedom from manipulation. Operatively, the light blue should be reserved for interactive elements, data visualization highlights, and necessary negative space, while the dark blue provides structural authority in logos and primary headings.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Citizen Cipher Official Color Palette (Trust and Rigor)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Palette Component</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Hex Code (AEC Standard)</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Psychological Association</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Brand Function/Usage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Trust Blue</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#2168BA</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Trust, Reliability, Intelligence</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Logo, Primary Headings, Structural Elements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Secondary Security Blue</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#99ACFF</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Freedom, Security, Professionalism</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Backgrounds, Interaction States, Negative Space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White</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#FFFFFF</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Clarity, Rigor, Cleanliness</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Backgrounds, Body Text, Contrast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Accent/Data Visualization</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#FFD700 (Gold)</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Focus, Value, Alertness</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Chart Highlights, Countermeasure Indicators (\text{🛡{}})</w:t>
            </w:r>
          </w:p>
        </w:tc>
      </w:tr>
    </w:tbl>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 The Typography Strategy: Balancing Pedigree and Precision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typography strategy is founded on balancing academic pedigree with digital clarity and data precision. The font pairing must support both the complex reading required of technical papers and the rapid comprehension necessary for high-impact data visualization.</w:t>
      </w:r>
    </w:p>
    <w:p w:rsidR="00000000" w:rsidDel="00000000" w:rsidP="00000000" w:rsidRDefault="00000000" w:rsidRPr="00000000" w14:paraId="0000002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3.0.1 Primary Typeface (System/Data Presentation)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 clean, modern sans-serif is mandated for all digital, data, and navigational contexts. Typefaces like Helvetica are favored for corporate branding and technology companies due to their neutral, modern tone and exceptional clarity. Furthermore, the brand identity requires "big bold typography that speaks confidently when conveying data". The implementation requires a bold or heavy weight of the chosen sans-serif (e.g., a variant of Helvetica, Futura, or Roboto). This display font is to be used for headlines, chart labels, and crucial verification markers (such as the \text{🛡{}} countermeasure symbol). This overt visual confidence serves a psychological purpose: countering the cognitive paralysis or anxiety often triggered by biases like the </w:t>
      </w:r>
      <w:r w:rsidDel="00000000" w:rsidR="00000000" w:rsidRPr="00000000">
        <w:rPr>
          <w:i w:val="1"/>
          <w:rtl w:val="0"/>
        </w:rPr>
        <w:t xml:space="preserve">Worse-than-average effect</w:t>
      </w:r>
      <w:r w:rsidDel="00000000" w:rsidR="00000000" w:rsidRPr="00000000">
        <w:rPr>
          <w:rtl w:val="0"/>
        </w:rPr>
        <w:t xml:space="preserve"> [V 1.1].</w:t>
      </w:r>
    </w:p>
    <w:p w:rsidR="00000000" w:rsidDel="00000000" w:rsidP="00000000" w:rsidRDefault="00000000" w:rsidRPr="00000000" w14:paraId="0000002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3.0.2 Secondary Typeface (Academic/Textual Authority)</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To substantiate the claim of a PHD-Level Rubric, a serif font must be employed for all long-form textual content, academic citations, and the detailed KSAO definition pages. Garamond, or an equivalent high-legibility serif, communicates heritage, sophistication, and timeless elegance, making it highly appropriate for publishing and academic materials. This choice ensures print durability and character at scale, particularly for downloadable KSAO artifacts.</w:t>
      </w:r>
    </w:p>
    <w:p w:rsidR="00000000" w:rsidDel="00000000" w:rsidP="00000000" w:rsidRDefault="00000000" w:rsidRPr="00000000" w14:paraId="0000002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3.0.3 Font Pairing Strategy</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blend of modern Sans-serif and classic Serif establishes a dual functionality. The Sans-serif addresses the </w:t>
      </w:r>
      <w:r w:rsidDel="00000000" w:rsidR="00000000" w:rsidRPr="00000000">
        <w:rPr>
          <w:i w:val="1"/>
          <w:rtl w:val="0"/>
        </w:rPr>
        <w:t xml:space="preserve">functionality</w:t>
      </w:r>
      <w:r w:rsidDel="00000000" w:rsidR="00000000" w:rsidRPr="00000000">
        <w:rPr>
          <w:rtl w:val="0"/>
        </w:rPr>
        <w:t xml:space="preserve"> requirement—digital screen clarity, navigational ease, and sharp data presentation. The Serif addresses the </w:t>
      </w:r>
      <w:r w:rsidDel="00000000" w:rsidR="00000000" w:rsidRPr="00000000">
        <w:rPr>
          <w:i w:val="1"/>
          <w:rtl w:val="0"/>
        </w:rPr>
        <w:t xml:space="preserve">authority</w:t>
      </w:r>
      <w:r w:rsidDel="00000000" w:rsidR="00000000" w:rsidRPr="00000000">
        <w:rPr>
          <w:rtl w:val="0"/>
        </w:rPr>
        <w:t xml:space="preserve"> requirement—academic rigor, textual weight, and established pedigree. This pairing prevents the brand from appearing either overly academic (thereby lacking market urgency) or overly "slick" or superficial (thereby undermining foundational trust).</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4.0 Conceptualization of the "Cipher" Visual Identity and Logo</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logo must serve as a conceptual nexus, integrating the core themes of cryptography, layered defense, and cognitive resilience.</w:t>
      </w:r>
    </w:p>
    <w:p w:rsidR="00000000" w:rsidDel="00000000" w:rsidP="00000000" w:rsidRDefault="00000000" w:rsidRPr="00000000" w14:paraId="0000002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4.0.1 The Cipher/Defense Integration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core visual concept must reflect the complexity of the course material. Cryptography relies on complex processes such as confusion, diffusion, and feedback loops to enhance security and resist sophisticated attacks. This mirrors the requirement for layered defense, known as "defense-in-depth". The logo, therefore, cannot be a simple static icon.</w:t>
      </w:r>
    </w:p>
    <w:p w:rsidR="00000000" w:rsidDel="00000000" w:rsidP="00000000" w:rsidRDefault="00000000" w:rsidRPr="00000000" w14:paraId="0000002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4.0.2 Logo Concept: The Adaptive System Icon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recommended design is a stylized, abstracted form of an interlocking geometric shape, potentially drawing inspiration from a complex ZTA architectural diagram or a stylized cryptographic mechanism. Rendered primarily in the Primary Trust Blue (#2168BA), the design should visually suggest rotation, layering, or transformation, representing the confusion and diffusion processes of secure information architecture. This dynamic design subtly counters the </w:t>
      </w:r>
      <w:r w:rsidDel="00000000" w:rsidR="00000000" w:rsidRPr="00000000">
        <w:rPr>
          <w:i w:val="1"/>
          <w:rtl w:val="0"/>
        </w:rPr>
        <w:t xml:space="preserve">Normalcy Bias</w:t>
      </w:r>
      <w:r w:rsidDel="00000000" w:rsidR="00000000" w:rsidRPr="00000000">
        <w:rPr>
          <w:rtl w:val="0"/>
        </w:rPr>
        <w:t xml:space="preserve"> [V 1.2], which the course seeks to override. The course teaches overcoming inaction through mechanisms like the </w:t>
      </w:r>
      <w:r w:rsidDel="00000000" w:rsidR="00000000" w:rsidRPr="00000000">
        <w:rPr>
          <w:i w:val="1"/>
          <w:rtl w:val="0"/>
        </w:rPr>
        <w:t xml:space="preserve">Physio Reset</w:t>
      </w:r>
      <w:r w:rsidDel="00000000" w:rsidR="00000000" w:rsidRPr="00000000">
        <w:rPr>
          <w:rtl w:val="0"/>
        </w:rPr>
        <w:t xml:space="preserve">; consequently, the logo must convey dynamic reconfiguration or a continuous process of checking and adaptation—a visual metaphor for the ongoing defensive posture required by the student. Furthermore, the mandatory inclusion of the \text{🛡{}} symbol, used throughout the KSAO documentation, must be standardized into the external brand lexicon (perhaps as a secondary icon set) to visually reinforce the brand’s commitment to verifiable defense application.</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II: Operational Asset Matrix and Specifications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guarantee brand fidelity and readiness for media distribution, all primary visual assets must adhere to standardized, high-resolution production benchmarks.</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5.0 Standardized Visual Asset Production for Multi-Channel Deployment</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Adherence to the highest industry specifications is necessary to minimize visual quality degradation across diverse platforms, including Learning Management Systems (LMS), social media, and digital storefronts.</w:t>
      </w:r>
    </w:p>
    <w:p w:rsidR="00000000" w:rsidDel="00000000" w:rsidP="00000000" w:rsidRDefault="00000000" w:rsidRPr="00000000" w14:paraId="0000003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5.0.1 The 3000x3000 Mandate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primary design specification is standardized at 3000 x 3000 pixels. This dimension meets the highest required fidelity standard set by major content distribution platforms, such as the requirements for Apple Podcasts/iTunes Artwork (72 dpi, RGB, JPG/PNG format). This standardization is a crucial measure for operational efficiency, guaranteeing maximum quality and minimizing the refactoring required for various streaming and social media platforms. While platforms like YouTube may accept smaller formats (e.g., 1280 x 1280 pixels) , all "Citizen Cipher" thumbnail art should be derived directly from the 3000x3000 master file and scaled down to maintain consistency and prevent resolution loss.</w:t>
      </w:r>
    </w:p>
    <w:p w:rsidR="00000000" w:rsidDel="00000000" w:rsidP="00000000" w:rsidRDefault="00000000" w:rsidRPr="00000000" w14:paraId="0000003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5.0.2 Asset Specification Breakdown</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matrix details the core visual assets required for immediate launch readiness, establishing a "Secure by Design" approach to asset creation.</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Visual Asset Production Matrix</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Asset Type</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Required Dimensions (Pixels)</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File Format</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Purpose</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Source Standard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Course/Podcast Cover Art Master</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3000 x 3000</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JPG/PNG</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Highest fidelity digital display (Apple/Spotify/LMS)</w:t>
            </w:r>
          </w:p>
        </w:tc>
        <w:tc>
          <w:tcPr>
            <w:shd w:fill="auto" w:val="clear"/>
            <w:tcMar>
              <w:top w:w="0.0" w:type="dxa"/>
              <w:left w:w="0.0" w:type="dxa"/>
              <w:bottom w:w="0.0" w:type="dxa"/>
              <w:right w:w="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YouTube/Social Thumbnail</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1280 x 1280 (Derived)</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PNG/GIF</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Video thumbnails and integrated social posts</w:t>
            </w:r>
          </w:p>
        </w:tc>
        <w:tc>
          <w:tcPr>
            <w:shd w:fill="auto" w:val="clear"/>
            <w:tcMar>
              <w:top w:w="0.0" w:type="dxa"/>
              <w:left w:w="0.0" w:type="dxa"/>
              <w:bottom w:w="0.0" w:type="dxa"/>
              <w:right w:w="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High-Res Product/Leadership Image</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6000 x 4000 (Minimum)</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TIFF (Print) / PNG (Web)</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Journalist usage in high-resolution publications</w:t>
            </w:r>
          </w:p>
        </w:tc>
        <w:tc>
          <w:tcPr>
            <w:shd w:fill="auto" w:val="clear"/>
            <w:tcMar>
              <w:top w:w="0.0" w:type="dxa"/>
              <w:left w:w="0.0" w:type="dxa"/>
              <w:bottom w:w="0.0" w:type="dxa"/>
              <w:right w:w="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Social Media Banner (LinkedIn/X)</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1584 x 396 (Optimal)</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JPG/PNG</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Header images for corporate profiles</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(Professional Marketing Standard)</w:t>
            </w:r>
          </w:p>
        </w:tc>
      </w:tr>
    </w:tbl>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6.0 Style Guide Summary for External Partners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 concise, definitive Style Guide is a mandatory operational artifact. Inconsistent application of brand standards—such as using an incorrect color blue or utilizing a non-approved font for data display—acts as a visual </w:t>
      </w:r>
      <w:r w:rsidDel="00000000" w:rsidR="00000000" w:rsidRPr="00000000">
        <w:rPr>
          <w:i w:val="1"/>
          <w:rtl w:val="0"/>
        </w:rPr>
        <w:t xml:space="preserve">Trust Trap</w:t>
      </w:r>
      <w:r w:rsidDel="00000000" w:rsidR="00000000" w:rsidRPr="00000000">
        <w:rPr>
          <w:rtl w:val="0"/>
        </w:rPr>
        <w:t xml:space="preserve"> [V 2.4] that reduces perceived professionalism and undermines the brand's authority. The Style Guide is designed to mitigate this credibility risk. It must be a single-page document detailing the standardized color palette (Hex codes), the chosen primary and secondary typefaces and their usage hierarchy, and the required minimum clear space for the Adaptive System Icon logo. This ensures that media partners and internal design teams maintain visual authority across all produced materials.</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III: The Public Relations Launch Kit (PR Kit Design)</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PR Kit is designed as a Credibility Delivery System. Its purpose is to translate the internal structure of verifiable KSAOs into compelling, journalist-ready narratives.</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7.0 The Six Essential Components of the High-Value Education Press Kit</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launch kit must incorporate the six standard components necessary for a high-stakes product introduction. These components include: The Cover (for immediate visual impact), Backgrounders (providing context on the subject matter), News Releases (the core message), a comprehensive Brochure, and high-resolution visual assets (both black and white, and color photos/slides of the product and leadership).</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Brochure component will specifically function as the "PHD-Level Course Summary," translating the dense Module structure (Modules 1, 2, and 5) into explicit executive benefit statements. This summary must prioritize the defense mechanisms against high-leverage decision biases, such as the </w:t>
      </w:r>
      <w:r w:rsidDel="00000000" w:rsidR="00000000" w:rsidRPr="00000000">
        <w:rPr>
          <w:i w:val="1"/>
          <w:rtl w:val="0"/>
        </w:rPr>
        <w:t xml:space="preserve">Sunk Cost Fallacy / Escalation of Commitment</w:t>
      </w:r>
      <w:r w:rsidDel="00000000" w:rsidR="00000000" w:rsidRPr="00000000">
        <w:rPr>
          <w:rtl w:val="0"/>
        </w:rPr>
        <w:t xml:space="preserve"> and the </w:t>
      </w:r>
      <w:r w:rsidDel="00000000" w:rsidR="00000000" w:rsidRPr="00000000">
        <w:rPr>
          <w:i w:val="1"/>
          <w:rtl w:val="0"/>
        </w:rPr>
        <w:t xml:space="preserve">Illusory Truth Effect</w:t>
      </w:r>
      <w:r w:rsidDel="00000000" w:rsidR="00000000" w:rsidRPr="00000000">
        <w:rPr>
          <w:rtl w:val="0"/>
        </w:rPr>
        <w:t xml:space="preserve"> [V 2.4], which are critical to executive integrity and social engineering defense. The Backgrounders must provide the academic and market context, citing established psychological research to rigorously justify the efficacy of the "Offensive Defense" methodology, targeting the severity of cognitive biases in executive decision-making.</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8.0 The Strategic Messaging Framework: Translating KSAOs into Newsworthy Headlines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messaging architecture must be direct, provocative, and focused on verifiable outcomes to successfully penetrate executive media markets. All headlines must strictly adhere to journalistic standards: they must be brief (\le 9 words), trigger immediate engagement (by posing a question), and signal novelty ("new").</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core strategy utilizes the KSAO-Driven Headline Formula. This approach shifts the focus away from generic "learning" toward "certification" and "measurable defense." For instance, a headline should not generically praise the course but instead name a specific bias and the certified ability to defeat it, such as: "New PHD-Level Course Certifies Defense Against Sunk Cost Fallacy?" (This structure is 8 words, signals novelty, and names a specific bias). The subheading must then provide a clear restatement of the main message, specifically naming a quantifiable result or artifact, such as: "Citizen Cipher Guarantees Verifiable Mastery of Counter-Anchoring Protocol for Decision Makers," directly linking the course claim to the required Counter-Anchoring Worksheet \text{🛡{}} artifact.</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Headline and Lead Formula (KSAO Translation)</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PR Element</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Mandatory Content Requirement</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KSAO Rationale Link</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Credibility Signal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Headline</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Newsworthy, \le 9 words, triggers a question</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Focus on verifiable certification, not general learning.</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Urgency &amp; Novelty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Subheading/Lead</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Clear restatement of main message, names quantifiable result.</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Explicitly links Level 4 Mastery to artifact submission (e.g., Counter-Anchoring Worksheet \text{🛡{}}).</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Precision &amp; Differentiation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Executive Quote</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Must contain objective data or quantifiable outcomes.</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Cites specific bias defense and measurable result (e.g., RPE score improvement, Falsification Attempt log results).</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Authority &amp; Empirical Proof</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Ethics Gate</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Mandatory inclusion in the body text or "About" section.</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Confirmation of white-hat application and Civilian Code commitment.</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Ethical Integrity &amp; De-risking (Mandate Compliance)</w:t>
            </w:r>
          </w:p>
        </w:tc>
      </w:tr>
    </w:tbl>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9.0 Credentialing and Quote Strategy: Establishing Expert Authority</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 kit must secure social credibility through expert opinion and documented success. Quotes are essential for journalists seeking human context. Crucially, the quote strategy must adhere to the integrity of the course material by proactively defeating the </w:t>
      </w:r>
      <w:r w:rsidDel="00000000" w:rsidR="00000000" w:rsidRPr="00000000">
        <w:rPr>
          <w:i w:val="1"/>
          <w:rtl w:val="0"/>
        </w:rPr>
        <w:t xml:space="preserve">Confidence Heuristic</w:t>
      </w:r>
      <w:r w:rsidDel="00000000" w:rsidR="00000000" w:rsidRPr="00000000">
        <w:rPr>
          <w:rtl w:val="0"/>
        </w:rPr>
        <w:t xml:space="preserve"> [V 2.5], which warns against relying on mere presentation (swagger) over objective evidence.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Therefore, the marketing narrative cannot rely on subjective claims. Quotes originating from the program directors or key personnel must be structured as Defensive Proof Points. They must cite empirical, observable data points derived from the KSAO artifacts. For example, rather than stating the course is "revolutionary," a quote must detail verifiable success metrics, such as: "Our students demonstrate verifiable \ge 2 point RPE reduction using the 4A Framework, documented in the 7-Day Stress Log," or reference the consistent effort recorded in the 7-Day Disconfirmation Diary associated with the Falsification Attempt \text{🛡{}} protocol [V 1.3, V 2.4]. This strategy ensures that credibility is anchored in quantifiable results (System 2, Central Route persuasion) [V 2.1], thereby maintaining brand integrity.</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Finally, the introductory paragraph of the News Release must include a statement reinforcing the ethical foundation—the Mandatory Pass-Fail Gate. This initial statement confirms the student’s commitment to the Civilian Code of Conduct and explicitly forbids any illegal activities. Positioning this knowledge as strictly defensive proactively de-risks the communication and reinforces the brand’s ethical high ground.</w:t>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IV: Execution Strategy and Media Targeting</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execution strategy dictates the precise channels and authority profiles required to reach the target audience of high-stakes decision-makers.</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10.0 Target Media Ecosystem and Channel Prioritization</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media targeting must prioritize high-rigor publications specializing in executive education, intelligence analysis, cybersecurity policy, and organizational psychology—outlets that value the depth associated with PHD researcher technical papers. Broad consumer media is secondary to establishing specialized professional authority.</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Influencer Strategy must prioritize </w:t>
      </w:r>
      <w:r w:rsidDel="00000000" w:rsidR="00000000" w:rsidRPr="00000000">
        <w:rPr>
          <w:i w:val="1"/>
          <w:rtl w:val="0"/>
        </w:rPr>
        <w:t xml:space="preserve">Cognitive Authority</w:t>
      </w:r>
      <w:r w:rsidDel="00000000" w:rsidR="00000000" w:rsidRPr="00000000">
        <w:rPr>
          <w:rtl w:val="0"/>
        </w:rPr>
        <w:t xml:space="preserve"> over traditional celebrity endorsement. Because the course addresses manipulation, consumer belief rests on authenticity and transparency. The optimal profile is a recognized authority (e.g., a crisis management consultant or noted behavioral economist) who can transparently vouch for the program's methodological rigor. This outreach must specifically leverage the verifiable KSAO structure as proof of authenticity. This approach appeals directly to the executive and Millennial audience segments, which prioritize transparent, data-backed methods over corporate mascots.</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11.0 Mandate Compliance Review: Ethics in Communication</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All external launch materials must undergo a mandatory review to ensure absolute adherence to the ethical foundation of the program. Every piece of external content—from Press Releases to social media copy—must explicitly frame the knowledge gained as a tool for "self-enhancement and protection," rather than manipulation or exploitation. This serves as a vital proactive de-risking measure, neutralizing potential negative media scrutiny regarding the weaponization of psychological knowledge and affirming the program's commitment to the Civilian Code of Conduct.</w:t>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Conclusions and Recommendations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successful launch of "Citizen Cipher: Offensive Defense Edition" requires a visual identity and communication strategy that directly translates the course's verifiable KSAO structure into external credibility.</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Conclusion 1: Visual Rigor as a Defensive Measure:</w:t>
      </w:r>
      <w:r w:rsidDel="00000000" w:rsidR="00000000" w:rsidRPr="00000000">
        <w:rPr>
          <w:rtl w:val="0"/>
        </w:rPr>
        <w:t xml:space="preserve"> The brand identity—using the Primary Trust Blue (#2168BA), the academic Serif typography (Garamond style), and the dynamic Adaptive System Icon logo—must visually signal intellectual authority and continuous, active defense. This approach is necessary to defeat visual persuasion heuristics and establish immediate professionalism, supporting the course's PHD-Level claim.</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Conclusion 2: Credibility Must Be Quantified:</w:t>
      </w:r>
      <w:r w:rsidDel="00000000" w:rsidR="00000000" w:rsidRPr="00000000">
        <w:rPr>
          <w:rtl w:val="0"/>
        </w:rPr>
        <w:t xml:space="preserve"> The PR strategy must be strictly KSAO-driven. Messaging must move away from subjective claims of value and toward quantifiable, verifiable results, such as naming specific artifacts (e.g., the Counter-Anchoring Worksheet) or citing measurable outcomes (e.g., RPE improvement scores). This aligns the marketing narrative with the program's core methodology, which requires students to submit data-backed evidence of mastery.</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Recommendation 1: Operational Prioritization:</w:t>
      </w:r>
      <w:r w:rsidDel="00000000" w:rsidR="00000000" w:rsidRPr="00000000">
        <w:rPr>
          <w:rtl w:val="0"/>
        </w:rPr>
        <w:t xml:space="preserve"> Immediate resource allocation must focus on finalizing the 3000 x 3000 pixel master assets and securing distribution of the finalized Style Guide to all external partners. This operational foundation is critical for maintaining visual integrity across the multi-channel launch.</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Recommendation 2: Targeted Authority Engagement:</w:t>
      </w:r>
      <w:r w:rsidDel="00000000" w:rsidR="00000000" w:rsidRPr="00000000">
        <w:rPr>
          <w:rtl w:val="0"/>
        </w:rPr>
        <w:t xml:space="preserve"> Media outreach should be exclusively focused on publications and expert figures categorized as </w:t>
      </w:r>
      <w:r w:rsidDel="00000000" w:rsidR="00000000" w:rsidRPr="00000000">
        <w:rPr>
          <w:i w:val="1"/>
          <w:rtl w:val="0"/>
        </w:rPr>
        <w:t xml:space="preserve">Cognitive Authorities</w:t>
      </w:r>
      <w:r w:rsidDel="00000000" w:rsidR="00000000" w:rsidRPr="00000000">
        <w:rPr>
          <w:rtl w:val="0"/>
        </w:rPr>
        <w:t xml:space="preserve">. The launch messaging must position the course’s verifiable KSAO structure as the necessary differentiating factor when seeking endorsements from transparency-prioritizing audiences.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b w:val="1"/>
          <w:rtl w:val="0"/>
        </w:rPr>
        <w:t xml:space="preserve">Recommendation 3: Ethics Statement Finalization:</w:t>
      </w:r>
      <w:r w:rsidDel="00000000" w:rsidR="00000000" w:rsidRPr="00000000">
        <w:rPr>
          <w:rtl w:val="0"/>
        </w:rPr>
        <w:t xml:space="preserve"> The definitive, legally reviewed statement regarding the Civilian Code of Conduct and the commitment to white-hat application must be finalized and mandatorily integrated into the opening paragraphs of all Press Releases and the "About" sections of the PR Kit, fulfilling the Mandate Compliance requirement.</w:t>
      </w:r>
    </w:p>
    <w:p w:rsidR="00000000" w:rsidDel="00000000" w:rsidP="00000000" w:rsidRDefault="00000000" w:rsidRPr="00000000" w14:paraId="0000008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Secure By Design - CISA, https://www.cisa.gov/sites/default/files/2023-10/SecureByDesign_1025_508c.pdf 2. Top 20 Typefaces for Brand Success - NoBoringDesign, https://www.noboringdesign.com/blog/top-20-typefaces-for-brand-success 3. How to Use Color Psychology To Build Brand Trust and Increase Sales - Designaphy, https://www.designaphy.com/insights/color-psychology 4. ALL ELITE SECURITY Brand Colors - Logo Maker, https://logo.com/brand/all-elite-security/colors 5. Strategy of Security Brand Identity - Wells Collins - Dribbble, https://dribbble.com/shots/24637421-Strategy-of-Security-Brand-Identity 6. Image Privacy Protection Communication Scheme by Fibonacci Interleaved Diffusion and Non-Degenerate Discrete Chaos - MDPI, https://www.mdpi.com/1099-4300/27/8/790 7. The Ultimate Guide to Better Podcast Cover Art in 2025 | Lower Street, https://lowerstreet.co/blog/podcast-cover-art 8. How to Design Podcast Cover Art [10 Templates for 2025] - Buzzsprout, https://www.buzzsprout.com/blog/10-tips-create-awesome-podcast-artwork 9. The Public Relations Press Kit - Consulting Success, https://www.consultingsuccess.com/the-public-relations-press-kit 10. How To Write An Awesome Press Release For Your Online Course - Thinkific, https://www.thinkific.com/blog/how-to-write-an-awesome-press-release-for-your-online-course/ 11. Top 5 Press Release Examples for New Product Launches - Brafton, https://www.brafton.com/blog/content-writing/press-release-example-for-new-product/ 12. How to write a press release - University of the Arts London, https://www.arts.ac.uk/students/student-careers/freelance-and-business-support/marketing-and-promoting-yourself-online/how-to-write-a-press-release 13. (PDF) Rise of Social Media Influencers as a New Marketing Channel: Focusing on the Roles of Psychological Well-Being and Perceived Social Responsibility among Consumers - ResearchGate, https://www.researchgate.net/publication/358755962_Rise_of_Social_Media_Influencers_as_a_New_Marketing_Channel_Focusing_on_the_Roles_of_Psychological_Well-Being_and_Perceived_Social_Responsibility_among_Consumers 14. The effect of social media influencers' on teenagers Behavior: an empirical study using cognitive map technique - NIH, https://pmc.ncbi.nlm.nih.gov/articles/PMC9887568/</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