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Forensic Analysis of High-Yield Attack Vectors: Historic Cases of Heist and Fraud as KSAO Isolation Artifacts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Introduction: The KSAO Mandate and Offensive Defense Paradigm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of historical criminal success must transition from mere descriptive narrative to prescriptive behavioral forensics. Confidence tricks, large-scale financial fraud, and sophisticated social engineering schemes do not succeed through happenstance; rather, they rely explicitly on the exploitation of inherent, universal cognitive shortcuts, or heuristics, that are common to all human decision-making systems. Effective offensive defense training must treat these failures not as isolated incidents but as large-scale, real-world examples of deficient defensive cognition.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psychological symmetry inherent in these cases dictates that robust instruction must focus on guaranteeing verifiable Knowledge, Skills, Abilities, and Other characteristics (KSAOs) necessary to defeat the fundamental principles of influence, including Reciprocity, Commitment and Consistency, Social Proof, Authority, Liking, and Scarcity. The operational goal is to provide instructional scaffolding that enables students to master the defensive countermeasures corresponding to the "Citizen Cipher: Offensive Defense Edition" curriculum.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Case studies selected for this analysis are prioritized based on the unmistakable clarity of the psychological leverage point, enabling direct mapping to mandatory Level 4 Mastery verification artifacts. A crucial understanding underpinning this approach is that criminal actors engaged in social engineering are effectively applying principles of behavioral science, such as those established by Cialdini, often without formal training. The reliability of these "human firmware glitches" is high enough to constitute a predictable attack surface. Therefore, rigorous defense training cannot afford to treat psychological principles as abstract concepts; they must be integrated as mandatory, observable inputs demanding verifiable KSAO application. Furthermore, while the delivery technology evolves—from the simple suit used by Frank Abagnale to modern AI Deepfake scams and complex wire fraud —the underlying psychological mechanisms (Authority, Liking, Urgency, Scarcity) remain constant, underscoring the absolute priority of psychological defense in countermeasure training.</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II. Case Study 1: Authority and Pretexting — The Abagnale Vector</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Narrative Profile: Weaponizing Attribute Substitution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Frank Abagnale Jr., whose career inspired widely publicized accounts of deception, serves as the historical archetype for the tactical weaponization of the </w:t>
      </w:r>
      <w:r w:rsidDel="00000000" w:rsidR="00000000" w:rsidRPr="00000000">
        <w:rPr>
          <w:b w:val="1"/>
          <w:rtl w:val="0"/>
        </w:rPr>
        <w:t xml:space="preserve">Authority Bias</w:t>
      </w:r>
      <w:r w:rsidDel="00000000" w:rsidR="00000000" w:rsidRPr="00000000">
        <w:rPr>
          <w:rtl w:val="0"/>
        </w:rPr>
        <w:t xml:space="preserve"> (Module 2: V 2.3). His remarkable success derived almost entirely from the superficial adoption of high-status professional roles, specifically airline pilot, doctor, and lawyer. The core data point demonstrating this leverage is Abagnale’s claim to have successfully cashed $2.5 million in fraudulent checks by leveraging the false authority conferred by an airline pilot’s status. The uniform—the physical suit—became the foundational element that conferred legitimacy.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mechanism underpinning this success is textbook </w:t>
      </w:r>
      <w:r w:rsidDel="00000000" w:rsidR="00000000" w:rsidRPr="00000000">
        <w:rPr>
          <w:b w:val="1"/>
          <w:rtl w:val="0"/>
        </w:rPr>
        <w:t xml:space="preserve">Attribute Substitution</w:t>
      </w:r>
      <w:r w:rsidDel="00000000" w:rsidR="00000000" w:rsidRPr="00000000">
        <w:rPr>
          <w:rtl w:val="0"/>
        </w:rPr>
        <w:t xml:space="preserve"> (Module 2: V 2.1). In this heuristic, the victim bypasses the difficult, necessary task of credential verification (System 2 processing) and instead substitutes an easily processed, highly available attribute: the authoritative appearance or uniform. The peripheral visual cue (the suit, the title) immediately engages the Peripheral Route of persuasion, effectively bypassing the victim’s critical judgment.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Bias Isolation and Breakdown: Authority and Cognitive Architecture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psychological target in the Abagnale vector is the </w:t>
      </w:r>
      <w:r w:rsidDel="00000000" w:rsidR="00000000" w:rsidRPr="00000000">
        <w:rPr>
          <w:b w:val="1"/>
          <w:rtl w:val="0"/>
        </w:rPr>
        <w:t xml:space="preserve">Authority Bias</w:t>
      </w:r>
      <w:r w:rsidDel="00000000" w:rsidR="00000000" w:rsidRPr="00000000">
        <w:rPr>
          <w:rtl w:val="0"/>
        </w:rPr>
        <w:t xml:space="preserve"> (V 2.3), which describes the inherent human tendency to obey authority figures, even when asked to perform acts that are objectionable or questionable. Abagnale’s exploits demonstrated that external markers of authority (uniforms, titles, confident demeanor) are sufficient to dismantle existing counter-protocols and judgment processes.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secondary mechanism enabling the deception was the </w:t>
      </w:r>
      <w:r w:rsidDel="00000000" w:rsidR="00000000" w:rsidRPr="00000000">
        <w:rPr>
          <w:b w:val="1"/>
          <w:rtl w:val="0"/>
        </w:rPr>
        <w:t xml:space="preserve">Confidence Heuristic</w:t>
      </w:r>
      <w:r w:rsidDel="00000000" w:rsidR="00000000" w:rsidRPr="00000000">
        <w:rPr>
          <w:rtl w:val="0"/>
        </w:rPr>
        <w:t xml:space="preserve"> (V 2.5). The sheer "swagger" or assured delivery of the scammer overrides the victim’s internal scrutiny. Abagnale’s ability to flawlessly maintain the professional act reinforced the victim’s perception of his credibility, rendering them less likely to seek or process evidence that contradicted the performance.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successful criminal perpetration often reflects a psychological state in which the Id (the drive for pleasure and immediate gain) is allowed to override the Superego (inner authority and moral constraints). This contrast highlights the instructional necessity of the </w:t>
      </w:r>
      <w:r w:rsidDel="00000000" w:rsidR="00000000" w:rsidRPr="00000000">
        <w:rPr>
          <w:i w:val="1"/>
          <w:rtl w:val="0"/>
        </w:rPr>
        <w:t xml:space="preserve">Citizen Cipher</w:t>
      </w:r>
      <w:r w:rsidDel="00000000" w:rsidR="00000000" w:rsidRPr="00000000">
        <w:rPr>
          <w:rtl w:val="0"/>
        </w:rPr>
        <w:t xml:space="preserve"> KSAOs, which are specifically designed to reinforce the Ego's ability to engage System 2 thought processes, ensuring that external cues (Authority, Liking) cannot trigger automatic, Id-driven compliance.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KSAO Linkage and Level 4 Verification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institutional failures targeted by Abagnale were directly attributable to an inability to execute the </w:t>
      </w:r>
      <w:r w:rsidDel="00000000" w:rsidR="00000000" w:rsidRPr="00000000">
        <w:rPr>
          <w:b w:val="1"/>
          <w:rtl w:val="0"/>
        </w:rPr>
        <w:t xml:space="preserve">Bandwagon Defense protocol</w:t>
      </w:r>
      <w:r w:rsidDel="00000000" w:rsidR="00000000" w:rsidRPr="00000000">
        <w:rPr>
          <w:rtl w:val="0"/>
        </w:rPr>
        <w:t xml:space="preserve"> (stall \rightarrow verification \rightarrow independent voice), which is the core defensive KSAO for V 2.3. The Authority Anchor proved so powerful that the essential step of stalling to create time for independent verification was bypassed.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Level 4 certification, the mandatory artifact—the </w:t>
      </w:r>
      <w:r w:rsidDel="00000000" w:rsidR="00000000" w:rsidRPr="00000000">
        <w:rPr>
          <w:i w:val="1"/>
          <w:rtl w:val="0"/>
        </w:rPr>
        <w:t xml:space="preserve">Role-Play Checklist</w:t>
      </w:r>
      <w:r w:rsidDel="00000000" w:rsidR="00000000" w:rsidRPr="00000000">
        <w:rPr>
          <w:rtl w:val="0"/>
        </w:rPr>
        <w:t xml:space="preserve">—must require the student to explicitly identify peripheral cues of authority and demonstrate a verifiable "stall" designed to create necessary time for independent verification before any compliance is granted (V 2.3, V 2.1). The case demonstrates that Authority is the single highest-leverage pretext because it automatically confers both access and compliance; thus, the Authority Bias defense is arguably the most critical component of Counter-HUMINT training.</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III. Case Study 2: Normalcy Bias and Crisis Management — The Gardner Museum Heist</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Narrative Profile: The 81-Minute Protocol Breach</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Isabella Stewart Gardner Museum Heist in 1990 stands as the largest property crime in U.S. history, involving the theft of 13 works of art valued at over $500 million. Crucially, the perpetrators did not require advanced physical breaking-and-entering skills; they exploited a critical psychological failure in the security personnel.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timeline shows that two men in police uniforms rang the museum’s night bell, claiming they were responding to a disturbance. The guard on duty "broke protocol" by allowing them in through the employee entrance, stepping away from the watch desk at the intruders' request, and ultimately being overpowered and tied up in the basement. The entire successful 81-minute robbery hinged on this initial act of psychological compliance.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Bias Isolation and Breakdown: Normalcy and Crisis Inaction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critical vulnerability was the </w:t>
      </w:r>
      <w:r w:rsidDel="00000000" w:rsidR="00000000" w:rsidRPr="00000000">
        <w:rPr>
          <w:b w:val="1"/>
          <w:rtl w:val="0"/>
        </w:rPr>
        <w:t xml:space="preserve">Normalcy Bias</w:t>
      </w:r>
      <w:r w:rsidDel="00000000" w:rsidR="00000000" w:rsidRPr="00000000">
        <w:rPr>
          <w:rtl w:val="0"/>
        </w:rPr>
        <w:t xml:space="preserve"> and associated </w:t>
      </w:r>
      <w:r w:rsidDel="00000000" w:rsidR="00000000" w:rsidRPr="00000000">
        <w:rPr>
          <w:b w:val="1"/>
          <w:rtl w:val="0"/>
        </w:rPr>
        <w:t xml:space="preserve">Crisis Period Disorganization</w:t>
      </w:r>
      <w:r w:rsidDel="00000000" w:rsidR="00000000" w:rsidRPr="00000000">
        <w:rPr>
          <w:rtl w:val="0"/>
        </w:rPr>
        <w:t xml:space="preserve"> (Module 1: V 1.2). This bias manifests as the cognitive failure to prepare for or react appropriately to a low-probability, high-impact event. The guard’s decision to open the door, despite specific protocols forbidding it, stemmed from the cognitive tendency to normalize the situation—treating the arrival of police as a routine response to a “disturbance”—rather than activating the necessary threat response protocols.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Authority Bias</w:t>
      </w:r>
      <w:r w:rsidDel="00000000" w:rsidR="00000000" w:rsidRPr="00000000">
        <w:rPr>
          <w:rtl w:val="0"/>
        </w:rPr>
        <w:t xml:space="preserve"> (V 2.3) acted as a powerful synergistic trigger; the police uniform served as the pretext that dissolved the guard's adherence to safety protocols. The guard’s action demonstrates how the combination of Authority (prompting compliance) and Normalcy (preventing proper threat assessment) can override established defensive structures.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complacency inherent in low-stress, routine environments, such as night security, also sets the stage for defensive failure. The </w:t>
      </w:r>
      <w:r w:rsidDel="00000000" w:rsidR="00000000" w:rsidRPr="00000000">
        <w:rPr>
          <w:b w:val="1"/>
          <w:rtl w:val="0"/>
        </w:rPr>
        <w:t xml:space="preserve">Ostrich Effect</w:t>
      </w:r>
      <w:r w:rsidDel="00000000" w:rsidR="00000000" w:rsidRPr="00000000">
        <w:rPr>
          <w:rtl w:val="0"/>
        </w:rPr>
        <w:t xml:space="preserve"> and general complacency (V 1.1 biases) reinforce the belief that "this time is like all other times," allowing the Normalcy Bias to take hold when the low-probability, high-impact threat finally appears. The failure point was the transition from perception to required action.</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KSAO Linkage and Level 4 Verification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high-value nature of the Gardner heist confirms the necessity of the </w:t>
      </w:r>
      <w:r w:rsidDel="00000000" w:rsidR="00000000" w:rsidRPr="00000000">
        <w:rPr>
          <w:b w:val="1"/>
          <w:rtl w:val="0"/>
        </w:rPr>
        <w:t xml:space="preserve">Normalcy Barrier Override</w:t>
      </w:r>
      <w:r w:rsidDel="00000000" w:rsidR="00000000" w:rsidRPr="00000000">
        <w:rPr>
          <w:rtl w:val="0"/>
        </w:rPr>
        <w:t xml:space="preserve"> KSAO (V 1.2 \text{🛡️}). The guard required an instantaneous override mechanism to combat the tendency toward inaction.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2-Minute Demo/Video</w:t>
      </w:r>
      <w:r w:rsidDel="00000000" w:rsidR="00000000" w:rsidRPr="00000000">
        <w:rPr>
          <w:rtl w:val="0"/>
        </w:rPr>
        <w:t xml:space="preserve"> artifact (V 1.2) is directly supported by this case. Students must demonstrate the ability to pivot from a perceived "normal" threat (the pretexting call) to the </w:t>
      </w:r>
      <w:r w:rsidDel="00000000" w:rsidR="00000000" w:rsidRPr="00000000">
        <w:rPr>
          <w:b w:val="1"/>
          <w:rtl w:val="0"/>
        </w:rPr>
        <w:t xml:space="preserve">Physio Reset</w:t>
      </w:r>
      <w:r w:rsidDel="00000000" w:rsidR="00000000" w:rsidRPr="00000000">
        <w:rPr>
          <w:rtl w:val="0"/>
        </w:rPr>
        <w:t xml:space="preserve"> in \le 30 seconds. This measure is designed to actively override the tendency toward inaction and protocol breach, establishing the instructional takeaway that </w:t>
      </w:r>
      <w:r w:rsidDel="00000000" w:rsidR="00000000" w:rsidRPr="00000000">
        <w:rPr>
          <w:b w:val="1"/>
          <w:rtl w:val="0"/>
        </w:rPr>
        <w:t xml:space="preserve">protocol adherence must be physically anchored to defeat the Normalcy Barrier</w:t>
      </w:r>
      <w:r w:rsidDel="00000000" w:rsidR="00000000" w:rsidRPr="00000000">
        <w:rPr>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entire property crime hinged on the decision to allow access. This demonstrates the power of the </w:t>
      </w:r>
      <w:r w:rsidDel="00000000" w:rsidR="00000000" w:rsidRPr="00000000">
        <w:rPr>
          <w:i w:val="1"/>
          <w:rtl w:val="0"/>
        </w:rPr>
        <w:t xml:space="preserve">Commitment and Consistency</w:t>
      </w:r>
      <w:r w:rsidDel="00000000" w:rsidR="00000000" w:rsidRPr="00000000">
        <w:rPr>
          <w:rtl w:val="0"/>
        </w:rPr>
        <w:t xml:space="preserve"> principle. Once the victim commits to the small, initial act (opening the door), the psychological cost of reversing the commitment and admitting mistake significantly escalates, making subsequent resistance exceedingly difficult. This illustrates a subtle link between initial compliance and the long-term </w:t>
      </w:r>
      <w:r w:rsidDel="00000000" w:rsidR="00000000" w:rsidRPr="00000000">
        <w:rPr>
          <w:b w:val="1"/>
          <w:rtl w:val="0"/>
        </w:rPr>
        <w:t xml:space="preserve">Sunk Cost Fallacy</w:t>
      </w:r>
      <w:r w:rsidDel="00000000" w:rsidR="00000000" w:rsidRPr="00000000">
        <w:rPr>
          <w:rtl w:val="0"/>
        </w:rPr>
        <w:t xml:space="preserve">, applied to action rather than financial investment.</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IV. Case Study 3: Sunk Cost Fallacy and Commitment — The Madoff Ponzi Scheme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Narrative Profile: The High-Status Commitment Trap</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Bernard Madoff operated the largest Ponzi scheme in history, drawing in thousands of investors, many of whom were "older, educated, affluent individuals" and the "most financially sophisticated members of society". This case provides the definitive historical context for isolating the highly destructive decision bias known as the </w:t>
      </w:r>
      <w:r w:rsidDel="00000000" w:rsidR="00000000" w:rsidRPr="00000000">
        <w:rPr>
          <w:b w:val="1"/>
          <w:rtl w:val="0"/>
        </w:rPr>
        <w:t xml:space="preserve">Sunk Cost Fallacy</w:t>
      </w:r>
      <w:r w:rsidDel="00000000" w:rsidR="00000000" w:rsidRPr="00000000">
        <w:rPr>
          <w:rtl w:val="0"/>
        </w:rPr>
        <w:t xml:space="preserve"> / </w:t>
      </w:r>
      <w:r w:rsidDel="00000000" w:rsidR="00000000" w:rsidRPr="00000000">
        <w:rPr>
          <w:b w:val="1"/>
          <w:rtl w:val="0"/>
        </w:rPr>
        <w:t xml:space="preserve">Escalation of Commitment</w:t>
      </w:r>
      <w:r w:rsidDel="00000000" w:rsidR="00000000" w:rsidRPr="00000000">
        <w:rPr>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Madoff successfully implemented the classic scam structure: establishing trust via a "good guy promoter" who was charismatic and did charitable works , followed by investment solicitation. The scheme employed secrecy and exclusivity—Madoff reportedly asked investors to "keep mum" and was secretive about his operations. Critically, the investment process relied on establishing a financial "hook," often starting small (e.g., \$20 hook, then \$200, then \$2,000) to solidify the commitment and ensure that the victim was fully ensnared.</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Bias Isolation and Breakdown: Escalation of Commitment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psychological failure of Madoff's victims was their tendency to continue investing or, more critically, their refusal to withdraw funds, despite glaring red flags and implausible returns. This behavior is driven by the desire to rationalize past investment and avoid the deep psychological pain of admitting error—a condition often expressed as: "I've already sent \$15,000...what's another couple thousand at this point?". The loss of money is secondary to the psychological cost of self-invalidation and the inability to admit, "I was wrong".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scheme leveraged </w:t>
      </w:r>
      <w:r w:rsidDel="00000000" w:rsidR="00000000" w:rsidRPr="00000000">
        <w:rPr>
          <w:b w:val="1"/>
          <w:rtl w:val="0"/>
        </w:rPr>
        <w:t xml:space="preserve">Confidence Heuristic</w:t>
      </w:r>
      <w:r w:rsidDel="00000000" w:rsidR="00000000" w:rsidRPr="00000000">
        <w:rPr>
          <w:rtl w:val="0"/>
        </w:rPr>
        <w:t xml:space="preserve"> (V 2.5) and </w:t>
      </w:r>
      <w:r w:rsidDel="00000000" w:rsidR="00000000" w:rsidRPr="00000000">
        <w:rPr>
          <w:b w:val="1"/>
          <w:rtl w:val="0"/>
        </w:rPr>
        <w:t xml:space="preserve">Social Proof</w:t>
      </w:r>
      <w:r w:rsidDel="00000000" w:rsidR="00000000" w:rsidRPr="00000000">
        <w:rPr>
          <w:rtl w:val="0"/>
        </w:rPr>
        <w:t xml:space="preserve">. Madoff's confident delivery and reputation, coupled with the fact that the opportunity traveled by word-of-mouth among trusted circles ("FBI agents, doctors, and lawyers invested"), served as powerful, external countermeasures against internal skepticism.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Sunk Cost Fallacy evolves into a defense mechanism against social rupture or self-invalidation, where the victim will sometimes become angry with anyone who tries to point out the mistake, sometimes to the point of cutting ties with friends and family. The victim </w:t>
      </w:r>
      <w:r w:rsidDel="00000000" w:rsidR="00000000" w:rsidRPr="00000000">
        <w:rPr>
          <w:i w:val="1"/>
          <w:rtl w:val="0"/>
        </w:rPr>
        <w:t xml:space="preserve">doubles down</w:t>
      </w:r>
      <w:r w:rsidDel="00000000" w:rsidR="00000000" w:rsidRPr="00000000">
        <w:rPr>
          <w:rtl w:val="0"/>
        </w:rPr>
        <w:t xml:space="preserve"> on the financial commitment to preserve the psychological commitment, reinforcing the belief, "I can't be wrong, can I?" This behavior requires Module 1 resilience training (V 1.1 Purpose Anchor) to sustain objectivity against acute social and internal pressure.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There is also a deep synergy between the Sunk Cost Fallacy and the </w:t>
      </w:r>
      <w:r w:rsidDel="00000000" w:rsidR="00000000" w:rsidRPr="00000000">
        <w:rPr>
          <w:b w:val="1"/>
          <w:rtl w:val="0"/>
        </w:rPr>
        <w:t xml:space="preserve">Anchoring Bias</w:t>
      </w:r>
      <w:r w:rsidDel="00000000" w:rsidR="00000000" w:rsidRPr="00000000">
        <w:rPr>
          <w:rtl w:val="0"/>
        </w:rPr>
        <w:t xml:space="preserve"> (V 2.2). The initial investment acts as a financial anchor. As the amount escalates, the difficulty of adjusting away from that anchor (i.e., accepting the total loss) becomes both mathematically and psychologically prohibitive, demonstrating that the initial small anchor is necessary to initiate the powerful </w:t>
      </w:r>
      <w:r w:rsidDel="00000000" w:rsidR="00000000" w:rsidRPr="00000000">
        <w:rPr>
          <w:b w:val="1"/>
          <w:rtl w:val="0"/>
        </w:rPr>
        <w:t xml:space="preserve">Escalation of Commitment</w:t>
      </w:r>
      <w:r w:rsidDel="00000000" w:rsidR="00000000" w:rsidRPr="00000000">
        <w:rPr>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KSAO Linkage and Level 4 Verification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Madoff's case directly necessitates training in the </w:t>
      </w:r>
      <w:r w:rsidDel="00000000" w:rsidR="00000000" w:rsidRPr="00000000">
        <w:rPr>
          <w:b w:val="1"/>
          <w:rtl w:val="0"/>
        </w:rPr>
        <w:t xml:space="preserve">Calibration Check</w:t>
      </w:r>
      <w:r w:rsidDel="00000000" w:rsidR="00000000" w:rsidRPr="00000000">
        <w:rPr>
          <w:rtl w:val="0"/>
        </w:rPr>
        <w:t xml:space="preserve"> KSAO (V 2.5), requiring students to explicitly separate delivery (swagger) from evidence. Victims failed to correctly calibrate their confidence, equating Madoff’s self-validation and charisma with objective evidence of investment success.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mandatory artifact, the </w:t>
      </w:r>
      <w:r w:rsidDel="00000000" w:rsidR="00000000" w:rsidRPr="00000000">
        <w:rPr>
          <w:b w:val="1"/>
          <w:rtl w:val="0"/>
        </w:rPr>
        <w:t xml:space="preserve">Credibility Signal Map</w:t>
      </w:r>
      <w:r w:rsidDel="00000000" w:rsidR="00000000" w:rsidRPr="00000000">
        <w:rPr>
          <w:rtl w:val="0"/>
        </w:rPr>
        <w:t xml:space="preserve"> (V 2.5), is designed for this exact scenario. Students must map the promoter's delivery (charisma, secrecy, social proof) against the objective evidence (implausible returns, lack of transparency) and explicitly identify where the Illusion of Control or Self-Validation Hypothesis biased their perceived influence or certainty.</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V. Case Study 4: Framing, Anchoring, and Gatekeeper Failure — The Enron Corporate Collapse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Narrative Profile: Accounting as Systemic Deception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Enron scandal represents a systematic weaponization of financial complexity, targeting sophisticated gatekeepers, investors, and analysts through the exploitation of </w:t>
      </w:r>
      <w:r w:rsidDel="00000000" w:rsidR="00000000" w:rsidRPr="00000000">
        <w:rPr>
          <w:b w:val="1"/>
          <w:rtl w:val="0"/>
        </w:rPr>
        <w:t xml:space="preserve">Framing</w:t>
      </w:r>
      <w:r w:rsidDel="00000000" w:rsidR="00000000" w:rsidRPr="00000000">
        <w:rPr>
          <w:rtl w:val="0"/>
        </w:rPr>
        <w:t xml:space="preserve"> and </w:t>
      </w:r>
      <w:r w:rsidDel="00000000" w:rsidR="00000000" w:rsidRPr="00000000">
        <w:rPr>
          <w:b w:val="1"/>
          <w:rtl w:val="0"/>
        </w:rPr>
        <w:t xml:space="preserve">Anchoring</w:t>
      </w:r>
      <w:r w:rsidDel="00000000" w:rsidR="00000000" w:rsidRPr="00000000">
        <w:rPr>
          <w:rtl w:val="0"/>
        </w:rPr>
        <w:t xml:space="preserve"> biases. The fraud was executed primarily by using Special Purpose Entities (SPEs) to hide vast liabilities off-balance-sheet and through the abuse of mark-to-market accounting, which allowed the firm to record </w:t>
      </w:r>
      <w:r w:rsidDel="00000000" w:rsidR="00000000" w:rsidRPr="00000000">
        <w:rPr>
          <w:i w:val="1"/>
          <w:rtl w:val="0"/>
        </w:rPr>
        <w:t xml:space="preserve">projected</w:t>
      </w:r>
      <w:r w:rsidDel="00000000" w:rsidR="00000000" w:rsidRPr="00000000">
        <w:rPr>
          <w:rtl w:val="0"/>
        </w:rPr>
        <w:t xml:space="preserve"> future earnings as </w:t>
      </w:r>
      <w:r w:rsidDel="00000000" w:rsidR="00000000" w:rsidRPr="00000000">
        <w:rPr>
          <w:i w:val="1"/>
          <w:rtl w:val="0"/>
        </w:rPr>
        <w:t xml:space="preserve">current</w:t>
      </w:r>
      <w:r w:rsidDel="00000000" w:rsidR="00000000" w:rsidRPr="00000000">
        <w:rPr>
          <w:rtl w:val="0"/>
        </w:rPr>
        <w:t xml:space="preserve"> revenue, regardless of whether those profits materialized.</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Bias Isolation and Breakdown: Manipulation of System 2 Judgment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deception relied heavily on the </w:t>
      </w:r>
      <w:r w:rsidDel="00000000" w:rsidR="00000000" w:rsidRPr="00000000">
        <w:rPr>
          <w:b w:val="1"/>
          <w:rtl w:val="0"/>
        </w:rPr>
        <w:t xml:space="preserve">Framing Effect</w:t>
      </w:r>
      <w:r w:rsidDel="00000000" w:rsidR="00000000" w:rsidRPr="00000000">
        <w:rPr>
          <w:rtl w:val="0"/>
        </w:rPr>
        <w:t xml:space="preserve"> and </w:t>
      </w:r>
      <w:r w:rsidDel="00000000" w:rsidR="00000000" w:rsidRPr="00000000">
        <w:rPr>
          <w:b w:val="1"/>
          <w:rtl w:val="0"/>
        </w:rPr>
        <w:t xml:space="preserve">Anchoring Bias</w:t>
      </w:r>
      <w:r w:rsidDel="00000000" w:rsidR="00000000" w:rsidRPr="00000000">
        <w:rPr>
          <w:rtl w:val="0"/>
        </w:rPr>
        <w:t xml:space="preserve"> (Module 2: V 2.2).</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Framing:</w:t>
      </w:r>
      <w:r w:rsidDel="00000000" w:rsidR="00000000" w:rsidRPr="00000000">
        <w:rPr>
          <w:rtl w:val="0"/>
        </w:rPr>
        <w:t xml:space="preserve"> Opaque financial language surrounding SPEs and mark-to-market adjustments successfully framed catastrophic debt as viable, complex financial transactions, thereby preventing key stakeholders from accurately assessing the underlying risk.</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Anchoring:</w:t>
      </w:r>
      <w:r w:rsidDel="00000000" w:rsidR="00000000" w:rsidRPr="00000000">
        <w:rPr>
          <w:rtl w:val="0"/>
        </w:rPr>
        <w:t xml:space="preserve"> Enron aggressively inflated its revenue figures and projected massive future profitability, establishing an extremely high, positive financial anchor. This initial anchor powerfully biased the subsequent judgments of auditors and analysts, making it immensely difficult for them to adjust their estimates downward toward the company's true, precarious valuation.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failure of corporate governance was driven by </w:t>
      </w:r>
      <w:r w:rsidDel="00000000" w:rsidR="00000000" w:rsidRPr="00000000">
        <w:rPr>
          <w:b w:val="1"/>
          <w:rtl w:val="0"/>
        </w:rPr>
        <w:t xml:space="preserve">Confirmation Bias</w:t>
      </w:r>
      <w:r w:rsidDel="00000000" w:rsidR="00000000" w:rsidRPr="00000000">
        <w:rPr>
          <w:rtl w:val="0"/>
        </w:rPr>
        <w:t xml:space="preserve"> and a catastrophic lack of professional skepticism (Module 2: V 2.4). Auditors and Board members, who were meant to serve as independent gatekeepers, failed their duty by focusing on information that supported the high-growth narrative (the anchor) and neglecting to probe or seek disconfirming evidence against the high-risk accounting practices.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Auditors, despite their high level of experience and education, are demonstrably susceptible to heuristics like Anchoring and Adjustment. The initial financial statements provided by the client (the high, fraudulent revenue numbers) act as a compelling anchor, ensuring that any subsequent audit judgment adjustment is inherently biased toward that initial, flawed value.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KSAO Linkage and Level 4 Verification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Enron case necessitates mandatory training in complex financial debiasing, focusing on the </w:t>
      </w:r>
      <w:r w:rsidDel="00000000" w:rsidR="00000000" w:rsidRPr="00000000">
        <w:rPr>
          <w:b w:val="1"/>
          <w:rtl w:val="0"/>
        </w:rPr>
        <w:t xml:space="preserve">Mathematical Adjustment</w:t>
      </w:r>
      <w:r w:rsidDel="00000000" w:rsidR="00000000" w:rsidRPr="00000000">
        <w:rPr>
          <w:rtl w:val="0"/>
        </w:rPr>
        <w:t xml:space="preserve"> (V 2.2 \text{🛡️}) and the </w:t>
      </w:r>
      <w:r w:rsidDel="00000000" w:rsidR="00000000" w:rsidRPr="00000000">
        <w:rPr>
          <w:b w:val="1"/>
          <w:rtl w:val="0"/>
        </w:rPr>
        <w:t xml:space="preserve">Falsification Attempt</w:t>
      </w:r>
      <w:r w:rsidDel="00000000" w:rsidR="00000000" w:rsidRPr="00000000">
        <w:rPr>
          <w:rtl w:val="0"/>
        </w:rPr>
        <w:t xml:space="preserve"> (V 2.4 \text{🛡️}) KSAOs.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Counter-Anchoring Worksheet</w:t>
      </w:r>
      <w:r w:rsidDel="00000000" w:rsidR="00000000" w:rsidRPr="00000000">
        <w:rPr>
          <w:rtl w:val="0"/>
        </w:rPr>
        <w:t xml:space="preserve"> (V 2.2) is critical, requiring students to compute a defensive counter-anchor using independent standard comparisons, explicitly forcing them to reject reliance on the fraudulently inflated figures provided by the management.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systemic failure of oversight demands mandatory training in proactive falsification. The </w:t>
      </w:r>
      <w:r w:rsidDel="00000000" w:rsidR="00000000" w:rsidRPr="00000000">
        <w:rPr>
          <w:b w:val="1"/>
          <w:rtl w:val="0"/>
        </w:rPr>
        <w:t xml:space="preserve">7-Day Disconfirmation Diary</w:t>
      </w:r>
      <w:r w:rsidDel="00000000" w:rsidR="00000000" w:rsidRPr="00000000">
        <w:rPr>
          <w:rtl w:val="0"/>
        </w:rPr>
        <w:t xml:space="preserve"> (V 2.4) must compel students to log a core belief (e.g., a client’s stated financial health) and actively document their consistent effort to locate disconfirming evidence, ensuring source triangulation that extends beyond information provided by the interested party. This approach counters the corporate environment surrounding Enron, which prioritized stock performance and created a powerful internal pressure toward Groupthink (V 2.3) that subverted independent monitoring.</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Synthesis: Scaling Real-World Events to the KSAO Rubric</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Criminal attack vectors rarely succeed through the exploitation of a single bias in isolation. Instead, they implement a </w:t>
      </w:r>
      <w:r w:rsidDel="00000000" w:rsidR="00000000" w:rsidRPr="00000000">
        <w:rPr>
          <w:b w:val="1"/>
          <w:rtl w:val="0"/>
        </w:rPr>
        <w:t xml:space="preserve">causal chain</w:t>
      </w:r>
      <w:r w:rsidDel="00000000" w:rsidR="00000000" w:rsidRPr="00000000">
        <w:rPr>
          <w:rtl w:val="0"/>
        </w:rPr>
        <w:t xml:space="preserve"> of psychological mechanisms designed to secure initial compliance and actively prevent subsequent self-correction. For instance, </w:t>
      </w:r>
      <w:r w:rsidDel="00000000" w:rsidR="00000000" w:rsidRPr="00000000">
        <w:rPr>
          <w:b w:val="1"/>
          <w:rtl w:val="0"/>
        </w:rPr>
        <w:t xml:space="preserve">Authority Bias</w:t>
      </w:r>
      <w:r w:rsidDel="00000000" w:rsidR="00000000" w:rsidRPr="00000000">
        <w:rPr>
          <w:rtl w:val="0"/>
        </w:rPr>
        <w:t xml:space="preserve"> (Abagnale, Gardner Heist) triggers immediate, System 1 compliance, which establishes a foundational </w:t>
      </w:r>
      <w:r w:rsidDel="00000000" w:rsidR="00000000" w:rsidRPr="00000000">
        <w:rPr>
          <w:b w:val="1"/>
          <w:rtl w:val="0"/>
        </w:rPr>
        <w:t xml:space="preserve">Commitment</w:t>
      </w:r>
      <w:r w:rsidDel="00000000" w:rsidR="00000000" w:rsidRPr="00000000">
        <w:rPr>
          <w:rtl w:val="0"/>
        </w:rPr>
        <w:t xml:space="preserve"> (Sunk Cost Fallacy, Madoff) that prevents the victim from cutting losses, followed by </w:t>
      </w:r>
      <w:r w:rsidDel="00000000" w:rsidR="00000000" w:rsidRPr="00000000">
        <w:rPr>
          <w:b w:val="1"/>
          <w:rtl w:val="0"/>
        </w:rPr>
        <w:t xml:space="preserve">Framing and Anchoring</w:t>
      </w:r>
      <w:r w:rsidDel="00000000" w:rsidR="00000000" w:rsidRPr="00000000">
        <w:rPr>
          <w:rtl w:val="0"/>
        </w:rPr>
        <w:t xml:space="preserve"> (Enron) to manipulate the data, making objective internal scrutiny (Confirmation Bias defense) impossible.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documented failures in these high-stakes scenarios—especially the self-deception exhibited by victims who stay committed to a losing proposition—provide essential training material for Module 5: V 5.3, </w:t>
      </w:r>
      <w:r w:rsidDel="00000000" w:rsidR="00000000" w:rsidRPr="00000000">
        <w:rPr>
          <w:b w:val="1"/>
          <w:rtl w:val="0"/>
        </w:rPr>
        <w:t xml:space="preserve">Debiasing Memory &amp; AAR</w:t>
      </w:r>
      <w:r w:rsidDel="00000000" w:rsidR="00000000" w:rsidRPr="00000000">
        <w:rPr>
          <w:rtl w:val="0"/>
        </w:rPr>
        <w:t xml:space="preserve">. The analysis must aggressively target </w:t>
      </w:r>
      <w:r w:rsidDel="00000000" w:rsidR="00000000" w:rsidRPr="00000000">
        <w:rPr>
          <w:b w:val="1"/>
          <w:rtl w:val="0"/>
        </w:rPr>
        <w:t xml:space="preserve">Hindsight Bias</w:t>
      </w:r>
      <w:r w:rsidDel="00000000" w:rsidR="00000000" w:rsidRPr="00000000">
        <w:rPr>
          <w:rtl w:val="0"/>
        </w:rPr>
        <w:t xml:space="preserve">, which often manifests when victims retrospectively adjust their memories to align with the present outcome (consistency bias). The After Action Review (AAR) must compel students to analyze their decisions </w:t>
      </w:r>
      <w:r w:rsidDel="00000000" w:rsidR="00000000" w:rsidRPr="00000000">
        <w:rPr>
          <w:i w:val="1"/>
          <w:rtl w:val="0"/>
        </w:rPr>
        <w:t xml:space="preserve">contemporaneously</w:t>
      </w:r>
      <w:r w:rsidDel="00000000" w:rsidR="00000000" w:rsidRPr="00000000">
        <w:rPr>
          <w:rtl w:val="0"/>
        </w:rPr>
        <w:t xml:space="preserve">, accurately labeling the bias as it appeared on the timeline, and generating a quantifiable practice change based on verifiable evidence from the drill (V 5.3 \text{🛡️}).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meet the rigorous standards of the PHD-Level Rubric, instruction must transition from conceptual understanding to measurable performance improvements. The emotional context provided by these historic cases is leveraged to anchor training to specific, verifiable metrics, such as time constraints (V 1.2: \le 30 seconds Physio Reset) and quantitative data comparisons (V 5.2: A/B Recall Trial delta). The following tables provide a synthesized mapping of these attack vectors to the mandated KSAO curriculum.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1: Cross-Reference of Historic Heists to Citizen Cipher KSAO Objectives (Expanded)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Case Study (Attack Vector)</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Primary Bias Isolated</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Citizen Cipher Module/Video</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Level 4 Objective Addressed</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Failure Point Illustrated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Madoff Ponzi Scheme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Sunk Cost Fallacy / Commitment &amp; Consistency</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High-Leverage Bias / V 2.5 (Confidence)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Elimination of reliance on prior investment as justification; Calibration Check against confidence.</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Sophisticated investors failing to divest due to ego and refusal to recognize prior commitment as a sunk cost.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Frank Abagnale Scams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Authority Bias / Attribute Substitution</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2: V 2.3 (Authority)</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Successful application of Bandwagon Defense protocol (stall \rightarrow verification) despite high perceived authority.</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Institutional victims bypassed verification protocols due to superficial Authority markers (uniform, title).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Isabella Stewart Gardner Heist</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Normalcy Bias / Crisis Disorganization</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1: V 1.2 (Normalcy Override)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Successfully executing the Physio Reset in \le 30 seconds to override inaction/complacency.</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guard "broke protocol" because the threat (police at the door) was normalized rather than immediately identified as a critical breach.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Enron Corporate Fraud</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Framing Effect / Anchoring Bias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2: V 2.2 (Anchoring) / V 2.4 (Truth Trap)</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Computation of a defensive counter-anchor; Proactive search for disconfirming evidence (Falsification Attempt).</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Gatekeepers (auditors/Board) accepted the fraudulent corporate anchor and failed to seek information that would disconfirm the high-performance narrative.</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2: The Psychological Causal Chain in Fraud Escalation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Phase of Attack</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Abagnale/Gardner Example</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Madoff Example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Cognitive Bias Leverage</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Citizen Cipher Defense Goal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 Access &amp; Pretexting</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Uniform/Title (Authority) grants physical access (Gardner guard opens door).</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Word-of-Mouth Referral (Social Proof) grants credibility and initial access to capital.</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Authority Bias (V 2.3), Attribute Substitution (V 2.1), Social Proof.</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Mandatory verification/stall before compliance; diagnose persuasion route.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II. Commitment Initiation</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 requests/compliance acts (stepping away from desk, cashing a small check).</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 initial financial "hook" (\$20-\$2,000) to establish momentum.</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Commitment and Consistency, Reciprocity (in marketing scams).</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Recognize and reject initial "low-cost" hooks; maintain low-level professional skepticism.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III. Escalation &amp; Entrapment</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Leveraging prior identity/status to compound fraud (e.g., pilot identity used for multiple financial crimes).</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Reminders of previous investment and the pain of exiting ("throwing good money after bad").</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Sunk Cost Fallacy (High-Leverage Expansion), Loss Aversion (V 2.2).</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Independent exit analysis; disregard past investment in current decision-making.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IV. Sustained Deception</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Victim’s fear of admitting mistake prevents reporting/exit.</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High-volume, repeated false claims/numbers (high returns, hidden accounting).</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Illusory Truth Effect (High-Leverage Expansion), Confirmation Bias (V 2.4), Anchoring Bias (V 2.2).</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Proactive Falsification Attempt; mathematical counter-anchoring (V 2.2).</w:t>
            </w:r>
          </w:p>
        </w:tc>
      </w:tr>
    </w:tbl>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VII. Conclusions and Recommendations for Curriculum Deployment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forensic decomposition of historic criminal successes—ranging from identity fraud and art theft to massive corporate Ponzi schemes—reveals a predictable and replicable operational methodology rooted in exploiting fundamental human cognitive architecture. The success of these attack vectors is directly proportional to the victim's failure to deploy specific defensive KSAOs, validating the necessity of the rigorous instructional model proposed in the </w:t>
      </w:r>
      <w:r w:rsidDel="00000000" w:rsidR="00000000" w:rsidRPr="00000000">
        <w:rPr>
          <w:i w:val="1"/>
          <w:rtl w:val="0"/>
        </w:rPr>
        <w:t xml:space="preserve">Citizen Cipher</w:t>
      </w:r>
      <w:r w:rsidDel="00000000" w:rsidR="00000000" w:rsidRPr="00000000">
        <w:rPr>
          <w:rtl w:val="0"/>
        </w:rPr>
        <w:t xml:space="preserve"> curriculum.</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conclusion is that vulnerability is not correlated solely with education or affluence (as seen in the Madoff case ), but rather with the failure to execute specific, measurable debiasing protocols under pressure. The training must therefore focus on anchoring psychological defense to physical and data-driven behaviors. The Gardner Heist demonstrates that a single lapse in protocol, driven by the Authority and Normalcy biases, can yield massive criminal gain. The Enron and Madoff cases emphasize that even high-level analytical professionals are susceptible to mathematical and relational biases, specifically Anchoring and Sunk Cost Fallacy, necessitating formalized debiasing techniques like counter-anchoring and dedicated falsification attempts.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structuring episodes around these four detailed forensic case studies and linking them directly to the mandatory Level 4 KSAO artifacts, the program ensures that instruction is clinically rigorous, academically defensible, and measurably effective in guaranteeing student mastery of Offensive Defense principles.</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Social engineering (security) - Wikipedia, https://en.wikipedia.org/wiki/Social_engineering_(security) 2. Social Engineering Education | CDE - Colorado Department of Education, https://www.cde.state.co.us/dataprivacyandsecurity/socialengineeringeducation 3. Scams and the Role of Sunk Cost Theory - Money Fit, https://www.moneyfit.org/episode/scams-and-the-role-of-sunk-cost-theory/ 4. Understand Our Obedience Bias to Avoid Manipulation | Better Humans - Medium, https://medium.com/better-humans/obedience-to-authority-cd7eb29f1e06 5. Social Engineering Examples: 15 Real-World Attacks Explained - phoenixNAP, https://phoenixnap.com/blog/social-engineering-examples 6. Top 25 Real World Case-Studies on Cyber Security Incidents? - Birchwood University, https://www.birchwoodu.org/top-10-real-world-case-studies-on-cyber-security-incidents/ 7. FRANK'S HEDONISTIC LUST AND PLEASURE- SEEKING BEHAVIOR IN ABAGNALE'S CATCH ME IF YOU CAN: A PSYCHOANALYSIS APPROACH A THESIS, https://eprints.uny.ac.id/21083/1/Agustina%20Tri%20Widayati%2008211144005.pdf 8. Isabella Stewart Gardner Museum Heist - FBI, https://www.fbi.gov/history/famous-cases/isabella-stewart-gardner-museum-heist 9. The Theft | Isabella Stewart Gardner Museum, https://www.gardnermuseum.org/about/theft-story 10. Bernie Madoff Case - FBI, https://www.fbi.gov/history/famous-cases/bernie-madoff 11. A quantitative analysis of victims of investment crime - Financial Conduct Authority, https://www.fca.org.uk/publication/research/quan-study-understanding-victims-investment-fraud.pdf 12. Understanding a Ponzi Scheme: Victims' Perspectives, http://web.nacva.com/JFIA/Issues/JFIA-2012-1_1.pdf 13. The Evolution and Impacts of the Ponzi Scheme and Governmental Oversight - Ramapo College, https://www.ramapo.edu/honors/wp-content/uploads/sites/55/2019/08/Cohler-ASB-2017.pdf 14. Beware the Sunk Cost Fallacy - GreatNews.Life, https://greatnews.life/article/beware-the-sunk-cost-fallacy/ 15. Enron Scandal (2001): How Corporate Fraud Led to a Historic Collapse - Intellex Forensics, https://intellexforensics.com/enron-scandal/ 16. Enron's Downfall: A Defining Case of Accounting Fraud and Corporate Deception, https://www.forensisgroup.com/resources/expert-legal-witness-blog/enron-s-downfall-a-defining-case-of-accounting-fraud-and-corporate-deception 17. Anchoring and Adjustment Effects on Audit Judgments: Experimental Evidence from Switzerland - Austin Publishing Group, https://austinpublishinggroup.com/business-administration-and-management/fulltext/ajbam-v1-id1006.php 18. Notable Governance Failures: Enron, Siemens and Beyond - Penn Carey Law: Legal Scholarship Repository, https://scholarship.law.upenn.edu/cgi/viewcontent.cgi?article=1009&amp;context=fisch_2016 19. Governance Failures of the Enron Board and the New Information Order of Sarbanes-Oxley - Scholarship Archive, https://scholarship.law.columbia.edu/cgi/viewcontent.cgi?article=4470&amp;context=faculty_scholarship 20. Managing Cognitive Bias in Fraud Investigations - ACFE Insights Blog, https://www.acfe.com/acfe-insights-blog/blog-detail?s=managing-cognitive-bias-in-fraud-investigations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