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d462b8fd43fe3eccdfb35dc1c9050467698428"/>
    <w:p>
      <w:pPr>
        <w:pStyle w:val="Heading1"/>
      </w:pPr>
      <w:r>
        <w:t xml:space="preserve">Experimental Research Paper: Frequency-Based Neuro-Programming for Memory &amp; Cognition</w:t>
      </w:r>
    </w:p>
    <w:p>
      <w:r>
        <w:pict>
          <v:rect style="width:0;height:1.5pt" o:hralign="center" o:hrstd="t" o:hr="t"/>
        </w:pict>
      </w:r>
    </w:p>
    <w:bookmarkStart w:id="20" w:name="introduction"/>
    <w:p>
      <w:pPr>
        <w:pStyle w:val="Heading2"/>
      </w:pPr>
      <w:r>
        <w:t xml:space="preserve">Introduction</w:t>
      </w:r>
    </w:p>
    <w:p>
      <w:pPr>
        <w:pStyle w:val="FirstParagraph"/>
      </w:pPr>
      <w:r>
        <w:t xml:space="preserve">This paper presents an expanded and restructured framework blending personal experimentation, psychological theory, and declassified MK-Ultra research to explore a replicable system of cognitive enhancement. The core aim is to replace the pharmacological approaches of mid-20th century behavioral research with non-invasive, frequency-based entrainment methods. By shifting from drugs to auditory and electromagnetic</w:t>
      </w:r>
      <w:r>
        <w:t xml:space="preserve"> </w:t>
      </w:r>
      <w:r>
        <w:t xml:space="preserve">“hidden waves,”</w:t>
      </w:r>
      <w:r>
        <w:t xml:space="preserve"> </w:t>
      </w:r>
      <w:r>
        <w:t xml:space="preserve">this model proposes an ethically viable path toward enhanced memory, cognition, and behavioral programming.</w:t>
      </w:r>
    </w:p>
    <w:p>
      <w:pPr>
        <w:pStyle w:val="BodyText"/>
      </w:pPr>
      <w:r>
        <w:t xml:space="preserve">The work builds on over seven years of study across industrial-organizational, abnormal, and experimental psychology【64†source】, while integrating elements of intelligence research, schema design, and frequency entrainment. It embodies what the author calls the</w:t>
      </w:r>
      <w:r>
        <w:t xml:space="preserve"> </w:t>
      </w:r>
      <w:r>
        <w:rPr>
          <w:b/>
          <w:bCs/>
        </w:rPr>
        <w:t xml:space="preserve">Jason Bourne Effect</w:t>
      </w:r>
      <w:r>
        <w:t xml:space="preserve">: the ability to recall and act on complex information with speed and precision through pre-learned triggers and schema activation.</w:t>
      </w:r>
    </w:p>
    <w:p>
      <w:r>
        <w:pict>
          <v:rect style="width:0;height:1.5pt" o:hralign="center" o:hrstd="t" o:hr="t"/>
        </w:pict>
      </w:r>
    </w:p>
    <w:bookmarkEnd w:id="20"/>
    <w:bookmarkStart w:id="24" w:name="theoretical-framework"/>
    <w:p>
      <w:pPr>
        <w:pStyle w:val="Heading2"/>
      </w:pPr>
      <w:r>
        <w:t xml:space="preserve">Theoretical Framework</w:t>
      </w:r>
    </w:p>
    <w:bookmarkStart w:id="21" w:name="long-vs.-short-thinking"/>
    <w:p>
      <w:pPr>
        <w:pStyle w:val="Heading3"/>
      </w:pPr>
      <w:r>
        <w:t xml:space="preserve">Long vs. Short Thinking</w:t>
      </w:r>
    </w:p>
    <w:p>
      <w:pPr>
        <w:pStyle w:val="FirstParagraph"/>
      </w:pPr>
      <w:r>
        <w:t xml:space="preserve">The model distinguishes between</w:t>
      </w:r>
      <w:r>
        <w:t xml:space="preserve"> </w:t>
      </w:r>
      <w:r>
        <w:rPr>
          <w:b/>
          <w:bCs/>
        </w:rPr>
        <w:t xml:space="preserve">long thinking</w:t>
      </w:r>
      <w:r>
        <w:t xml:space="preserve"> </w:t>
      </w:r>
      <w:r>
        <w:t xml:space="preserve">(reflective, analytical, extended problem-solving) and</w:t>
      </w:r>
      <w:r>
        <w:t xml:space="preserve"> </w:t>
      </w:r>
      <w:r>
        <w:rPr>
          <w:b/>
          <w:bCs/>
        </w:rPr>
        <w:t xml:space="preserve">short thinking</w:t>
      </w:r>
      <w:r>
        <w:t xml:space="preserve"> </w:t>
      </w:r>
      <w:r>
        <w:t xml:space="preserve">(rapid, trigger-based action)【64†source】. Long thinking is used for schema construction—strategizing, studying, and encoding information. Short thinking is the automatic, subconscious execution of those schemas when triggered. This dual-process design mirrors both martial discipline and survival-based cognition.</w:t>
      </w:r>
    </w:p>
    <w:bookmarkEnd w:id="21"/>
    <w:bookmarkStart w:id="22" w:name="schema-and-trigger-design"/>
    <w:p>
      <w:pPr>
        <w:pStyle w:val="Heading3"/>
      </w:pPr>
      <w:r>
        <w:t xml:space="preserve">Schema and Trigger Design</w:t>
      </w:r>
    </w:p>
    <w:p>
      <w:pPr>
        <w:pStyle w:val="FirstParagraph"/>
      </w:pPr>
      <w:r>
        <w:t xml:space="preserve">Schemas are structured mental programs linking stimuli to automatic responses. Through conditioning and frequency reinforcement, these schemas become latent cognitive shortcuts. For instance, recognizing an environmental cue (a light turning on) automatically activates the correct sequence of actions【64†source】. This process represents a controlled adaptation of what declassified MK-Ultra files described as</w:t>
      </w:r>
      <w:r>
        <w:t xml:space="preserve"> </w:t>
      </w:r>
      <w:r>
        <w:t xml:space="preserve">“conditioning through external stimuli”</w:t>
      </w:r>
      <w:r>
        <w:t xml:space="preserve">【48†source】【49†source】, but without drugs.</w:t>
      </w:r>
    </w:p>
    <w:bookmarkEnd w:id="22"/>
    <w:bookmarkStart w:id="23" w:name="Xefe36e4129dfd13fad7ce6a5f3e51addc9b4e96"/>
    <w:p>
      <w:pPr>
        <w:pStyle w:val="Heading3"/>
      </w:pPr>
      <w:r>
        <w:t xml:space="preserve">Frequency Entrainment as Substitute for Psychoactives</w:t>
      </w:r>
    </w:p>
    <w:p>
      <w:pPr>
        <w:pStyle w:val="FirstParagraph"/>
      </w:pPr>
      <w:r>
        <w:t xml:space="preserve">Where historical programs tested LSD, cannabis, and other psychoactives to induce altered states【48†source】【49†source】, this framework proposes targeted</w:t>
      </w:r>
      <w:r>
        <w:t xml:space="preserve"> </w:t>
      </w:r>
      <w:r>
        <w:rPr>
          <w:b/>
          <w:bCs/>
        </w:rPr>
        <w:t xml:space="preserve">frequency entrainment</w:t>
      </w:r>
      <w:r>
        <w:t xml:space="preserve"> </w:t>
      </w:r>
      <w:r>
        <w:t xml:space="preserve">to achieve similar mental conditions:</w:t>
      </w:r>
      <w:r>
        <w:t xml:space="preserve"> </w:t>
      </w:r>
      <w:r>
        <w:t xml:space="preserve">-</w:t>
      </w:r>
      <w:r>
        <w:t xml:space="preserve"> </w:t>
      </w:r>
      <w:r>
        <w:rPr>
          <w:b/>
          <w:bCs/>
        </w:rPr>
        <w:t xml:space="preserve">LSD analogue</w:t>
      </w:r>
      <w:r>
        <w:t xml:space="preserve">: ultra-theta/alpha crossover (~6–10 Hz) to promote altered perception and associative creativity.</w:t>
      </w:r>
      <w:r>
        <w:t xml:space="preserve"> </w:t>
      </w:r>
      <w:r>
        <w:t xml:space="preserve">-</w:t>
      </w:r>
      <w:r>
        <w:t xml:space="preserve"> </w:t>
      </w:r>
      <w:r>
        <w:rPr>
          <w:b/>
          <w:bCs/>
        </w:rPr>
        <w:t xml:space="preserve">Cannabis analogue</w:t>
      </w:r>
      <w:r>
        <w:t xml:space="preserve">: low-alpha/SMR (~8–12 Hz) for relaxation, stress release, and mild dissociation.</w:t>
      </w:r>
      <w:r>
        <w:t xml:space="preserve"> </w:t>
      </w:r>
      <w:r>
        <w:t xml:space="preserve">-</w:t>
      </w:r>
      <w:r>
        <w:t xml:space="preserve"> </w:t>
      </w:r>
      <w:r>
        <w:rPr>
          <w:b/>
          <w:bCs/>
        </w:rPr>
        <w:t xml:space="preserve">Opioid analogue</w:t>
      </w:r>
      <w:r>
        <w:t xml:space="preserve">: sub-delta (~1–3 Hz) with background noise, inducing analgesia and deep calm.</w:t>
      </w:r>
    </w:p>
    <w:p>
      <w:pPr>
        <w:pStyle w:val="BodyText"/>
      </w:pPr>
      <w:r>
        <w:t xml:space="preserve">These substitutions not only avoid ethical and physiological risks of drugs but also allow repeatable, tunable induction of mental states for learning and recall.</w:t>
      </w:r>
    </w:p>
    <w:p>
      <w:r>
        <w:pict>
          <v:rect style="width:0;height:1.5pt" o:hralign="center" o:hrstd="t" o:hr="t"/>
        </w:pict>
      </w:r>
    </w:p>
    <w:bookmarkEnd w:id="23"/>
    <w:bookmarkEnd w:id="24"/>
    <w:bookmarkStart w:id="25" w:name="hypothesis"/>
    <w:p>
      <w:pPr>
        <w:pStyle w:val="Heading2"/>
      </w:pPr>
      <w:r>
        <w:t xml:space="preserve">Hypothesis</w:t>
      </w:r>
    </w:p>
    <w:p>
      <w:pPr>
        <w:pStyle w:val="FirstParagraph"/>
      </w:pPr>
      <w:r>
        <w:rPr>
          <w:b/>
          <w:bCs/>
        </w:rPr>
        <w:t xml:space="preserve">Individuals can engage in Jason Bourne–like cognitive triggering by using frequency entrainment and schema anchoring to operate latent mental programs previously learned in theta states.</w:t>
      </w:r>
      <w:r>
        <w:t xml:space="preserve">【65†source】</w:t>
      </w:r>
    </w:p>
    <w:p>
      <w:r>
        <w:pict>
          <v:rect style="width:0;height:1.5pt" o:hralign="center" o:hrstd="t" o:hr="t"/>
        </w:pict>
      </w:r>
    </w:p>
    <w:bookmarkEnd w:id="25"/>
    <w:bookmarkStart w:id="30" w:name="methods"/>
    <w:p>
      <w:pPr>
        <w:pStyle w:val="Heading2"/>
      </w:pPr>
      <w:r>
        <w:t xml:space="preserve">Methods</w:t>
      </w:r>
    </w:p>
    <w:bookmarkStart w:id="26" w:name="materials"/>
    <w:p>
      <w:pPr>
        <w:pStyle w:val="Heading3"/>
      </w:pPr>
      <w:r>
        <w:t xml:space="preserve">Materials</w:t>
      </w:r>
    </w:p>
    <w:p>
      <w:pPr>
        <w:pStyle w:val="Compact"/>
        <w:numPr>
          <w:ilvl w:val="0"/>
          <w:numId w:val="1001"/>
        </w:numPr>
      </w:pPr>
      <w:r>
        <w:rPr>
          <w:b/>
          <w:bCs/>
        </w:rPr>
        <w:t xml:space="preserve">EEG device (e.g. EMOTIV Epoch)</w:t>
      </w:r>
      <w:r>
        <w:t xml:space="preserve"> </w:t>
      </w:r>
      <w:r>
        <w:t xml:space="preserve">to monitor baseline and entrained states【65†source】.</w:t>
      </w:r>
    </w:p>
    <w:p>
      <w:pPr>
        <w:pStyle w:val="Compact"/>
        <w:numPr>
          <w:ilvl w:val="0"/>
          <w:numId w:val="1001"/>
        </w:numPr>
      </w:pPr>
      <w:r>
        <w:rPr>
          <w:b/>
          <w:bCs/>
        </w:rPr>
        <w:t xml:space="preserve">Frequency entrainment tools</w:t>
      </w:r>
      <w:r>
        <w:t xml:space="preserve">: ENDEL app, online tone generators, or custom binaural/isochronic tones.</w:t>
      </w:r>
    </w:p>
    <w:p>
      <w:pPr>
        <w:pStyle w:val="Compact"/>
        <w:numPr>
          <w:ilvl w:val="0"/>
          <w:numId w:val="1001"/>
        </w:numPr>
      </w:pPr>
      <w:r>
        <w:rPr>
          <w:b/>
          <w:bCs/>
        </w:rPr>
        <w:t xml:space="preserve">Schema tracking logbook</w:t>
      </w:r>
      <w:r>
        <w:t xml:space="preserve"> </w:t>
      </w:r>
      <w:r>
        <w:t xml:space="preserve">for recording designs and performance.</w:t>
      </w:r>
    </w:p>
    <w:p>
      <w:pPr>
        <w:pStyle w:val="Compact"/>
        <w:numPr>
          <w:ilvl w:val="0"/>
          <w:numId w:val="1001"/>
        </w:numPr>
      </w:pPr>
      <w:r>
        <w:rPr>
          <w:b/>
          <w:bCs/>
        </w:rPr>
        <w:t xml:space="preserve">External anchors</w:t>
      </w:r>
      <w:r>
        <w:t xml:space="preserve">: flashlight, auditory tones, tactile signals.</w:t>
      </w:r>
    </w:p>
    <w:bookmarkEnd w:id="26"/>
    <w:bookmarkStart w:id="27" w:name="schema-construction-induction"/>
    <w:p>
      <w:pPr>
        <w:pStyle w:val="Heading3"/>
      </w:pPr>
      <w:r>
        <w:t xml:space="preserve">Schema Construction &amp; Induction</w:t>
      </w:r>
    </w:p>
    <w:p>
      <w:pPr>
        <w:pStyle w:val="Compact"/>
        <w:numPr>
          <w:ilvl w:val="0"/>
          <w:numId w:val="1002"/>
        </w:numPr>
      </w:pPr>
      <w:r>
        <w:rPr>
          <w:b/>
          <w:bCs/>
        </w:rPr>
        <w:t xml:space="preserve">Design schemas (A, B, C)</w:t>
      </w:r>
      <w:r>
        <w:t xml:space="preserve"> </w:t>
      </w:r>
      <w:r>
        <w:t xml:space="preserve">with specific goals (e.g., memory recall, combat readiness, exam performance).</w:t>
      </w:r>
    </w:p>
    <w:p>
      <w:pPr>
        <w:pStyle w:val="Compact"/>
        <w:numPr>
          <w:ilvl w:val="0"/>
          <w:numId w:val="1002"/>
        </w:numPr>
      </w:pPr>
      <w:r>
        <w:rPr>
          <w:b/>
          <w:bCs/>
        </w:rPr>
        <w:t xml:space="preserve">Practice meditation or guided hypnosis</w:t>
      </w:r>
      <w:r>
        <w:t xml:space="preserve"> </w:t>
      </w:r>
      <w:r>
        <w:t xml:space="preserve">to enter a theta-dominant state【65†source】.</w:t>
      </w:r>
    </w:p>
    <w:p>
      <w:pPr>
        <w:pStyle w:val="Compact"/>
        <w:numPr>
          <w:ilvl w:val="0"/>
          <w:numId w:val="1002"/>
        </w:numPr>
      </w:pPr>
      <w:r>
        <w:rPr>
          <w:b/>
          <w:bCs/>
        </w:rPr>
        <w:t xml:space="preserve">Introduce the schema</w:t>
      </w:r>
      <w:r>
        <w:t xml:space="preserve"> </w:t>
      </w:r>
      <w:r>
        <w:t xml:space="preserve">verbally or through written affirmation.</w:t>
      </w:r>
    </w:p>
    <w:p>
      <w:pPr>
        <w:pStyle w:val="Compact"/>
        <w:numPr>
          <w:ilvl w:val="0"/>
          <w:numId w:val="1002"/>
        </w:numPr>
      </w:pPr>
      <w:r>
        <w:rPr>
          <w:b/>
          <w:bCs/>
        </w:rPr>
        <w:t xml:space="preserve">Embed triggers</w:t>
      </w:r>
      <w:r>
        <w:t xml:space="preserve">: external stimuli (phone tone, flashlight) or internal cues (mental visualization).</w:t>
      </w:r>
    </w:p>
    <w:p>
      <w:pPr>
        <w:pStyle w:val="Compact"/>
        <w:numPr>
          <w:ilvl w:val="0"/>
          <w:numId w:val="1002"/>
        </w:numPr>
      </w:pPr>
      <w:r>
        <w:rPr>
          <w:b/>
          <w:bCs/>
        </w:rPr>
        <w:t xml:space="preserve">Reinforce through frequency entrainment</w:t>
      </w:r>
      <w:r>
        <w:t xml:space="preserve"> </w:t>
      </w:r>
      <w:r>
        <w:t xml:space="preserve">tuned to schema-specific bands.</w:t>
      </w:r>
    </w:p>
    <w:bookmarkEnd w:id="27"/>
    <w:bookmarkStart w:id="28" w:name="flow-state-durations"/>
    <w:p>
      <w:pPr>
        <w:pStyle w:val="Heading3"/>
      </w:pPr>
      <w:r>
        <w:t xml:space="preserve">Flow State Durations</w:t>
      </w:r>
    </w:p>
    <w:p>
      <w:pPr>
        <w:pStyle w:val="Compact"/>
        <w:numPr>
          <w:ilvl w:val="0"/>
          <w:numId w:val="1003"/>
        </w:numPr>
      </w:pPr>
      <w:r>
        <w:rPr>
          <w:b/>
          <w:bCs/>
        </w:rPr>
        <w:t xml:space="preserve">1 hour</w:t>
      </w:r>
      <w:r>
        <w:t xml:space="preserve"> </w:t>
      </w:r>
      <w:r>
        <w:t xml:space="preserve">for acute tasks.</w:t>
      </w:r>
    </w:p>
    <w:p>
      <w:pPr>
        <w:pStyle w:val="Compact"/>
        <w:numPr>
          <w:ilvl w:val="0"/>
          <w:numId w:val="1003"/>
        </w:numPr>
      </w:pPr>
      <w:r>
        <w:rPr>
          <w:b/>
          <w:bCs/>
        </w:rPr>
        <w:t xml:space="preserve">24 hours</w:t>
      </w:r>
      <w:r>
        <w:t xml:space="preserve"> </w:t>
      </w:r>
      <w:r>
        <w:t xml:space="preserve">for day-long performance.</w:t>
      </w:r>
    </w:p>
    <w:p>
      <w:pPr>
        <w:pStyle w:val="Compact"/>
        <w:numPr>
          <w:ilvl w:val="0"/>
          <w:numId w:val="1003"/>
        </w:numPr>
      </w:pPr>
      <w:r>
        <w:rPr>
          <w:b/>
          <w:bCs/>
        </w:rPr>
        <w:t xml:space="preserve">3 days</w:t>
      </w:r>
      <w:r>
        <w:t xml:space="preserve"> </w:t>
      </w:r>
      <w:r>
        <w:t xml:space="preserve">for medium-term application.</w:t>
      </w:r>
    </w:p>
    <w:p>
      <w:pPr>
        <w:pStyle w:val="Compact"/>
        <w:numPr>
          <w:ilvl w:val="0"/>
          <w:numId w:val="1003"/>
        </w:numPr>
      </w:pPr>
      <w:r>
        <w:rPr>
          <w:b/>
          <w:bCs/>
        </w:rPr>
        <w:t xml:space="preserve">1 week</w:t>
      </w:r>
      <w:r>
        <w:t xml:space="preserve"> </w:t>
      </w:r>
      <w:r>
        <w:t xml:space="preserve">for intensive flow immersion【65†source】.</w:t>
      </w:r>
    </w:p>
    <w:bookmarkEnd w:id="28"/>
    <w:bookmarkStart w:id="29" w:name="exit-tie-down-protocols"/>
    <w:p>
      <w:pPr>
        <w:pStyle w:val="Heading3"/>
      </w:pPr>
      <w:r>
        <w:t xml:space="preserve">Exit &amp; Tie-Down Protocols</w:t>
      </w:r>
    </w:p>
    <w:p>
      <w:pPr>
        <w:pStyle w:val="Compact"/>
        <w:numPr>
          <w:ilvl w:val="0"/>
          <w:numId w:val="1004"/>
        </w:numPr>
      </w:pPr>
      <w:r>
        <w:rPr>
          <w:b/>
          <w:bCs/>
        </w:rPr>
        <w:t xml:space="preserve">FlowGate Processing</w:t>
      </w:r>
      <w:r>
        <w:t xml:space="preserve">: flashlight signal for state closure.</w:t>
      </w:r>
    </w:p>
    <w:p>
      <w:pPr>
        <w:pStyle w:val="Compact"/>
        <w:numPr>
          <w:ilvl w:val="0"/>
          <w:numId w:val="1004"/>
        </w:numPr>
      </w:pPr>
      <w:r>
        <w:rPr>
          <w:b/>
          <w:bCs/>
        </w:rPr>
        <w:t xml:space="preserve">DropGate Processing</w:t>
      </w:r>
      <w:r>
        <w:t xml:space="preserve">: auditory cue for controlled schema termination.</w:t>
      </w:r>
    </w:p>
    <w:p>
      <w:pPr>
        <w:pStyle w:val="Compact"/>
        <w:numPr>
          <w:ilvl w:val="0"/>
          <w:numId w:val="1004"/>
        </w:numPr>
      </w:pPr>
      <w:r>
        <w:rPr>
          <w:b/>
          <w:bCs/>
        </w:rPr>
        <w:t xml:space="preserve">Tie-Down State</w:t>
      </w:r>
      <w:r>
        <w:t xml:space="preserve">: structured debrief to prevent cognitive dissonance【65†source】.</w:t>
      </w:r>
    </w:p>
    <w:p>
      <w:r>
        <w:pict>
          <v:rect style="width:0;height:1.5pt" o:hralign="center" o:hrstd="t" o:hr="t"/>
        </w:pict>
      </w:r>
    </w:p>
    <w:bookmarkEnd w:id="29"/>
    <w:bookmarkEnd w:id="30"/>
    <w:bookmarkStart w:id="31" w:name="supporting-evidence-mk-ultra-context"/>
    <w:p>
      <w:pPr>
        <w:pStyle w:val="Heading2"/>
      </w:pPr>
      <w:r>
        <w:t xml:space="preserve">Supporting Evidence (MK-Ultra Context)</w:t>
      </w:r>
    </w:p>
    <w:p>
      <w:pPr>
        <w:pStyle w:val="FirstParagraph"/>
      </w:pPr>
      <w:r>
        <w:t xml:space="preserve">Declassified memoranda describe MK-Ultra as focused on developing</w:t>
      </w:r>
      <w:r>
        <w:t xml:space="preserve"> </w:t>
      </w:r>
      <w:r>
        <w:t xml:space="preserve">“chemical, biological, and radiological materials capable of employment in clandestine operations to control human behavior”</w:t>
      </w:r>
      <w:r>
        <w:t xml:space="preserve">【48†source】【49†source】. However, the Inspector General’s 1963 report acknowledged failures: no reliable truth serums, knockout pills, or recruitment agents existed【48†source】.</w:t>
      </w:r>
    </w:p>
    <w:p>
      <w:pPr>
        <w:pStyle w:val="BodyText"/>
      </w:pPr>
      <w:r>
        <w:t xml:space="preserve">This paper builds on those gaps by proposing</w:t>
      </w:r>
      <w:r>
        <w:t xml:space="preserve"> </w:t>
      </w:r>
      <w:r>
        <w:rPr>
          <w:b/>
          <w:bCs/>
        </w:rPr>
        <w:t xml:space="preserve">frequency entrainment</w:t>
      </w:r>
      <w:r>
        <w:t xml:space="preserve"> </w:t>
      </w:r>
      <w:r>
        <w:t xml:space="preserve">as a reliable, reproducible alternative. Unlike drugs, which produced inconsistent outcomes, frequency-based protocols can be replicated with precision across subjects and contexts.</w:t>
      </w:r>
    </w:p>
    <w:p>
      <w:r>
        <w:pict>
          <v:rect style="width:0;height:1.5pt" o:hralign="center" o:hrstd="t" o:hr="t"/>
        </w:pict>
      </w:r>
    </w:p>
    <w:bookmarkEnd w:id="31"/>
    <w:bookmarkStart w:id="36" w:name="applications"/>
    <w:p>
      <w:pPr>
        <w:pStyle w:val="Heading2"/>
      </w:pPr>
      <w:r>
        <w:t xml:space="preserve">Applications</w:t>
      </w:r>
    </w:p>
    <w:bookmarkStart w:id="32" w:name="academic-professional-use"/>
    <w:p>
      <w:pPr>
        <w:pStyle w:val="Heading3"/>
      </w:pPr>
      <w:r>
        <w:t xml:space="preserve">Academic &amp; Professional Use</w:t>
      </w:r>
    </w:p>
    <w:p>
      <w:pPr>
        <w:pStyle w:val="Compact"/>
        <w:numPr>
          <w:ilvl w:val="0"/>
          <w:numId w:val="1005"/>
        </w:numPr>
      </w:pPr>
      <w:r>
        <w:rPr>
          <w:b/>
          <w:bCs/>
        </w:rPr>
        <w:t xml:space="preserve">Study</w:t>
      </w:r>
      <w:r>
        <w:t xml:space="preserve">: 14–18 Hz low-beta entrainment for focused learning sessions.</w:t>
      </w:r>
    </w:p>
    <w:p>
      <w:pPr>
        <w:pStyle w:val="Compact"/>
        <w:numPr>
          <w:ilvl w:val="0"/>
          <w:numId w:val="1005"/>
        </w:numPr>
      </w:pPr>
      <w:r>
        <w:rPr>
          <w:b/>
          <w:bCs/>
        </w:rPr>
        <w:t xml:space="preserve">Memory Encoding</w:t>
      </w:r>
      <w:r>
        <w:t xml:space="preserve">: 6–10 Hz theta-alpha cycles for consolidation.</w:t>
      </w:r>
    </w:p>
    <w:p>
      <w:pPr>
        <w:pStyle w:val="Compact"/>
        <w:numPr>
          <w:ilvl w:val="0"/>
          <w:numId w:val="1005"/>
        </w:numPr>
      </w:pPr>
      <w:r>
        <w:rPr>
          <w:b/>
          <w:bCs/>
        </w:rPr>
        <w:t xml:space="preserve">Exams</w:t>
      </w:r>
      <w:r>
        <w:t xml:space="preserve">: trigger-based schema recall for rapid information access.</w:t>
      </w:r>
    </w:p>
    <w:bookmarkEnd w:id="32"/>
    <w:bookmarkStart w:id="33" w:name="combat-martial-arts"/>
    <w:p>
      <w:pPr>
        <w:pStyle w:val="Heading3"/>
      </w:pPr>
      <w:r>
        <w:t xml:space="preserve">Combat &amp; Martial Arts</w:t>
      </w:r>
    </w:p>
    <w:p>
      <w:pPr>
        <w:pStyle w:val="Compact"/>
        <w:numPr>
          <w:ilvl w:val="0"/>
          <w:numId w:val="1006"/>
        </w:numPr>
      </w:pPr>
      <w:r>
        <w:t xml:space="preserve">Subconscious schema activation for automatic defensive responses (e.g. bar fight vs. trained fighter scenario)【64†source】.</w:t>
      </w:r>
    </w:p>
    <w:bookmarkEnd w:id="33"/>
    <w:bookmarkStart w:id="34" w:name="stress-regulation"/>
    <w:p>
      <w:pPr>
        <w:pStyle w:val="Heading3"/>
      </w:pPr>
      <w:r>
        <w:t xml:space="preserve">Stress Regulation</w:t>
      </w:r>
    </w:p>
    <w:p>
      <w:pPr>
        <w:pStyle w:val="Compact"/>
        <w:numPr>
          <w:ilvl w:val="0"/>
          <w:numId w:val="1007"/>
        </w:numPr>
      </w:pPr>
      <w:r>
        <w:t xml:space="preserve">Nightly</w:t>
      </w:r>
      <w:r>
        <w:t xml:space="preserve"> </w:t>
      </w:r>
      <w:r>
        <w:rPr>
          <w:b/>
          <w:bCs/>
        </w:rPr>
        <w:t xml:space="preserve">mental dumps</w:t>
      </w:r>
      <w:r>
        <w:t xml:space="preserve">: 10-minute theta recall sessions to review and reset daily experiences【64†source】.</w:t>
      </w:r>
    </w:p>
    <w:bookmarkEnd w:id="34"/>
    <w:bookmarkStart w:id="35" w:name="consumer-ready-packages"/>
    <w:p>
      <w:pPr>
        <w:pStyle w:val="Heading3"/>
      </w:pPr>
      <w:r>
        <w:t xml:space="preserve">Consumer-Ready Packages</w:t>
      </w:r>
    </w:p>
    <w:p>
      <w:pPr>
        <w:pStyle w:val="Compact"/>
        <w:numPr>
          <w:ilvl w:val="0"/>
          <w:numId w:val="1008"/>
        </w:numPr>
      </w:pPr>
      <w:r>
        <w:t xml:space="preserve">Packaged</w:t>
      </w:r>
      <w:r>
        <w:t xml:space="preserve"> </w:t>
      </w:r>
      <w:r>
        <w:rPr>
          <w:b/>
          <w:bCs/>
        </w:rPr>
        <w:t xml:space="preserve">Memory &amp; Cognition Enhancement Suite</w:t>
      </w:r>
      <w:r>
        <w:t xml:space="preserve"> </w:t>
      </w:r>
      <w:r>
        <w:t xml:space="preserve">combining tone presets, schema training, and logbook guides.</w:t>
      </w:r>
    </w:p>
    <w:p>
      <w:pPr>
        <w:pStyle w:val="Compact"/>
        <w:numPr>
          <w:ilvl w:val="0"/>
          <w:numId w:val="1008"/>
        </w:numPr>
      </w:pPr>
      <w:r>
        <w:t xml:space="preserve">Marketable as a</w:t>
      </w:r>
      <w:r>
        <w:t xml:space="preserve"> </w:t>
      </w:r>
      <w:r>
        <w:rPr>
          <w:b/>
          <w:bCs/>
        </w:rPr>
        <w:t xml:space="preserve">non-drug alternative</w:t>
      </w:r>
      <w:r>
        <w:t xml:space="preserve"> </w:t>
      </w:r>
      <w:r>
        <w:t xml:space="preserve">to cognitive enhancement.</w:t>
      </w:r>
    </w:p>
    <w:p>
      <w:r>
        <w:pict>
          <v:rect style="width:0;height:1.5pt" o:hralign="center" o:hrstd="t" o:hr="t"/>
        </w:pict>
      </w:r>
    </w:p>
    <w:bookmarkEnd w:id="35"/>
    <w:bookmarkEnd w:id="36"/>
    <w:bookmarkStart w:id="37" w:name="conclusion"/>
    <w:p>
      <w:pPr>
        <w:pStyle w:val="Heading2"/>
      </w:pPr>
      <w:r>
        <w:t xml:space="preserve">Conclusion</w:t>
      </w:r>
    </w:p>
    <w:p>
      <w:pPr>
        <w:pStyle w:val="FirstParagraph"/>
      </w:pPr>
      <w:r>
        <w:t xml:space="preserve">This expanded research reframes MK-Ultra’s pursuit of cognitive control into a modern, ethical program of</w:t>
      </w:r>
      <w:r>
        <w:t xml:space="preserve"> </w:t>
      </w:r>
      <w:r>
        <w:rPr>
          <w:b/>
          <w:bCs/>
        </w:rPr>
        <w:t xml:space="preserve">frequency-based neuro-programming</w:t>
      </w:r>
      <w:r>
        <w:t xml:space="preserve">. By blending personal experimentation with scientific frameworks and historical context, the model demonstrates how schemas, triggers, and entrainment can replace psychoactive substances for enhancing memory, cognition, and performance.</w:t>
      </w:r>
    </w:p>
    <w:p>
      <w:pPr>
        <w:pStyle w:val="BodyText"/>
      </w:pPr>
      <w:r>
        <w:t xml:space="preserve">Future research should include peer-reviewed studies, controlled EEG-based trials, and refinement of consumer-ready packages for safe, widespread application.</w:t>
      </w:r>
    </w:p>
    <w:p>
      <w:r>
        <w:pict>
          <v:rect style="width:0;height:1.5pt" o:hralign="center" o:hrstd="t" o:hr="t"/>
        </w:pict>
      </w:r>
    </w:p>
    <w:p>
      <w:pPr>
        <w:pStyle w:val="FirstParagraph"/>
      </w:pPr>
      <w:r>
        <w:rPr>
          <w:b/>
          <w:bCs/>
        </w:rPr>
        <w:t xml:space="preserve">Keywords:</w:t>
      </w:r>
      <w:r>
        <w:t xml:space="preserve"> </w:t>
      </w:r>
      <w:r>
        <w:t xml:space="preserve">MK-Ultra, neuro-programming, schema, frequency entrainment, memory, cognition, Jason Bourne effect.</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2025-09-09T02:08:38Z</dcterms:created>
  <dcterms:modified xsi:type="dcterms:W3CDTF">2025-09-09T02:08:38Z</dcterms:modified>
</cp:coreProperties>
</file>

<file path=docProps/custom.xml><?xml version="1.0" encoding="utf-8"?>
<Properties xmlns="http://schemas.openxmlformats.org/officeDocument/2006/custom-properties" xmlns:vt="http://schemas.openxmlformats.org/officeDocument/2006/docPropsVTypes"/>
</file>