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none" w:color="FFFFFF" w:sz="0"/>
              <w:bottom w:val="none" w:color="FFFFFF" w:sz="0"/>
              <w:right w:val="none" w:color="FFFFFF" w:sz="0"/>
            </w:tcBorders>
            <w:shd w:fill="37003C" w:color="auto" w:val="clear"/>
            <w:tcMar>
              <w:top w:type="dxa" w:w="360"/>
              <w:left w:type="dxa" w:w="240"/>
              <w:bottom w:type="dxa" w:w="280"/>
              <w:right w:type="dxa" w:w="240"/>
            </w:tcMar>
            <w:vAlign w:val="center"/>
          </w:tcPr>
          <w:p>
            <w:pPr>
              <w:spacing w:after="40" w:before="0"/>
              <w:jc w:val="center"/>
            </w:pPr>
            <w:r>
              <w:rPr>
                <w:rFonts w:ascii="Aptos" w:cs="Aptos" w:eastAsia="Aptos" w:hAnsi="Aptos"/>
                <w:b/>
                <w:bCs/>
                <w:color w:val="FFFFFF"/>
                <w:sz w:val="36"/>
                <w:szCs w:val="36"/>
              </w:rPr>
              <w:t xml:space="preserve">Aberdeen plc FPL</w:t>
            </w:r>
          </w:p>
          <w:p>
            <w:pPr>
              <w:spacing w:after="160" w:before="0"/>
              <w:jc w:val="center"/>
            </w:pPr>
            <w:r>
              <w:rPr>
                <w:rFonts w:ascii="Aptos" w:cs="Aptos" w:eastAsia="Aptos" w:hAnsi="Aptos"/>
                <w:b/>
                <w:bCs/>
                <w:color w:val="FFFFFF"/>
                <w:sz w:val="36"/>
                <w:szCs w:val="36"/>
              </w:rPr>
              <w:t xml:space="preserve">GAME WEEK 8</w:t>
            </w:r>
          </w:p>
          <w:p>
            <w:pPr>
              <w:spacing w:after="0" w:before="0"/>
              <w:jc w:val="center"/>
            </w:pPr>
            <w:hyperlink w:history="1" r:id="rId1j0tdd9p4rhw6edfofzfo">
              <w:r>
                <w:rPr>
                  <w:rFonts w:ascii="Aptos" w:cs="Aptos" w:eastAsia="Aptos" w:hAnsi="Aptos"/>
                  <w:b/>
                  <w:bCs/>
                  <w:color w:val="00FF87"/>
                  <w:sz w:val="18"/>
                  <w:szCs w:val="18"/>
                  <w:u w:val="single"/>
                </w:rPr>
                <w:t xml:space="preserve">Fantasy Premier League, Official Fantasy Football Game of the Premier League</w:t>
              </w:r>
            </w:hyperlink>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single" w:color="37003C" w:sz="8"/>
              <w:left w:val="single" w:color="37003C" w:sz="8"/>
              <w:bottom w:val="single" w:color="37003C" w:sz="8"/>
              <w:right w:val="single" w:color="37003C" w:sz="8"/>
            </w:tcBorders>
            <w:tcMar>
              <w:top w:type="dxa" w:w="240"/>
              <w:left w:type="dxa" w:w="240"/>
              <w:bottom w:type="dxa" w:w="200"/>
              <w:right w:type="dxa" w:w="240"/>
            </w:tcMar>
            <w:vAlign w:val="top"/>
          </w:tcPr>
          <w:p>
            <w:pPr>
              <w:spacing w:after="200" w:before="0"/>
            </w:pPr>
            <w:r>
              <w:rPr>
                <w:rFonts w:ascii="Aptos" w:cs="Aptos" w:eastAsia="Aptos" w:hAnsi="Aptos"/>
                <w:sz w:val="21"/>
                <w:szCs w:val="21"/>
              </w:rPr>
              <w:t xml:space="preserve">The average GW8 score was 47.8 points and the median was 48. Nobody reached 90 points; the top score belonged to Heidi &amp; Ben (Ben Heatley) with 79. It was, by general agreement, a week to be filed rather than framed.</w:t>
            </w:r>
          </w:p>
          <w:p>
            <w:pPr>
              <w:keepNext/>
              <w:spacing w:after="100" w:before="0"/>
            </w:pPr>
            <w:r>
              <w:rPr>
                <w:rFonts w:ascii="Aptos" w:cs="Aptos" w:eastAsia="Aptos" w:hAnsi="Aptos"/>
                <w:b/>
                <w:bCs/>
                <w:sz w:val="21"/>
                <w:szCs w:val="21"/>
              </w:rPr>
              <w:t xml:space="preserve">The Managers Column</w:t>
            </w:r>
          </w:p>
          <w:p>
            <w:pPr>
              <w:pStyle w:val="ListParagraph"/>
              <w:numPr>
                <w:ilvl w:val="0"/>
                <w:numId w:val="2"/>
              </w:numPr>
              <w:spacing w:after="100" w:before="0"/>
            </w:pPr>
            <w:r>
              <w:rPr>
                <w:rFonts w:ascii="Aptos" w:cs="Aptos" w:eastAsia="Aptos" w:hAnsi="Aptos"/>
                <w:sz w:val="21"/>
                <w:szCs w:val="21"/>
              </w:rPr>
              <w:t xml:space="preserve">Armchair Martyrs FC (Lee Divito) moved up to first on 587 points after a 57-point week, three clear of Cabbage &amp; Ribs (Paul Cathcart) on 584 after 47. Daylight Brobbery (Tom Balderston) holds third on 575, 12 behind, after the best week of the three with 61. The leadership has changed hands; the paperwork is three points thick.</w:t>
            </w:r>
          </w:p>
          <w:p>
            <w:pPr>
              <w:pStyle w:val="ListParagraph"/>
              <w:numPr>
                <w:ilvl w:val="0"/>
                <w:numId w:val="2"/>
              </w:numPr>
              <w:spacing w:after="100" w:before="0"/>
            </w:pPr>
            <w:r>
              <w:rPr>
                <w:rFonts w:ascii="Aptos" w:cs="Aptos" w:eastAsia="Aptos" w:hAnsi="Aptos"/>
                <w:sz w:val="21"/>
                <w:szCs w:val="21"/>
              </w:rPr>
              <w:t xml:space="preserve">Manager of the Week goes to Heidi &amp; Ben (Ben Heatley): 79 points, no transfers, no chip and a 19-place rise from 64th to 45th. Ben was also the only manager to start Enciso (10 points) and Bassey (8). Inactivity in the market, activity on the pitch: a rare and efficient arrangement.</w:t>
            </w:r>
          </w:p>
          <w:p>
            <w:pPr>
              <w:pStyle w:val="ListParagraph"/>
              <w:numPr>
                <w:ilvl w:val="0"/>
                <w:numId w:val="2"/>
              </w:numPr>
              <w:spacing w:after="100" w:before="0"/>
            </w:pPr>
            <w:r>
              <w:rPr>
                <w:rFonts w:ascii="Aptos" w:cs="Aptos" w:eastAsia="Aptos" w:hAnsi="Aptos"/>
                <w:sz w:val="21"/>
                <w:szCs w:val="21"/>
              </w:rPr>
              <w:t xml:space="preserve">Paris est magic (Niicolas Lauden) climbed 18 places to 47th with 78 points, again without a transfer, and AFC United (Daryl Kaye) rose 13 places to 29th on 65. The upward escalator was available to anyone prepared to leave the squad alone.</w:t>
            </w:r>
          </w:p>
          <w:p>
            <w:pPr>
              <w:pStyle w:val="ListParagraph"/>
              <w:numPr>
                <w:ilvl w:val="0"/>
                <w:numId w:val="2"/>
              </w:numPr>
              <w:spacing w:after="100" w:before="0"/>
            </w:pPr>
            <w:r>
              <w:rPr>
                <w:rFonts w:ascii="Aptos" w:cs="Aptos" w:eastAsia="Aptos" w:hAnsi="Aptos"/>
                <w:sz w:val="21"/>
                <w:szCs w:val="21"/>
              </w:rPr>
              <w:t xml:space="preserve">Calafiorication (Nathan Bennis) fell 17 places to 49th after 24 points, with the armband on Rogers rather than Haaland. Mainoo Utd (Ian Adams) slipped 16 places to 66th after 17, having captained Calafiori. Both captaincy decisions have been referred for internal review.</w:t>
            </w:r>
          </w:p>
          <w:p>
            <w:pPr>
              <w:pStyle w:val="ListParagraph"/>
              <w:numPr>
                <w:ilvl w:val="0"/>
                <w:numId w:val="2"/>
              </w:numPr>
              <w:spacing w:after="100" w:before="0"/>
            </w:pPr>
            <w:r>
              <w:rPr>
                <w:rFonts w:ascii="Aptos" w:cs="Aptos" w:eastAsia="Aptos" w:hAnsi="Aptos"/>
                <w:sz w:val="21"/>
                <w:szCs w:val="21"/>
              </w:rPr>
              <w:t xml:space="preserve">Rice Rice Baby (Lewis Brisco) dropped 14 places to 81st after 24 points in a Wildcard week. The new squad has been issued; the results appear to have been held up in the post.</w:t>
            </w:r>
          </w:p>
          <w:p>
            <w:pPr>
              <w:keepNext/>
              <w:spacing w:after="100" w:before="120"/>
            </w:pPr>
            <w:r>
              <w:rPr>
                <w:rFonts w:ascii="Aptos" w:cs="Aptos" w:eastAsia="Aptos" w:hAnsi="Aptos"/>
                <w:b/>
                <w:bCs/>
                <w:sz w:val="21"/>
                <w:szCs w:val="21"/>
              </w:rPr>
              <w:t xml:space="preserve">The Transfer &amp; Chip Column</w:t>
            </w:r>
          </w:p>
          <w:p>
            <w:pPr>
              <w:pStyle w:val="ListParagraph"/>
              <w:numPr>
                <w:ilvl w:val="0"/>
                <w:numId w:val="2"/>
              </w:numPr>
              <w:spacing w:after="100" w:before="0"/>
            </w:pPr>
            <w:r>
              <w:rPr>
                <w:rFonts w:ascii="Aptos" w:cs="Aptos" w:eastAsia="Aptos" w:hAnsi="Aptos"/>
                <w:sz w:val="21"/>
                <w:szCs w:val="21"/>
              </w:rPr>
              <w:t xml:space="preserve">Wildcards: three managers activated one. LoveWillTierneyApart (Dylan Davidson) led the group with 58 points, 15 more than the old team would have managed. Rice Rice Baby (Lewis Brisco) scored 24, 10 fewer than the squad it replaced. The refurbishment was not universally an improvement.</w:t>
            </w:r>
          </w:p>
          <w:p>
            <w:pPr>
              <w:pStyle w:val="ListParagraph"/>
              <w:numPr>
                <w:ilvl w:val="0"/>
                <w:numId w:val="2"/>
              </w:numPr>
              <w:spacing w:after="100" w:before="0"/>
            </w:pPr>
            <w:r>
              <w:rPr>
                <w:rFonts w:ascii="Aptos" w:cs="Aptos" w:eastAsia="Aptos" w:hAnsi="Aptos"/>
                <w:sz w:val="21"/>
                <w:szCs w:val="21"/>
              </w:rPr>
              <w:t xml:space="preserve">Best transfers of the week: Pocognoli Ravioli (Finlay Stewart) gained 11 net points from two moves, chiefly swapping Maguire (0) for White (10). A quiet, well-documented upgrade.</w:t>
            </w:r>
          </w:p>
          <w:p>
            <w:pPr>
              <w:pStyle w:val="ListParagraph"/>
              <w:numPr>
                <w:ilvl w:val="0"/>
                <w:numId w:val="2"/>
              </w:numPr>
              <w:spacing w:after="100" w:before="0"/>
            </w:pPr>
            <w:r>
              <w:rPr>
                <w:rFonts w:ascii="Aptos" w:cs="Aptos" w:eastAsia="Aptos" w:hAnsi="Aptos"/>
                <w:sz w:val="21"/>
                <w:szCs w:val="21"/>
              </w:rPr>
              <w:t xml:space="preserve">Worst transfers of the week: Barrycelona (Barry Fraser) made four moves for a net loss of 7, including selling Barnes (8) to buy Cherki (0). The intention was sound; the timing has been noted.</w:t>
            </w:r>
          </w:p>
        </w:tc>
      </w:tr>
    </w:tbl>
    <w:p>
      <w:pPr>
        <w:spacing w:after="200" w:before="0"/>
      </w:pPr>
      <w:r>
        <w:rPr>
          <w:rFonts w:ascii="Aptos" w:cs="Aptos" w:eastAsia="Aptos" w:hAnsi="Aptos"/>
          <w:sz w:val="21"/>
          <w:szCs w:val="21"/>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226"/>
        <w:gridCol w:w="4100"/>
      </w:tblGrid>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tblGrid>
            <w:tr>
              <w:tc>
                <w:tcPr>
                  <w:tcW w:type="dxa" w:w="4700"/>
                  <w:tcBorders>
                    <w:top w:val="none" w:color="FFFFFF" w:sz="0"/>
                    <w:left w:val="none" w:color="FFFFFF" w:sz="0"/>
                    <w:bottom w:val="none" w:color="FFFFFF" w:sz="0"/>
                    <w:right w:val="none" w:color="FFFFFF" w:sz="0"/>
                  </w:tcBorders>
                  <w:shd w:fill="37003C" w:color="auto" w:val="clear"/>
                  <w:tcMar>
                    <w:top w:type="dxa" w:w="160"/>
                    <w:left w:type="dxa" w:w="160"/>
                    <w:bottom w:type="dxa" w:w="160"/>
                    <w:right w:type="dxa" w:w="160"/>
                  </w:tcMar>
                  <w:vAlign w:val="center"/>
                </w:tcPr>
                <w:p>
                  <w:pPr>
                    <w:spacing w:after="0" w:before="0"/>
                  </w:pPr>
                  <w:r>
                    <w:rPr>
                      <w:rFonts w:ascii="Aptos" w:cs="Aptos" w:eastAsia="Aptos" w:hAnsi="Aptos"/>
                      <w:b/>
                      <w:bCs/>
                      <w:color w:val="FFFFFF"/>
                      <w:sz w:val="24"/>
                      <w:szCs w:val="24"/>
                    </w:rPr>
                    <w:t xml:space="preserve">Manager Highlights</w:t>
                  </w:r>
                </w:p>
              </w:tc>
            </w:tr>
          </w:tbl>
          <w:tbl>
            <w:tblPr>
              <w:tblW w:type="dxa" w:w="4700"/>
              <w:tblBorders>
                <w:top w:val="none" w:color="FFFFFF" w:sz="0"/>
                <w:left w:val="none" w:color="FFFFFF" w:sz="0"/>
                <w:bottom w:val="single" w:color="37003C" w:sz="6"/>
                <w:right w:val="none" w:color="FFFFFF" w:sz="0"/>
                <w:insideH w:val="none" w:color="FFFFFF" w:sz="0"/>
                <w:insideV w:val="none" w:color="FFFFFF" w:sz="0"/>
              </w:tblBorders>
              <w:tblLayout w:type="fixed"/>
            </w:tblPr>
            <w:tblGrid>
              <w:gridCol w:w="1880"/>
              <w:gridCol w:w="1692"/>
              <w:gridCol w:w="1128"/>
            </w:tblGrid>
            <w:tr>
              <w:trPr>
                <w:tblHeader/>
              </w:trPr>
              <w:tc>
                <w:tcPr>
                  <w:tcW w:type="dxa" w:w="1880"/>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left"/>
                  </w:pPr>
                  <w:r>
                    <w:rPr>
                      <w:rFonts w:ascii="Aptos" w:cs="Aptos" w:eastAsia="Aptos" w:hAnsi="Aptos"/>
                      <w:b/>
                      <w:bCs/>
                      <w:sz w:val="16"/>
                      <w:szCs w:val="16"/>
                    </w:rPr>
                    <w:t xml:space="preserve">Team</w:t>
                  </w:r>
                </w:p>
              </w:tc>
              <w:tc>
                <w:tcPr>
                  <w:tcW w:type="dxa" w:w="169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Manager</w:t>
                  </w:r>
                </w:p>
              </w:tc>
              <w:tc>
                <w:tcPr>
                  <w:tcW w:type="dxa" w:w="1128"/>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Pts/#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MANAGER OF THE WEEK</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Heidi &amp; Ben</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Ben Heatley</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79 pts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BIGGEST RISE</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Heidi &amp; Ben</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Ben Heatley</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+19</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BIGGEST FALL</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Calafiorication</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Nathan Bennis</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-17</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BEST TRANSFERS THIS WEEK</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Pocognoli Ravioli</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Finlay Stewart</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11 net pts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WORST TRANSFERS THIS WEEK</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Barrycelona</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Barry Fraser</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-7 net pts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MOST POINTS ON BENCH THIS WEEK</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Arran's Team</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Arran Craig</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25 pts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MOST TRANSFERS THIS SEASON</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Chiweshenga Warriors</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Aubrey Chiweshenga</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16 transfers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BEST TEAM VALUE</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Keep it Dimple</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Dimple Melwani</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£103.1M</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BEST CAPTAIN PICKER</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Keep it Dimple</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Dimple Melwani</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168 pts</w:t>
                  </w:r>
                </w:p>
              </w:tc>
            </w:tr>
            <w:tr>
              <w:trPr>
                <w:cantSplit/>
              </w:trPr>
              <w:tc>
                <w:tcPr>
                  <w:tcW w:type="dxa" w:w="470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WORST CAPTAIN PICKER</w:t>
                  </w:r>
                </w:p>
              </w:tc>
            </w:tr>
            <w:tr>
              <w:trPr>
                <w:cantSplit/>
              </w:trPr>
              <w:tc>
                <w:tcPr>
                  <w:tcW w:type="dxa" w:w="1880"/>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Wilsons Wanderers</w:t>
                  </w:r>
                </w:p>
              </w:tc>
              <w:tc>
                <w:tcPr>
                  <w:tcW w:type="dxa" w:w="169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David Wilson</w:t>
                  </w:r>
                </w:p>
              </w:tc>
              <w:tc>
                <w:tcPr>
                  <w:tcW w:type="dxa" w:w="1128"/>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42 pts</w:t>
                  </w:r>
                </w:p>
              </w:tc>
            </w:tr>
          </w:tbl>
          <w:p>
            <w:pPr>
              <w:spacing w:after="200" w:before="0"/>
            </w:pPr>
            <w:r>
              <w:rPr>
                <w:rFonts w:ascii="Aptos" w:cs="Aptos" w:eastAsia="Aptos" w:hAnsi="Aptos"/>
                <w:sz w:val="21"/>
                <w:szCs w:val="21"/>
              </w:rPr>
              <w:t xml:space="preserve"/>
            </w:r>
          </w:p>
          <w:tbl>
            <w:tblPr>
              <w:tblW w:type="dxa" w:w="4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tblGrid>
            <w:tr>
              <w:tc>
                <w:tcPr>
                  <w:tcW w:type="dxa" w:w="4700"/>
                  <w:tcBorders>
                    <w:top w:val="none" w:color="FFFFFF" w:sz="0"/>
                    <w:left w:val="none" w:color="FFFFFF" w:sz="0"/>
                    <w:bottom w:val="none" w:color="FFFFFF" w:sz="0"/>
                    <w:right w:val="none" w:color="FFFFFF" w:sz="0"/>
                  </w:tcBorders>
                  <w:shd w:fill="37003C" w:color="auto" w:val="clear"/>
                  <w:tcMar>
                    <w:top w:type="dxa" w:w="160"/>
                    <w:left w:type="dxa" w:w="160"/>
                    <w:bottom w:type="dxa" w:w="160"/>
                    <w:right w:type="dxa" w:w="160"/>
                  </w:tcMar>
                  <w:vAlign w:val="center"/>
                </w:tcPr>
                <w:p>
                  <w:pPr>
                    <w:spacing w:after="0" w:before="0"/>
                  </w:pPr>
                  <w:r>
                    <w:rPr>
                      <w:rFonts w:ascii="Aptos" w:cs="Aptos" w:eastAsia="Aptos" w:hAnsi="Aptos"/>
                      <w:b/>
                      <w:bCs/>
                      <w:color w:val="FFFFFF"/>
                      <w:sz w:val="24"/>
                      <w:szCs w:val="24"/>
                    </w:rPr>
                    <w:t xml:space="preserve">Player Highlights</w:t>
                  </w:r>
                </w:p>
              </w:tc>
            </w:tr>
          </w:tbl>
          <w:tbl>
            <w:tblPr>
              <w:tblW w:type="dxa" w:w="4700"/>
              <w:tblBorders>
                <w:top w:val="none" w:color="FFFFFF" w:sz="0"/>
                <w:left w:val="none" w:color="FFFFFF" w:sz="0"/>
                <w:bottom w:val="single" w:color="37003C" w:sz="6"/>
                <w:right w:val="none" w:color="FFFFFF" w:sz="0"/>
                <w:insideH w:val="none" w:color="FFFFFF" w:sz="0"/>
                <w:insideV w:val="none" w:color="FFFFFF" w:sz="0"/>
              </w:tblBorders>
              <w:tblLayout w:type="fixed"/>
            </w:tblPr>
            <w:tblGrid>
              <w:gridCol w:w="2585"/>
              <w:gridCol w:w="2115"/>
            </w:tblGrid>
            <w:tr>
              <w:trPr>
                <w:tblHeader/>
              </w:trPr>
              <w:tc>
                <w:tcPr>
                  <w:tcW w:type="dxa" w:w="2585"/>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left"/>
                  </w:pPr>
                  <w:r>
                    <w:rPr>
                      <w:rFonts w:ascii="Aptos" w:cs="Aptos" w:eastAsia="Aptos" w:hAnsi="Aptos"/>
                      <w:b/>
                      <w:bCs/>
                      <w:sz w:val="16"/>
                      <w:szCs w:val="16"/>
                    </w:rPr>
                    <w:t xml:space="preserve">Player</w:t>
                  </w:r>
                </w:p>
              </w:tc>
              <w:tc>
                <w:tcPr>
                  <w:tcW w:type="dxa" w:w="2115"/>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w:t>
                  </w:r>
                </w:p>
              </w:tc>
            </w:tr>
            <w:tr>
              <w:trPr>
                <w:cantSplit/>
              </w:trPr>
              <w:tc>
                <w:tcPr>
                  <w:tcW w:type="dxa" w:w="4700"/>
                  <w:gridSpan w:val="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MOST CAPTAINED</w:t>
                  </w:r>
                </w:p>
              </w:tc>
            </w:tr>
            <w:tr>
              <w:trPr>
                <w:cantSplit/>
              </w:trPr>
              <w:tc>
                <w:tcPr>
                  <w:tcW w:type="dxa" w:w="258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Haaland</w:t>
                  </w:r>
                </w:p>
              </w:tc>
              <w:tc>
                <w:tcPr>
                  <w:tcW w:type="dxa" w:w="211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66% (58/88)</w:t>
                  </w:r>
                </w:p>
              </w:tc>
            </w:tr>
            <w:tr>
              <w:trPr>
                <w:cantSplit/>
              </w:trPr>
              <w:tc>
                <w:tcPr>
                  <w:tcW w:type="dxa" w:w="4700"/>
                  <w:gridSpan w:val="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MOST OWNED</w:t>
                  </w:r>
                </w:p>
              </w:tc>
            </w:tr>
            <w:tr>
              <w:trPr>
                <w:cantSplit/>
              </w:trPr>
              <w:tc>
                <w:tcPr>
                  <w:tcW w:type="dxa" w:w="258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Haaland</w:t>
                  </w:r>
                </w:p>
              </w:tc>
              <w:tc>
                <w:tcPr>
                  <w:tcW w:type="dxa" w:w="211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89.77% (79/88)</w:t>
                  </w:r>
                </w:p>
              </w:tc>
            </w:tr>
            <w:tr>
              <w:trPr>
                <w:cantSplit/>
              </w:trPr>
              <w:tc>
                <w:tcPr>
                  <w:tcW w:type="dxa" w:w="4700"/>
                  <w:gridSpan w:val="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MOST TRANSFERRED IN</w:t>
                  </w:r>
                </w:p>
              </w:tc>
            </w:tr>
            <w:tr>
              <w:trPr>
                <w:cantSplit/>
              </w:trPr>
              <w:tc>
                <w:tcPr>
                  <w:tcW w:type="dxa" w:w="258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Cherki</w:t>
                  </w:r>
                </w:p>
              </w:tc>
              <w:tc>
                <w:tcPr>
                  <w:tcW w:type="dxa" w:w="211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6</w:t>
                  </w:r>
                </w:p>
              </w:tc>
            </w:tr>
            <w:tr>
              <w:trPr>
                <w:cantSplit/>
              </w:trPr>
              <w:tc>
                <w:tcPr>
                  <w:tcW w:type="dxa" w:w="4700"/>
                  <w:gridSpan w:val="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60"/>
                    <w:jc w:val="center"/>
                  </w:pPr>
                  <w:r>
                    <w:rPr>
                      <w:rFonts w:ascii="Aptos" w:cs="Aptos" w:eastAsia="Aptos" w:hAnsi="Aptos"/>
                      <w:b/>
                      <w:bCs/>
                      <w:sz w:val="16"/>
                      <w:szCs w:val="16"/>
                      <w:u w:val="single"/>
                    </w:rPr>
                    <w:t xml:space="preserve">MOST TRANSFERRED OUT</w:t>
                  </w:r>
                </w:p>
              </w:tc>
            </w:tr>
            <w:tr>
              <w:trPr>
                <w:cantSplit/>
              </w:trPr>
              <w:tc>
                <w:tcPr>
                  <w:tcW w:type="dxa" w:w="258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Saka</w:t>
                  </w:r>
                </w:p>
              </w:tc>
              <w:tc>
                <w:tcPr>
                  <w:tcW w:type="dxa" w:w="2115"/>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12 out</w:t>
                  </w:r>
                </w:p>
              </w:tc>
            </w:tr>
          </w:tbl>
          <w:p/>
        </w:tc>
        <w:tc>
          <w:tcPr>
            <w:tcW w:type="dxa" w:w="22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20" w:before="0"/>
            </w:pPr>
            <w:r>
              <w:rPr>
                <w:rFonts w:ascii="Aptos" w:cs="Aptos" w:eastAsia="Aptos" w:hAnsi="Aptos"/>
                <w:sz w:val="21"/>
                <w:szCs w:val="21"/>
              </w:rP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00"/>
            </w:tblGrid>
            <w:tr>
              <w:tc>
                <w:tcPr>
                  <w:tcW w:type="dxa" w:w="4100"/>
                  <w:tcBorders>
                    <w:top w:val="none" w:color="FFFFFF" w:sz="0"/>
                    <w:left w:val="none" w:color="FFFFFF" w:sz="0"/>
                    <w:bottom w:val="none" w:color="FFFFFF" w:sz="0"/>
                    <w:right w:val="none" w:color="FFFFFF" w:sz="0"/>
                  </w:tcBorders>
                  <w:shd w:fill="37003C" w:color="auto" w:val="clear"/>
                  <w:tcMar>
                    <w:top w:type="dxa" w:w="160"/>
                    <w:left w:type="dxa" w:w="160"/>
                    <w:bottom w:type="dxa" w:w="160"/>
                    <w:right w:type="dxa" w:w="160"/>
                  </w:tcMar>
                  <w:vAlign w:val="center"/>
                </w:tcPr>
                <w:p>
                  <w:pPr>
                    <w:spacing w:after="0" w:before="0"/>
                  </w:pPr>
                  <w:r>
                    <w:rPr>
                      <w:rFonts w:ascii="Aptos" w:cs="Aptos" w:eastAsia="Aptos" w:hAnsi="Aptos"/>
                      <w:b/>
                      <w:bCs/>
                      <w:color w:val="FFFFFF"/>
                      <w:sz w:val="24"/>
                      <w:szCs w:val="24"/>
                    </w:rPr>
                    <w:t xml:space="preserve">Top 5 Transfers IN</w:t>
                  </w:r>
                </w:p>
              </w:tc>
            </w:tr>
          </w:tbl>
          <w:tbl>
            <w:tblPr>
              <w:tblW w:type="dxa" w:w="4100"/>
              <w:tblBorders>
                <w:top w:val="none" w:color="FFFFFF" w:sz="0"/>
                <w:left w:val="none" w:color="FFFFFF" w:sz="0"/>
                <w:bottom w:val="single" w:color="37003C" w:sz="6"/>
                <w:right w:val="none" w:color="FFFFFF" w:sz="0"/>
                <w:insideH w:val="none" w:color="FFFFFF" w:sz="0"/>
                <w:insideV w:val="none" w:color="FFFFFF" w:sz="0"/>
              </w:tblBorders>
              <w:tblLayout w:type="fixed"/>
            </w:tblPr>
            <w:tblGrid>
              <w:gridCol w:w="1722"/>
              <w:gridCol w:w="902"/>
              <w:gridCol w:w="1476"/>
            </w:tblGrid>
            <w:tr>
              <w:trPr>
                <w:tblHeader/>
              </w:trPr>
              <w:tc>
                <w:tcPr>
                  <w:tcW w:type="dxa" w:w="172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left"/>
                  </w:pPr>
                  <w:r>
                    <w:rPr>
                      <w:rFonts w:ascii="Aptos" w:cs="Aptos" w:eastAsia="Aptos" w:hAnsi="Aptos"/>
                      <w:b/>
                      <w:bCs/>
                      <w:sz w:val="16"/>
                      <w:szCs w:val="16"/>
                    </w:rPr>
                    <w:t xml:space="preserve">Player</w:t>
                  </w:r>
                </w:p>
              </w:tc>
              <w:tc>
                <w:tcPr>
                  <w:tcW w:type="dxa" w:w="90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Team</w:t>
                  </w:r>
                </w:p>
              </w:tc>
              <w:tc>
                <w:tcPr>
                  <w:tcW w:type="dxa" w:w="1476"/>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Transfers In</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Cherki</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MCI</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6</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Rogers</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CHE</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5</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Tavernier</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BOU</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5</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Palmer</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CHE</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Bogle</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LEE</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3</w:t>
                  </w:r>
                </w:p>
              </w:tc>
            </w:tr>
          </w:tbl>
          <w:p>
            <w:pPr>
              <w:spacing w:after="160" w:before="0"/>
            </w:pPr>
            <w:r>
              <w:rPr>
                <w:rFonts w:ascii="Aptos" w:cs="Aptos" w:eastAsia="Aptos" w:hAnsi="Aptos"/>
                <w:sz w:val="21"/>
                <w:szCs w:val="21"/>
              </w:rPr>
              <w:t xml:space="preserve"/>
            </w:r>
          </w:p>
          <w:tbl>
            <w:tblPr>
              <w:tblW w:type="dxa" w:w="4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00"/>
            </w:tblGrid>
            <w:tr>
              <w:tc>
                <w:tcPr>
                  <w:tcW w:type="dxa" w:w="4100"/>
                  <w:tcBorders>
                    <w:top w:val="none" w:color="FFFFFF" w:sz="0"/>
                    <w:left w:val="none" w:color="FFFFFF" w:sz="0"/>
                    <w:bottom w:val="none" w:color="FFFFFF" w:sz="0"/>
                    <w:right w:val="none" w:color="FFFFFF" w:sz="0"/>
                  </w:tcBorders>
                  <w:shd w:fill="37003C" w:color="auto" w:val="clear"/>
                  <w:tcMar>
                    <w:top w:type="dxa" w:w="160"/>
                    <w:left w:type="dxa" w:w="160"/>
                    <w:bottom w:type="dxa" w:w="160"/>
                    <w:right w:type="dxa" w:w="160"/>
                  </w:tcMar>
                  <w:vAlign w:val="center"/>
                </w:tcPr>
                <w:p>
                  <w:pPr>
                    <w:spacing w:after="0" w:before="0"/>
                  </w:pPr>
                  <w:r>
                    <w:rPr>
                      <w:rFonts w:ascii="Aptos" w:cs="Aptos" w:eastAsia="Aptos" w:hAnsi="Aptos"/>
                      <w:b/>
                      <w:bCs/>
                      <w:color w:val="FFFFFF"/>
                      <w:sz w:val="24"/>
                      <w:szCs w:val="24"/>
                    </w:rPr>
                    <w:t xml:space="preserve">Top 5 Transfers OUT</w:t>
                  </w:r>
                </w:p>
              </w:tc>
            </w:tr>
          </w:tbl>
          <w:tbl>
            <w:tblPr>
              <w:tblW w:type="dxa" w:w="4100"/>
              <w:tblBorders>
                <w:top w:val="none" w:color="FFFFFF" w:sz="0"/>
                <w:left w:val="none" w:color="FFFFFF" w:sz="0"/>
                <w:bottom w:val="single" w:color="37003C" w:sz="6"/>
                <w:right w:val="none" w:color="FFFFFF" w:sz="0"/>
                <w:insideH w:val="none" w:color="FFFFFF" w:sz="0"/>
                <w:insideV w:val="none" w:color="FFFFFF" w:sz="0"/>
              </w:tblBorders>
              <w:tblLayout w:type="fixed"/>
            </w:tblPr>
            <w:tblGrid>
              <w:gridCol w:w="1722"/>
              <w:gridCol w:w="902"/>
              <w:gridCol w:w="1476"/>
            </w:tblGrid>
            <w:tr>
              <w:trPr>
                <w:tblHeader/>
              </w:trPr>
              <w:tc>
                <w:tcPr>
                  <w:tcW w:type="dxa" w:w="172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left"/>
                  </w:pPr>
                  <w:r>
                    <w:rPr>
                      <w:rFonts w:ascii="Aptos" w:cs="Aptos" w:eastAsia="Aptos" w:hAnsi="Aptos"/>
                      <w:b/>
                      <w:bCs/>
                      <w:sz w:val="16"/>
                      <w:szCs w:val="16"/>
                    </w:rPr>
                    <w:t xml:space="preserve">Player</w:t>
                  </w:r>
                </w:p>
              </w:tc>
              <w:tc>
                <w:tcPr>
                  <w:tcW w:type="dxa" w:w="90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Team</w:t>
                  </w:r>
                </w:p>
              </w:tc>
              <w:tc>
                <w:tcPr>
                  <w:tcW w:type="dxa" w:w="1476"/>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Transfers Out</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Saka</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ARS</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12</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Semenyo</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MCI</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8</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B.Fernandes</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MUN</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7</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Calvert-Lewin</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LEE</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Gvardiol</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MCI</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3</w:t>
                  </w:r>
                </w:p>
              </w:tc>
            </w:tr>
          </w:tbl>
          <w:p>
            <w:pPr>
              <w:spacing w:after="160" w:before="0"/>
            </w:pPr>
            <w:r>
              <w:rPr>
                <w:rFonts w:ascii="Aptos" w:cs="Aptos" w:eastAsia="Aptos" w:hAnsi="Aptos"/>
                <w:sz w:val="21"/>
                <w:szCs w:val="21"/>
              </w:rPr>
              <w:t xml:space="preserve"/>
            </w:r>
          </w:p>
          <w:tbl>
            <w:tblPr>
              <w:tblW w:type="dxa" w:w="4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00"/>
            </w:tblGrid>
            <w:tr>
              <w:tc>
                <w:tcPr>
                  <w:tcW w:type="dxa" w:w="4100"/>
                  <w:tcBorders>
                    <w:top w:val="none" w:color="FFFFFF" w:sz="0"/>
                    <w:left w:val="none" w:color="FFFFFF" w:sz="0"/>
                    <w:bottom w:val="none" w:color="FFFFFF" w:sz="0"/>
                    <w:right w:val="none" w:color="FFFFFF" w:sz="0"/>
                  </w:tcBorders>
                  <w:shd w:fill="37003C" w:color="auto" w:val="clear"/>
                  <w:tcMar>
                    <w:top w:type="dxa" w:w="160"/>
                    <w:left w:type="dxa" w:w="160"/>
                    <w:bottom w:type="dxa" w:w="160"/>
                    <w:right w:type="dxa" w:w="160"/>
                  </w:tcMar>
                  <w:vAlign w:val="center"/>
                </w:tcPr>
                <w:p>
                  <w:pPr>
                    <w:spacing w:after="0" w:before="0"/>
                  </w:pPr>
                  <w:r>
                    <w:rPr>
                      <w:rFonts w:ascii="Aptos" w:cs="Aptos" w:eastAsia="Aptos" w:hAnsi="Aptos"/>
                      <w:b/>
                      <w:bCs/>
                      <w:color w:val="FFFFFF"/>
                      <w:sz w:val="24"/>
                      <w:szCs w:val="24"/>
                    </w:rPr>
                    <w:t xml:space="preserve">Top 10 Player Ownership (GW8)</w:t>
                  </w:r>
                </w:p>
              </w:tc>
            </w:tr>
          </w:tbl>
          <w:tbl>
            <w:tblPr>
              <w:tblW w:type="dxa" w:w="4100"/>
              <w:tblBorders>
                <w:top w:val="none" w:color="FFFFFF" w:sz="0"/>
                <w:left w:val="none" w:color="FFFFFF" w:sz="0"/>
                <w:bottom w:val="single" w:color="37003C" w:sz="6"/>
                <w:right w:val="none" w:color="FFFFFF" w:sz="0"/>
                <w:insideH w:val="none" w:color="FFFFFF" w:sz="0"/>
                <w:insideV w:val="none" w:color="FFFFFF" w:sz="0"/>
              </w:tblBorders>
              <w:tblLayout w:type="fixed"/>
            </w:tblPr>
            <w:tblGrid>
              <w:gridCol w:w="1722"/>
              <w:gridCol w:w="902"/>
              <w:gridCol w:w="1476"/>
            </w:tblGrid>
            <w:tr>
              <w:trPr>
                <w:tblHeader/>
              </w:trPr>
              <w:tc>
                <w:tcPr>
                  <w:tcW w:type="dxa" w:w="172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left"/>
                  </w:pPr>
                  <w:r>
                    <w:rPr>
                      <w:rFonts w:ascii="Aptos" w:cs="Aptos" w:eastAsia="Aptos" w:hAnsi="Aptos"/>
                      <w:b/>
                      <w:bCs/>
                      <w:sz w:val="16"/>
                      <w:szCs w:val="16"/>
                    </w:rPr>
                    <w:t xml:space="preserve">Player</w:t>
                  </w:r>
                </w:p>
              </w:tc>
              <w:tc>
                <w:tcPr>
                  <w:tcW w:type="dxa" w:w="902"/>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Team</w:t>
                  </w:r>
                </w:p>
              </w:tc>
              <w:tc>
                <w:tcPr>
                  <w:tcW w:type="dxa" w:w="1476"/>
                  <w:tcBorders>
                    <w:top w:val="none" w:color="FFFFFF" w:sz="0"/>
                    <w:left w:val="none" w:color="FFFFFF" w:sz="0"/>
                    <w:bottom w:val="none" w:color="FFFFFF" w:sz="0"/>
                    <w:right w:val="none" w:color="FFFFFF" w:sz="0"/>
                  </w:tcBorders>
                  <w:shd w:fill="00FF87" w:color="auto" w:val="clear"/>
                  <w:tcMar>
                    <w:top w:type="dxa" w:w="60"/>
                    <w:left w:type="dxa" w:w="100"/>
                    <w:bottom w:type="dxa" w:w="60"/>
                    <w:right w:type="dxa" w:w="100"/>
                  </w:tcMar>
                  <w:vAlign w:val="center"/>
                </w:tcPr>
                <w:p>
                  <w:pPr>
                    <w:spacing w:after="0" w:before="0"/>
                    <w:jc w:val="center"/>
                  </w:pPr>
                  <w:r>
                    <w:rPr>
                      <w:rFonts w:ascii="Aptos" w:cs="Aptos" w:eastAsia="Aptos" w:hAnsi="Aptos"/>
                      <w:b/>
                      <w:bCs/>
                      <w:sz w:val="16"/>
                      <w:szCs w:val="16"/>
                    </w:rPr>
                    <w:t xml:space="preserve">Ownership</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Haaland</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MCI</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89.77% (79/88)</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João Pedro</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CHE</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81.82% (72/88)</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Calafiori</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ARS</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60.23% (53/88)</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Rogers</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CHE</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57.95% (51/88)</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Groß</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BHA</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52.27% (46/88)</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De Cuyper</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BHA</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46.59% (41/88)</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Raya</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ARS</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44.32% (39/88)</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Konsa</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ARS</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44.32% (39/88)</w:t>
                  </w:r>
                </w:p>
              </w:tc>
            </w:tr>
            <w:tr>
              <w:trPr>
                <w:cantSplit/>
              </w:trPr>
              <w:tc>
                <w:tcPr>
                  <w:tcW w:type="dxa" w:w="172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Cherki</w:t>
                  </w:r>
                </w:p>
              </w:tc>
              <w:tc>
                <w:tcPr>
                  <w:tcW w:type="dxa" w:w="902"/>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MCI</w:t>
                  </w:r>
                </w:p>
              </w:tc>
              <w:tc>
                <w:tcPr>
                  <w:tcW w:type="dxa" w:w="1476"/>
                  <w:tcBorders>
                    <w:top w:val="none" w:color="FFFFFF" w:sz="0"/>
                    <w:left w:val="none" w:color="FFFFFF" w:sz="0"/>
                    <w:bottom w:val="none" w:color="FFFFFF" w:sz="0"/>
                    <w:right w:val="none" w:color="FFFFFF" w:sz="0"/>
                  </w:tcBorders>
                  <w:shd w:fill="FFFFFF"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44.32% (39/88)</w:t>
                  </w:r>
                </w:p>
              </w:tc>
            </w:tr>
            <w:tr>
              <w:trPr>
                <w:cantSplit/>
              </w:trPr>
              <w:tc>
                <w:tcPr>
                  <w:tcW w:type="dxa" w:w="172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left"/>
                  </w:pPr>
                  <w:r>
                    <w:rPr>
                      <w:rFonts w:ascii="Aptos" w:cs="Aptos" w:eastAsia="Aptos" w:hAnsi="Aptos"/>
                      <w:sz w:val="16"/>
                      <w:szCs w:val="16"/>
                    </w:rPr>
                    <w:t xml:space="preserve">Verbruggen</w:t>
                  </w:r>
                </w:p>
              </w:tc>
              <w:tc>
                <w:tcPr>
                  <w:tcW w:type="dxa" w:w="902"/>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BHA</w:t>
                  </w:r>
                </w:p>
              </w:tc>
              <w:tc>
                <w:tcPr>
                  <w:tcW w:type="dxa" w:w="1476"/>
                  <w:tcBorders>
                    <w:top w:val="none" w:color="FFFFFF" w:sz="0"/>
                    <w:left w:val="none" w:color="FFFFFF" w:sz="0"/>
                    <w:bottom w:val="none" w:color="FFFFFF" w:sz="0"/>
                    <w:right w:val="none" w:color="FFFFFF" w:sz="0"/>
                  </w:tcBorders>
                  <w:shd w:fill="F5F5F5" w:color="auto" w:val="clear"/>
                  <w:tcMar>
                    <w:top w:type="dxa" w:w="60"/>
                    <w:left w:type="dxa" w:w="100"/>
                    <w:bottom w:type="dxa" w:w="60"/>
                    <w:right w:type="dxa" w:w="100"/>
                  </w:tcMar>
                  <w:vAlign w:val="center"/>
                </w:tcPr>
                <w:p>
                  <w:pPr>
                    <w:spacing w:after="0" w:before="0"/>
                    <w:jc w:val="center"/>
                  </w:pPr>
                  <w:r>
                    <w:rPr>
                      <w:rFonts w:ascii="Aptos" w:cs="Aptos" w:eastAsia="Aptos" w:hAnsi="Aptos"/>
                      <w:sz w:val="16"/>
                      <w:szCs w:val="16"/>
                    </w:rPr>
                    <w:t xml:space="preserve">35.23% (31/88)</w:t>
                  </w:r>
                </w:p>
              </w:tc>
            </w:tr>
          </w:tbl>
          <w:p>
            <w:pPr>
              <w:spacing w:after="160" w:before="0"/>
            </w:pPr>
            <w:r>
              <w:rPr>
                <w:rFonts w:ascii="Aptos" w:cs="Aptos" w:eastAsia="Aptos" w:hAnsi="Aptos"/>
                <w:sz w:val="21"/>
                <w:szCs w:val="21"/>
              </w:rPr>
              <w:t xml:space="preserve"/>
            </w:r>
          </w:p>
        </w:tc>
      </w:tr>
    </w:tbl>
    <w:p>
      <w:pPr>
        <w:spacing w:after="200" w:before="0"/>
      </w:pPr>
      <w:r>
        <w:rPr>
          <w:rFonts w:ascii="Aptos" w:cs="Aptos" w:eastAsia="Aptos" w:hAnsi="Aptos"/>
          <w:sz w:val="21"/>
          <w:szCs w:val="21"/>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single" w:color="37003C" w:sz="8"/>
              <w:left w:val="single" w:color="37003C" w:sz="8"/>
              <w:bottom w:val="single" w:color="37003C" w:sz="8"/>
              <w:right w:val="single" w:color="37003C" w:sz="8"/>
            </w:tcBorders>
            <w:tcMar>
              <w:top w:type="dxa" w:w="240"/>
              <w:left w:type="dxa" w:w="240"/>
              <w:bottom w:type="dxa" w:w="160"/>
              <w:right w:type="dxa" w:w="240"/>
            </w:tcMar>
            <w:vAlign w:val="top"/>
          </w:tcPr>
          <w:p>
            <w:pPr>
              <w:spacing w:after="140" w:before="0"/>
            </w:pPr>
            <w:r>
              <w:rPr>
                <w:rFonts w:ascii="Aptos" w:cs="Aptos" w:eastAsia="Aptos" w:hAnsi="Aptos"/>
                <w:b/>
                <w:bCs/>
                <w:sz w:val="21"/>
                <w:szCs w:val="21"/>
              </w:rPr>
              <w:t xml:space="preserve">Players Column</w:t>
            </w:r>
          </w:p>
          <w:p>
            <w:pPr>
              <w:spacing w:after="140" w:before="0"/>
            </w:pPr>
            <w:r>
              <w:rPr>
                <w:rFonts w:ascii="Aptos" w:cs="Aptos" w:eastAsia="Aptos" w:hAnsi="Aptos"/>
                <w:sz w:val="21"/>
                <w:szCs w:val="21"/>
              </w:rPr>
              <w:t xml:space="preserve">Erling Haaland was captained by 58 of the 88 managers and returned 8 points: one goal and two bonus, though Manchester City lost 2-1 at Aston Villa. His captainers received 16, and nobody triple captained him. Adequate, if not the itemised receipt the template had come to expect.</w:t>
            </w:r>
          </w:p>
          <w:p>
            <w:pPr>
              <w:spacing w:after="140" w:before="0"/>
            </w:pPr>
            <w:r>
              <w:rPr>
                <w:rFonts w:ascii="Aptos" w:cs="Aptos" w:eastAsia="Aptos" w:hAnsi="Aptos"/>
                <w:sz w:val="21"/>
                <w:szCs w:val="21"/>
              </w:rPr>
              <w:t xml:space="preserve">Rayan Cherki was the league's most-bought player, picked up by six managers, and returned zero points from 45 minutes at Villa Park. The purchase was processed; the delivery remains outstanding.</w:t>
            </w:r>
          </w:p>
          <w:p>
            <w:pPr>
              <w:spacing w:after="140" w:before="0"/>
            </w:pPr>
            <w:r>
              <w:rPr>
                <w:rFonts w:ascii="Aptos" w:cs="Aptos" w:eastAsia="Aptos" w:hAnsi="Aptos"/>
                <w:sz w:val="21"/>
                <w:szCs w:val="21"/>
              </w:rPr>
              <w:t xml:space="preserve">Arsenal's 2-0 win over Everton did most of the work at the top: Gabriel scored 17 points for his 13 owners and Konsa 14 for his 39. At the other end of the Villa match, N.Jackson scored twice for 13 points, owned by only five managers. Villa's win was quietly punishing for anyone who assumed City would take care of things.</w:t>
            </w:r>
          </w:p>
          <w:p>
            <w:pPr>
              <w:spacing w:after="140" w:before="0"/>
            </w:pPr>
            <w:r>
              <w:rPr>
                <w:rFonts w:ascii="Aptos" w:cs="Aptos" w:eastAsia="Aptos" w:hAnsi="Aptos"/>
                <w:sz w:val="21"/>
                <w:szCs w:val="21"/>
              </w:rPr>
              <w:t xml:space="preserve">The league average before hits was 48.1, 3.1 points better than the global average of 45. A modest outperformance, and one this league will no doubt mention more than once.</w:t>
            </w:r>
          </w:p>
        </w:tc>
      </w:tr>
    </w:tbl>
    <w:p>
      <w:pPr>
        <w:spacing w:after="120" w:before="200"/>
        <w:jc w:val="center"/>
      </w:pPr>
      <w:hyperlink w:history="1" r:id="rIdaznkv3rr1gcuqvsxd34xv">
        <w:r>
          <w:rPr>
            <w:rFonts w:ascii="Aptos" w:cs="Aptos" w:eastAsia="Aptos" w:hAnsi="Aptos"/>
            <w:color w:val="37003C"/>
            <w:sz w:val="16"/>
            <w:szCs w:val="16"/>
            <w:u w:val="single"/>
          </w:rPr>
          <w:t xml:space="preserve">Fantasy Premier League, Official Fantasy Football Game of the Premier League</w:t>
        </w:r>
      </w:hyperlink>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1j0tdd9p4rhw6edfofzfo" Type="http://schemas.openxmlformats.org/officeDocument/2006/relationships/hyperlink" Target="https://fantasy.premierleague.com/" TargetMode="External"/><Relationship Id="rIdaznkv3rr1gcuqvsxd34xv" Type="http://schemas.openxmlformats.org/officeDocument/2006/relationships/hyperlink" Target="https://fantasy.premierleagu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Aberdeen plc FPL — Game Week 8</dc:title>
  <dc:creator>FPL League Room</dc:creator>
  <cp:lastModifiedBy>Un-named</cp:lastModifiedBy>
  <cp:revision>1</cp:revision>
  <dcterms:created xsi:type="dcterms:W3CDTF">2026-10-28T15:17:21.036Z</dcterms:created>
  <dcterms:modified xsi:type="dcterms:W3CDTF">2026-10-28T15:17:21.040Z</dcterms:modified>
</cp:coreProperties>
</file>

<file path=docProps/custom.xml><?xml version="1.0" encoding="utf-8"?>
<Properties xmlns="http://schemas.openxmlformats.org/officeDocument/2006/custom-properties" xmlns:vt="http://schemas.openxmlformats.org/officeDocument/2006/docPropsVTypes"/>
</file>