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6.png" ContentType="image/png"/>
  <Override PartName="/word/media/rId2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Kapitel</w:t>
      </w:r>
      <w:r>
        <w:t xml:space="preserve"> </w:t>
      </w:r>
      <w:r>
        <w:t xml:space="preserve">6</w:t>
      </w:r>
      <w:r>
        <w:t xml:space="preserve"> </w:t>
      </w:r>
      <w:r>
        <w:t xml:space="preserve">—</w:t>
      </w:r>
      <w:r>
        <w:t xml:space="preserve"> </w:t>
      </w:r>
      <w:r>
        <w:t xml:space="preserve">Das</w:t>
      </w:r>
      <w:r>
        <w:t xml:space="preserve"> </w:t>
      </w:r>
      <w:r>
        <w:t xml:space="preserve">Gummel-Poon-Modell</w:t>
      </w:r>
      <w:r>
        <w:t xml:space="preserve"> </w:t>
      </w:r>
      <w:r>
        <w:t xml:space="preserve">und</w:t>
      </w:r>
      <w:r>
        <w:t xml:space="preserve"> </w:t>
      </w:r>
      <w:r>
        <w:t xml:space="preserve">seine</w:t>
      </w:r>
      <w:r>
        <w:t xml:space="preserve"> </w:t>
      </w:r>
      <w:r>
        <w:t xml:space="preserve">SPICE-Parameter</w:t>
      </w:r>
    </w:p>
    <w:p>
      <w:pPr>
        <w:pStyle w:val="Subtitle"/>
      </w:pPr>
      <w:r>
        <w:t xml:space="preserve">Buchentwurf</w:t>
      </w:r>
      <w:r>
        <w:t xml:space="preserve"> </w:t>
      </w:r>
      <w:r>
        <w:t xml:space="preserve">zur</w:t>
      </w:r>
      <w:r>
        <w:t xml:space="preserve"> </w:t>
      </w:r>
      <w:r>
        <w:t xml:space="preserve">Freigabe</w:t>
      </w:r>
      <w:r>
        <w:t xml:space="preserve"> </w:t>
      </w:r>
      <w:r>
        <w:t xml:space="preserve">·</w:t>
      </w:r>
      <w:r>
        <w:t xml:space="preserve"> </w:t>
      </w:r>
      <w:r>
        <w:t xml:space="preserve">Teil</w:t>
      </w:r>
      <w:r>
        <w:t xml:space="preserve"> </w:t>
      </w:r>
      <w:r>
        <w:t xml:space="preserve">III:</w:t>
      </w:r>
      <w:r>
        <w:t xml:space="preserve"> </w:t>
      </w:r>
      <w:r>
        <w:t xml:space="preserve">Vom</w:t>
      </w:r>
      <w:r>
        <w:t xml:space="preserve"> </w:t>
      </w:r>
      <w:r>
        <w:t xml:space="preserve">Messwert</w:t>
      </w:r>
      <w:r>
        <w:t xml:space="preserve"> </w:t>
      </w:r>
      <w:r>
        <w:t xml:space="preserve">zum</w:t>
      </w:r>
      <w:r>
        <w:t xml:space="preserve"> </w:t>
      </w:r>
      <w:r>
        <w:t xml:space="preserve">Modell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</w:p>
    <w:p>
      <w:pPr>
        <w:pStyle w:val="Date"/>
      </w:pPr>
      <w:r>
        <w:t xml:space="preserve">Entwurf,</w:t>
      </w:r>
      <w:r>
        <w:t xml:space="preserve"> </w:t>
      </w:r>
      <w:r>
        <w:t xml:space="preserve">Stand</w:t>
      </w:r>
      <w:r>
        <w:t xml:space="preserve"> </w:t>
      </w:r>
      <w:r>
        <w:t xml:space="preserve">4.</w:t>
      </w:r>
      <w:r>
        <w:t xml:space="preserve"> </w:t>
      </w:r>
      <w:r>
        <w:t xml:space="preserve">August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4" w:name="X80a45084808c4d24742a3ff15cfe8c7b4686561"/>
    <w:p>
      <w:pPr>
        <w:pStyle w:val="Heading1"/>
      </w:pPr>
      <w:r>
        <w:t xml:space="preserve">6 Das Gummel-Poon-Modell und seine SPICE-Parameter</w:t>
      </w:r>
    </w:p>
    <w:bookmarkStart w:id="20" w:name="X6523b647f6a93c1f6e17aaa32ebd4b03471f0d5"/>
    <w:p>
      <w:pPr>
        <w:pStyle w:val="Heading2"/>
      </w:pPr>
      <w:r>
        <w:t xml:space="preserve">6.1 Wo wir stehen — und wohin dieses Kapitel führt</w:t>
      </w:r>
    </w:p>
    <w:p>
      <w:pPr>
        <w:pStyle w:val="FirstParagraph"/>
      </w:pPr>
      <w:r>
        <w:t xml:space="preserve">In Teil I haben wir den Transistor</w:t>
      </w:r>
      <w:r>
        <w:t xml:space="preserve"> </w:t>
      </w:r>
      <w:r>
        <w:rPr>
          <w:b/>
          <w:bCs/>
        </w:rPr>
        <w:t xml:space="preserve">vermessen</w:t>
      </w:r>
      <w:r>
        <w:t xml:space="preserve">: Der Kennlinienschreiber</w:t>
      </w:r>
      <w:r>
        <w:t xml:space="preserve"> </w:t>
      </w:r>
      <w:r>
        <w:t xml:space="preserve">lieferte die Eingangs-, Übertragungs- und Ausgangskennlinien als</w:t>
      </w:r>
      <w:r>
        <w:t xml:space="preserve"> </w:t>
      </w:r>
      <w:r>
        <w:t xml:space="preserve">Zahlenkolonnen, und das Vierquadranten-Kennlinienfeld hat diese Daten</w:t>
      </w:r>
      <w:r>
        <w:t xml:space="preserve"> </w:t>
      </w:r>
      <w:r>
        <w:t xml:space="preserve">geordnet. In Teil II haben wir das</w:t>
      </w:r>
      <w:r>
        <w:t xml:space="preserve"> </w:t>
      </w:r>
      <w:r>
        <w:rPr>
          <w:b/>
          <w:bCs/>
        </w:rPr>
        <w:t xml:space="preserve">numerische Handwerkszeug</w:t>
      </w:r>
      <w:r>
        <w:t xml:space="preserve"> </w:t>
      </w:r>
      <w:r>
        <w:t xml:space="preserve">erarbeitet: Wir können nichtlineare Gleichungen mit Newton-Raphson lösen</w:t>
      </w:r>
      <w:r>
        <w:t xml:space="preserve"> </w:t>
      </w:r>
      <w:r>
        <w:t xml:space="preserve">und ganze Netzwerke über das Knotenpotentialverfahren aufstellen — geübt</w:t>
      </w:r>
      <w:r>
        <w:t xml:space="preserve"> </w:t>
      </w:r>
      <w:r>
        <w:t xml:space="preserve">an der Diode, deren Exponentialkennlinie uns dort zum ersten Mal</w:t>
      </w:r>
      <w:r>
        <w:t xml:space="preserve"> </w:t>
      </w:r>
      <w:r>
        <w:t xml:space="preserve">begegnet ist.</w:t>
      </w:r>
    </w:p>
    <w:p>
      <w:pPr>
        <w:pStyle w:val="BodyText"/>
      </w:pPr>
      <w:r>
        <w:t xml:space="preserve">Jetzt fügen sich beide Stränge zusammen. Die Messdaten</w:t>
      </w:r>
      <w:r>
        <w:t xml:space="preserve"> </w:t>
      </w:r>
      <w:r>
        <w:rPr>
          <w:i/>
          <w:iCs/>
        </w:rPr>
        <w:t xml:space="preserve">beschreiben</w:t>
      </w:r>
      <w:r>
        <w:t xml:space="preserve"> </w:t>
      </w:r>
      <w:r>
        <w:t xml:space="preserve">den</w:t>
      </w:r>
      <w:r>
        <w:t xml:space="preserve"> </w:t>
      </w:r>
      <w:r>
        <w:t xml:space="preserve">Transistor — aber sie</w:t>
      </w:r>
      <w:r>
        <w:t xml:space="preserve"> </w:t>
      </w:r>
      <w:r>
        <w:rPr>
          <w:i/>
          <w:iCs/>
        </w:rPr>
        <w:t xml:space="preserve">erklären</w:t>
      </w:r>
      <w:r>
        <w:t xml:space="preserve"> </w:t>
      </w:r>
      <w:r>
        <w:t xml:space="preserve">ihn nicht, und sie lassen sich nicht in</w:t>
      </w:r>
      <w:r>
        <w:t xml:space="preserve"> </w:t>
      </w:r>
      <w:r>
        <w:t xml:space="preserve">einen Schaltungssimulator stecken. Dazu braucht es ein</w:t>
      </w:r>
      <w:r>
        <w:t xml:space="preserve"> </w:t>
      </w:r>
      <w:r>
        <w:rPr>
          <w:b/>
          <w:bCs/>
        </w:rPr>
        <w:t xml:space="preserve">Modell</w:t>
      </w:r>
      <w:r>
        <w:t xml:space="preserve">: einen</w:t>
      </w:r>
      <w:r>
        <w:t xml:space="preserve"> </w:t>
      </w:r>
      <w:r>
        <w:t xml:space="preserve">Satz von Gleichungen mit wenigen Parametern, der die gemessenen</w:t>
      </w:r>
      <w:r>
        <w:t xml:space="preserve"> </w:t>
      </w:r>
      <w:r>
        <w:t xml:space="preserve">Kennlinien reproduziert. Das Standardmodell der Schaltungssimulation ist</w:t>
      </w:r>
      <w:r>
        <w:t xml:space="preserve"> </w:t>
      </w:r>
      <w:r>
        <w:t xml:space="preserve">das</w:t>
      </w:r>
      <w:r>
        <w:t xml:space="preserve"> </w:t>
      </w:r>
      <w:r>
        <w:rPr>
          <w:b/>
          <w:bCs/>
        </w:rPr>
        <w:t xml:space="preserve">Gummel-Poon-Modell</w:t>
      </w:r>
      <w:r>
        <w:t xml:space="preserve"> </w:t>
      </w:r>
      <w:r>
        <w:t xml:space="preserve">(1970), das jedem SPICE-Simulator — von</w:t>
      </w:r>
      <w:r>
        <w:t xml:space="preserve"> </w:t>
      </w:r>
      <w:r>
        <w:t xml:space="preserve">LTspice bis ngspice — zugrunde liegt.</w:t>
      </w:r>
    </w:p>
    <w:p>
      <w:pPr>
        <w:pStyle w:val="BodyText"/>
      </w:pPr>
      <w:r>
        <w:t xml:space="preserve">Dieses Kapitel baut das Modell</w:t>
      </w:r>
      <w:r>
        <w:t xml:space="preserve"> </w:t>
      </w:r>
      <w:r>
        <w:rPr>
          <w:b/>
          <w:bCs/>
        </w:rPr>
        <w:t xml:space="preserve">Effekt für Effekt</w:t>
      </w:r>
      <w:r>
        <w:t xml:space="preserve"> </w:t>
      </w:r>
      <w:r>
        <w:t xml:space="preserve">auf. Wir beginnen</w:t>
      </w:r>
      <w:r>
        <w:t xml:space="preserve"> </w:t>
      </w:r>
      <w:r>
        <w:t xml:space="preserve">mit der idealen Exponentialkennlinie und ergänzen nacheinander genau die</w:t>
      </w:r>
      <w:r>
        <w:t xml:space="preserve"> </w:t>
      </w:r>
      <w:r>
        <w:t xml:space="preserve">Abweichungen, die in unseren Messungen sichtbar werden:</w:t>
      </w:r>
    </w:p>
    <w:p>
      <w:pPr>
        <w:pStyle w:val="Compact"/>
        <w:numPr>
          <w:ilvl w:val="0"/>
          <w:numId w:val="1001"/>
        </w:numPr>
      </w:pPr>
      <w:r>
        <w:t xml:space="preserve">die endliche Steigung der Ausgangskennlinien →</w:t>
      </w:r>
      <w:r>
        <w:t xml:space="preserve"> </w:t>
      </w:r>
      <w:r>
        <w:rPr>
          <w:b/>
          <w:bCs/>
        </w:rPr>
        <w:t xml:space="preserve">Early-Effekt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VAF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dieselbe Erscheinung im Basisstrom →</w:t>
      </w:r>
      <w:r>
        <w:t xml:space="preserve"> </w:t>
      </w:r>
      <w:r>
        <w:rPr>
          <w:b/>
          <w:bCs/>
        </w:rPr>
        <w:t xml:space="preserve">Basis-Early-Effekt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SPICE</w:t>
      </w:r>
      <w:r>
        <w:t xml:space="preserve"> </w:t>
      </w:r>
      <w:r>
        <w:rPr>
          <w:rStyle w:val="VerbatimChar"/>
        </w:rPr>
        <w:t xml:space="preserve">VAR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der Abfall der Stromverstärkung bei großen Strömen →</w:t>
      </w:r>
      <w:r>
        <w:t xml:space="preserve"> </w:t>
      </w:r>
      <w:r>
        <w:rPr>
          <w:b/>
          <w:bCs/>
        </w:rPr>
        <w:t xml:space="preserve">Hochinjektion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IKF</w:t>
      </w:r>
      <w:r>
        <w:t xml:space="preserve">),</w:t>
      </w:r>
    </w:p>
    <w:p>
      <w:pPr>
        <w:pStyle w:val="Compact"/>
        <w:numPr>
          <w:ilvl w:val="0"/>
          <w:numId w:val="1001"/>
        </w:numPr>
      </w:pPr>
      <w:r>
        <w:t xml:space="preserve">der Spannungsabfall im Basisbahngebiet →</w:t>
      </w:r>
      <w:r>
        <w:t xml:space="preserve"> </w:t>
      </w:r>
      <w:r>
        <w:rPr>
          <w:b/>
          <w:bCs/>
        </w:rPr>
        <w:t xml:space="preserve">innerer Basiswiderstand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RBM</w:t>
      </w:r>
      <w:r>
        <w:t xml:space="preserve">).</w:t>
      </w:r>
    </w:p>
    <w:p>
      <w:pPr>
        <w:pStyle w:val="FirstParagraph"/>
      </w:pPr>
      <w:r>
        <w:t xml:space="preserve">Am Ende steht ein geschlossenes Gleichungssystem mit benannten</w:t>
      </w:r>
      <w:r>
        <w:t xml:space="preserve"> </w:t>
      </w:r>
      <w:r>
        <w:t xml:space="preserve">Parametern und benannten Grenzen. Die beiden Anschlussfragen sind dann</w:t>
      </w:r>
      <w:r>
        <w:t xml:space="preserve"> </w:t>
      </w:r>
      <w:r>
        <w:t xml:space="preserve">zwingend:</w:t>
      </w:r>
      <w:r>
        <w:t xml:space="preserve"> </w:t>
      </w:r>
      <w:r>
        <w:rPr>
          <w:i/>
          <w:iCs/>
        </w:rPr>
        <w:t xml:space="preserve">Woher bekommen wir die Zahlenwerte der Parameter?</w:t>
      </w:r>
      <w:r>
        <w:t xml:space="preserve"> </w:t>
      </w:r>
      <w:r>
        <w:t xml:space="preserve">— aus der</w:t>
      </w:r>
      <w:r>
        <w:t xml:space="preserve"> </w:t>
      </w:r>
      <w:r>
        <w:t xml:space="preserve">Messung, Kapitel 7.</w:t>
      </w:r>
      <w:r>
        <w:t xml:space="preserve"> </w:t>
      </w:r>
      <w:r>
        <w:rPr>
          <w:i/>
          <w:iCs/>
        </w:rPr>
        <w:t xml:space="preserve">Und wie löst man das nichtlineare System in einer</w:t>
      </w:r>
      <w:r>
        <w:rPr>
          <w:i/>
          <w:iCs/>
        </w:rPr>
        <w:t xml:space="preserve"> </w:t>
      </w:r>
      <w:r>
        <w:rPr>
          <w:i/>
          <w:iCs/>
        </w:rPr>
        <w:t xml:space="preserve">konkreten Schaltung?</w:t>
      </w:r>
      <w:r>
        <w:t xml:space="preserve"> </w:t>
      </w:r>
      <w:r>
        <w:t xml:space="preserve">— mit Newton-Raphson, Kapitel 8.</w:t>
      </w:r>
    </w:p>
    <w:p>
      <w:pPr>
        <w:pStyle w:val="BlockText"/>
      </w:pPr>
      <w:r>
        <w:rPr>
          <w:b/>
          <w:bCs/>
        </w:rPr>
        <w:t xml:space="preserve">Grundannahmen dieses Kapitels</w:t>
      </w:r>
      <w:r>
        <w:t xml:space="preserve"> </w:t>
      </w:r>
      <w:r>
        <w:t xml:space="preserve">(sofern nicht anders vermerkt):</w:t>
      </w:r>
      <w:r>
        <w:t xml:space="preserve"> </w:t>
      </w:r>
      <w:r>
        <w:t xml:space="preserve">npn-Transistor im</w:t>
      </w:r>
      <w:r>
        <w:t xml:space="preserve"> </w:t>
      </w:r>
      <w:r>
        <w:rPr>
          <w:b/>
          <w:bCs/>
        </w:rPr>
        <w:t xml:space="preserve">Vorwärts-Aktivbetrieb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C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);</w:t>
      </w:r>
      <w:r>
        <w:t xml:space="preserve"> </w:t>
      </w:r>
      <w:r>
        <w:t xml:space="preserve">Temperatur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;</w:t>
      </w:r>
      <w:r>
        <w:t xml:space="preserve"> </w:t>
      </w:r>
      <w:r>
        <w:rPr>
          <w:b/>
          <w:bCs/>
        </w:rPr>
        <w:t xml:space="preserve">Quasistatik</w:t>
      </w:r>
      <w:r>
        <w:t xml:space="preserve"> </w:t>
      </w:r>
      <w:r>
        <w:t xml:space="preserve">(keine Kapazitäten — das</w:t>
      </w:r>
      <w:r>
        <w:t xml:space="preserve"> </w:t>
      </w:r>
      <w:r>
        <w:t xml:space="preserve">Frequenzverhalten folgt in Kapitel 13); Niedriginjektion außer der in</w:t>
      </w:r>
      <w:r>
        <w:t xml:space="preserve"> </w:t>
      </w:r>
      <w:r>
        <w:t xml:space="preserve">Abschnitt 6.6 behandelten Hochstromkorrektur. Alle Gleichungen sind in</w:t>
      </w:r>
      <w:r>
        <w:t xml:space="preserve"> </w:t>
      </w:r>
      <w:r>
        <w:t xml:space="preserve">den</w:t>
      </w:r>
      <w:r>
        <w:t xml:space="preserve"> </w:t>
      </w:r>
      <w:r>
        <w:rPr>
          <w:b/>
          <w:bCs/>
        </w:rPr>
        <w:t xml:space="preserve">Klemmenspannungen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formuliert.</w:t>
      </w:r>
    </w:p>
    <w:bookmarkEnd w:id="20"/>
    <w:bookmarkStart w:id="21" w:name="Xa5fc8b13f96c428b542562bace0f51dfed4a8a7"/>
    <w:p>
      <w:pPr>
        <w:pStyle w:val="Heading2"/>
      </w:pPr>
      <w:r>
        <w:t xml:space="preserve">6.2 Ausgangspunkt: der Transistor als gesteuerte Quelle</w:t>
      </w:r>
    </w:p>
    <w:p>
      <w:pPr>
        <w:pStyle w:val="FirstParagraph"/>
      </w:pPr>
      <w:r>
        <w:t xml:space="preserve">Ein npn-Transistor besteht aus zwei gegeneinander geschalteten</w:t>
      </w:r>
      <w:r>
        <w:t xml:space="preserve"> </w:t>
      </w:r>
      <w:r>
        <w:t xml:space="preserve">pn-Übergängen — Emitter–Basis und Kollektor–Basis — mit einer sehr</w:t>
      </w:r>
      <w:r>
        <w:t xml:space="preserve"> </w:t>
      </w:r>
      <w:r>
        <w:t xml:space="preserve">dünnen Basis dazwischen. Im Aktivbetrieb ist die</w:t>
      </w:r>
      <w:r>
        <w:t xml:space="preserve"> </w:t>
      </w:r>
      <w:r>
        <w:rPr>
          <w:b/>
          <w:bCs/>
        </w:rPr>
        <w:t xml:space="preserve">BE-Diode in</w:t>
      </w:r>
      <w:r>
        <w:rPr>
          <w:b/>
          <w:bCs/>
        </w:rPr>
        <w:t xml:space="preserve"> </w:t>
      </w:r>
      <w:r>
        <w:rPr>
          <w:b/>
          <w:bCs/>
        </w:rPr>
        <w:t xml:space="preserve">Flussrichtung</w:t>
      </w:r>
      <w:r>
        <w:t xml:space="preserve"> </w:t>
      </w:r>
      <w:r>
        <w:t xml:space="preserve">gepolt, die</w:t>
      </w:r>
      <w:r>
        <w:t xml:space="preserve"> </w:t>
      </w:r>
      <w:r>
        <w:rPr>
          <w:b/>
          <w:bCs/>
        </w:rPr>
        <w:t xml:space="preserve">BC-Diode in Sperrrichtung</w:t>
      </w:r>
      <w:r>
        <w:t xml:space="preserve">. Die über die</w:t>
      </w:r>
      <w:r>
        <w:t xml:space="preserve"> </w:t>
      </w:r>
      <w:r>
        <w:t xml:space="preserve">BE-Diode in die Basis injizierten Elektronen diffundieren durch die</w:t>
      </w:r>
      <w:r>
        <w:t xml:space="preserve"> </w:t>
      </w:r>
      <w:r>
        <w:t xml:space="preserve">dünne Basis und werden vom Feld der gesperrten BC-Diode zum Kollektor</w:t>
      </w:r>
      <w:r>
        <w:t xml:space="preserve"> </w:t>
      </w:r>
      <w:r>
        <w:t xml:space="preserve">„abgesaugt”. Der Kollektorstrom wird also von der 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gesteuert — der Transistor ist eine</w:t>
      </w:r>
      <w:r>
        <w:t xml:space="preserve"> </w:t>
      </w:r>
      <w:r>
        <w:rPr>
          <w:b/>
          <w:bCs/>
        </w:rPr>
        <w:t xml:space="preserve">spannungsgesteuerte Stromquelle</w:t>
      </w:r>
      <w:r>
        <w:t xml:space="preserve">.</w:t>
      </w:r>
    </w:p>
    <w:p>
      <w:pPr>
        <w:pStyle w:val="BodyText"/>
      </w:pPr>
      <w:r>
        <w:t xml:space="preserve">Das klassische</w:t>
      </w:r>
      <w:r>
        <w:t xml:space="preserve"> </w:t>
      </w:r>
      <w:r>
        <w:rPr>
          <w:b/>
          <w:bCs/>
        </w:rPr>
        <w:t xml:space="preserve">Ebers-Moll-Modell</w:t>
      </w:r>
      <w:r>
        <w:t xml:space="preserve"> </w:t>
      </w:r>
      <w:r>
        <w:t xml:space="preserve">beschreibt beide Übergänge durch</w:t>
      </w:r>
      <w:r>
        <w:t xml:space="preserve"> </w:t>
      </w:r>
      <w:r>
        <w:t xml:space="preserve">ihre Diodengleichungen. Im Vorwärts-Aktivbetrieb dominiert der</w:t>
      </w:r>
      <w:r>
        <w:t xml:space="preserve"> </w:t>
      </w:r>
      <w:r>
        <w:t xml:space="preserve">Vorwärts-Transportstrom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mit dem</w:t>
      </w:r>
      <w:r>
        <w:t xml:space="preserve"> </w:t>
      </w:r>
      <w:r>
        <w:rPr>
          <w:b/>
          <w:bCs/>
        </w:rPr>
        <w:t xml:space="preserve">Transport-Sättigungsstrom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. Idealerweise ist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. Was Ebers-Moll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erfasst — Early-Effekt, Hochinjektion, Bahnwiderstände — ergänzt das</w:t>
      </w:r>
      <w:r>
        <w:t xml:space="preserve"> </w:t>
      </w:r>
      <w:r>
        <w:t xml:space="preserve">Gummel-Poon-Modell. Genau diese Lücken schließen wir jetzt Schritt für</w:t>
      </w:r>
      <w:r>
        <w:t xml:space="preserve"> </w:t>
      </w:r>
      <w:r>
        <w:t xml:space="preserve">Schritt.</w:t>
      </w:r>
    </w:p>
    <w:bookmarkEnd w:id="21"/>
    <w:bookmarkStart w:id="25" w:name="X9d4ad36e28ee447a749946f6e263504ad83b83e"/>
    <w:p>
      <w:pPr>
        <w:pStyle w:val="Heading2"/>
      </w:pPr>
      <w:r>
        <w:t xml:space="preserve">6.3 Die ideale Kennlinie und die Thermospannung</w:t>
      </w:r>
    </w:p>
    <w:p>
      <w:pPr>
        <w:pStyle w:val="FirstParagraph"/>
      </w:pPr>
      <w:r>
        <w:t xml:space="preserve">Der Kollektorstrom im Aktivbetrieb folgt der Shockley-Gleichung (für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≫</m:t>
        </m:r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ist die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vernachlässigbar):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</m:oMath>
      </m:oMathPara>
    </w:p>
    <w:p>
      <w:pPr>
        <w:pStyle w:val="FirstParagraph"/>
      </w:pPr>
      <w:r>
        <w:t xml:space="preserve">Darin ist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</w:t>
      </w:r>
      <w:r>
        <w:t xml:space="preserve"> </w:t>
      </w:r>
      <w:r>
        <w:rPr>
          <w:b/>
          <w:bCs/>
        </w:rPr>
        <w:t xml:space="preserve">Emissionskoeffizient</w:t>
      </w:r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NF</w:t>
      </w:r>
      <w:r>
        <w:t xml:space="preserve">, ideal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</m:t>
        </m:r>
      </m:oMath>
      <w:r>
        <w:t xml:space="preserve">) und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die</w:t>
      </w:r>
      <w:r>
        <w:t xml:space="preserve"> </w:t>
      </w:r>
      <w:r>
        <w:rPr>
          <w:b/>
          <w:bCs/>
        </w:rPr>
        <w:t xml:space="preserve">Thermospannung</w:t>
      </w:r>
      <w:r>
        <w:t xml:space="preserve">. Sie ist keine</w:t>
      </w:r>
      <w:r>
        <w:t xml:space="preserve"> </w:t>
      </w:r>
      <w:r>
        <w:t xml:space="preserve">Materialeigenschaft, sondern eine Naturkonstanten-Kombination — und</w:t>
      </w:r>
      <w:r>
        <w:t xml:space="preserve"> </w:t>
      </w:r>
      <w:r>
        <w:t xml:space="preserve">damit der Anker, an dem später die Steigung des Gummel-Plots hängt: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r>
                <m:t>T</m:t>
              </m:r>
            </m:num>
            <m:den>
              <m:r>
                <m:t>q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381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  <m:r>
                <m:t> </m:t>
              </m:r>
              <m:r>
                <m:rPr>
                  <m:nor/>
                  <m:sty m:val="p"/>
                </m:rPr>
                <m:t>J/K</m:t>
              </m:r>
              <m:r>
                <m:t> </m:t>
              </m:r>
              <m:r>
                <m:rPr>
                  <m:sty m:val="p"/>
                </m:rPr>
                <m:t>⋅</m:t>
              </m:r>
              <m:r>
                <m:t> </m:t>
              </m:r>
              <m:r>
                <m:t>300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602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  <m:r>
                <m:t> </m:t>
              </m:r>
              <m:r>
                <m:rPr>
                  <m:nor/>
                  <m:sty m:val="p"/>
                </m:rPr>
                <m:t>C</m:t>
              </m:r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,</m:t>
          </m:r>
          <m:r>
            <m:t>85</m:t>
          </m:r>
          <m:r>
            <m:t> </m:t>
          </m:r>
          <m:r>
            <m:rPr>
              <m:nor/>
              <m:sty m:val="p"/>
            </m:rPr>
            <m:t>mV</m:t>
          </m:r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300</m:t>
              </m:r>
              <m:r>
                <m:t> </m:t>
              </m:r>
              <m:r>
                <m:rPr>
                  <m:nor/>
                  <m:sty m:val="p"/>
                </m:rPr>
                <m:t>K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Zwei Eigenschaften dieser Kennlinie tragen das ganze Kapitel:</w:t>
      </w:r>
    </w:p>
    <w:p>
      <w:pPr>
        <w:pStyle w:val="Compact"/>
        <w:numPr>
          <w:ilvl w:val="0"/>
          <w:numId w:val="1002"/>
        </w:numPr>
      </w:pPr>
      <w:r>
        <w:t xml:space="preserve">Sie ist</w:t>
      </w:r>
      <w:r>
        <w:t xml:space="preserve"> </w:t>
      </w:r>
      <w:r>
        <w:rPr>
          <w:b/>
          <w:bCs/>
        </w:rPr>
        <w:t xml:space="preserve">steil</w:t>
      </w:r>
      <w:r>
        <w:t xml:space="preserve">: pro</w:t>
      </w:r>
      <w:r>
        <w:t xml:space="preserve"> </w:t>
      </w:r>
      <m:oMath>
        <m:r>
          <m:t>n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10</m:t>
        </m:r>
        <m:r>
          <m:rPr>
            <m:sty m:val="p"/>
          </m:rPr>
          <m:t>≈</m:t>
        </m:r>
        <m:r>
          <m:t>60</m:t>
        </m:r>
        <m:r>
          <m:t> </m:t>
        </m:r>
        <m:r>
          <m:rPr>
            <m:nor/>
            <m:sty m:val="p"/>
          </m:rPr>
          <m:t>mV</m:t>
        </m:r>
      </m:oMath>
      <w:r>
        <w:t xml:space="preserve"> </w:t>
      </w:r>
      <w:r>
        <w:t xml:space="preserve">Spannungserhöhung wächst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um den Faktor 10. Deshalb erscheint</w:t>
      </w:r>
      <w:r>
        <w:t xml:space="preserve"> </w:t>
      </w:r>
      <w:r>
        <w:t xml:space="preserve">die Kennlinie im halblogarithmischen</w:t>
      </w:r>
      <w:r>
        <w:t xml:space="preserve"> </w:t>
      </w:r>
      <w:r>
        <w:rPr>
          <w:b/>
          <w:bCs/>
        </w:rPr>
        <w:t xml:space="preserve">Gummel-Plot</w:t>
      </w:r>
      <w:r>
        <w:t xml:space="preserve"> </w:t>
      </w:r>
      <w:r>
        <w:t xml:space="preserve">als Gerade</w:t>
      </w:r>
      <w:r>
        <w:t xml:space="preserve"> </w:t>
      </w:r>
      <w:r>
        <w:t xml:space="preserve">(Abbildung 6.1) — das nutzen wir in Kapitel 7 zur Bestimmung von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Sie ist</w:t>
      </w:r>
      <w:r>
        <w:t xml:space="preserve"> </w:t>
      </w:r>
      <w:r>
        <w:rPr>
          <w:b/>
          <w:bCs/>
        </w:rPr>
        <w:t xml:space="preserve">nichtlinear</w:t>
      </w:r>
      <w:r>
        <w:t xml:space="preserve">: Jede Schaltungsrechnung mit ihr führt auf</w:t>
      </w:r>
      <w:r>
        <w:t xml:space="preserve"> </w:t>
      </w:r>
      <w:r>
        <w:t xml:space="preserve">transzendente Gleichungen — deshalb brauchten wir Teil II.</w:t>
      </w:r>
    </w:p>
    <w:p>
      <w:pPr>
        <w:pStyle w:val="CaptionedFigure"/>
      </w:pPr>
      <w:r>
        <w:drawing>
          <wp:inline>
            <wp:extent cx="4693920" cy="2738120"/>
            <wp:effectExtent b="0" l="0" r="0" t="0"/>
            <wp:docPr descr="Abbildung 6.1 — Der Gummel-Plot: halblogarithmisch aufgetragen wird die Exponentialkennlinie zur Geraden mit der Steigung 1/(n\,V_T) — eine Dekade Stromzuwachs je n\,V_T\ln 10\approx 60\,\text{mV}. Steigung und Achsenabschnitt dieser Geraden sind die Messgrößen für n und I_S (Kapitel 7)." title="" id="23" name="Picture"/>
            <a:graphic>
              <a:graphicData uri="http://schemas.openxmlformats.org/drawingml/2006/picture">
                <pic:pic>
                  <pic:nvPicPr>
                    <pic:cNvPr descr="../bilder/kap06_gummel_ideal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6.1</w:t>
      </w:r>
      <w:r>
        <w:t xml:space="preserve"> </w:t>
      </w:r>
      <w:r>
        <w:t xml:space="preserve">— Der Gummel-Plot: halblogarithmisch aufgetragen</w:t>
      </w:r>
      <w:r>
        <w:t xml:space="preserve"> </w:t>
      </w:r>
      <w:r>
        <w:t xml:space="preserve">wird die Exponentialkennlinie zur Geraden mit der Steigung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 </m:t>
            </m:r>
            <m:sSub>
              <m:e>
                <m:r>
                  <m:t>V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— eine Dekade Stromzuwachs je</w:t>
      </w:r>
      <w:r>
        <w:t xml:space="preserve"> </w:t>
      </w:r>
      <m:oMath>
        <m:r>
          <m:t>n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ln</m:t>
        </m:r>
        <m:r>
          <m:t>10</m:t>
        </m:r>
        <m:r>
          <m:rPr>
            <m:sty m:val="p"/>
          </m:rPr>
          <m:t>≈</m:t>
        </m:r>
        <m:r>
          <m:t>60</m:t>
        </m:r>
        <m:r>
          <m:t> </m:t>
        </m:r>
        <m:r>
          <m:rPr>
            <m:nor/>
            <m:sty m:val="p"/>
          </m:rPr>
          <m:t>mV</m:t>
        </m:r>
      </m:oMath>
      <w:r>
        <w:t xml:space="preserve">. Steigung und Achsenabschnitt</w:t>
      </w:r>
      <w:r>
        <w:t xml:space="preserve"> </w:t>
      </w:r>
      <w:r>
        <w:t xml:space="preserve">dieser Geraden sind die Messgrößen für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(Kapitel 7).</w:t>
      </w:r>
    </w:p>
    <w:p>
      <w:pPr>
        <w:pStyle w:val="BlockText"/>
      </w:pPr>
      <w:r>
        <w:rPr>
          <w:b/>
          <w:bCs/>
        </w:rPr>
        <w:t xml:space="preserve">Rechenbeispiel 6.1 — die Steilheit greifbar gemacht.</w:t>
      </w:r>
      <w:r>
        <w:t xml:space="preserve"> </w:t>
      </w:r>
      <w:r>
        <w:t xml:space="preserve">Der</w:t>
      </w:r>
      <w:r>
        <w:t xml:space="preserve"> </w:t>
      </w:r>
      <w:r>
        <w:t xml:space="preserve">BC337-25 (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  <m:r>
          <m:t> </m:t>
        </m:r>
      </m:oMath>
      <w:r>
        <w:t xml:space="preserve">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) soll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 </w:t>
      </w:r>
      <w:r>
        <w:t xml:space="preserve">führen. Auflösen der Kennlinie nach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t>T</m:t>
              </m:r>
            </m:sub>
          </m:sSub>
          <m:r>
            <m:t> 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,</m:t>
          </m:r>
          <m:r>
            <m:t>85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⋅</m:t>
          </m:r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,</m:t>
          </m:r>
          <m:r>
            <m:t>85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⋅</m:t>
          </m:r>
          <m:r>
            <m:t>25</m:t>
          </m:r>
          <m:r>
            <m:rPr>
              <m:sty m:val="p"/>
            </m:rPr>
            <m:t>,</m:t>
          </m:r>
          <m:r>
            <m:t>52</m:t>
          </m:r>
          <m:r>
            <m:rPr>
              <m:sty m:val="p"/>
            </m:rPr>
            <m:t>=</m:t>
          </m:r>
          <m:r>
            <m:t>660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Für den</w:t>
      </w:r>
      <w:r>
        <w:t xml:space="preserve"> </w:t>
      </w:r>
      <w:r>
        <w:rPr>
          <w:b/>
          <w:bCs/>
        </w:rPr>
        <w:t xml:space="preserve">doppelten</w:t>
      </w:r>
      <w:r>
        <w:t xml:space="preserve"> </w:t>
      </w:r>
      <w:r>
        <w:t xml:space="preserve">Strom (</w:t>
      </w:r>
      <m:oMath>
        <m:r>
          <m:t>10</m:t>
        </m:r>
        <m:r>
          <m:t> </m:t>
        </m:r>
      </m:oMath>
      <w:r>
        <w:t xml:space="preserve">mA) braucht es nur</w:t>
      </w:r>
      <w:r>
        <w:t xml:space="preserve"> </w:t>
      </w:r>
      <m:oMath>
        <m:r>
          <m:t>25</m:t>
        </m:r>
        <m:r>
          <m:rPr>
            <m:sty m:val="p"/>
          </m:rPr>
          <m:t>,</m:t>
        </m:r>
        <m:r>
          <m:t>85</m:t>
        </m:r>
        <m:r>
          <m:t> </m:t>
        </m:r>
        <m:r>
          <m:rPr>
            <m:nor/>
            <m:sty m:val="p"/>
          </m:rPr>
          <m:t>mV</m:t>
        </m:r>
        <m:r>
          <m:rPr>
            <m:sty m:val="p"/>
          </m:rPr>
          <m:t>⋅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nor/>
            <m:sty m:val="p"/>
          </m:rPr>
          <m:t>mV</m:t>
        </m:r>
      </m:oMath>
      <w:r>
        <w:t xml:space="preserve"> </w:t>
      </w:r>
      <w:r>
        <w:t xml:space="preserve">mehr — die</w:t>
      </w:r>
      <w:r>
        <w:t xml:space="preserve"> </w:t>
      </w:r>
      <w:r>
        <w:t xml:space="preserve">gesamte Nutzstromspanne eines Kleinsignaltransistors spielt sich in</w:t>
      </w:r>
      <w:r>
        <w:t xml:space="preserve"> </w:t>
      </w:r>
      <w:r>
        <w:t xml:space="preserve">wenigen zehn Millivolt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ab. Das erklärt, warum</w:t>
      </w:r>
      <w:r>
        <w:t xml:space="preserve"> </w:t>
      </w:r>
      <w:r>
        <w:t xml:space="preserve">Arbeitspunkte nie über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„eingestellt”, sondern immer über</w:t>
      </w:r>
      <w:r>
        <w:t xml:space="preserve"> </w:t>
      </w:r>
      <w:r>
        <w:t xml:space="preserve">Widerstände</w:t>
      </w:r>
      <w:r>
        <w:t xml:space="preserve"> </w:t>
      </w:r>
      <w:r>
        <w:rPr>
          <w:b/>
          <w:bCs/>
        </w:rPr>
        <w:t xml:space="preserve">stabilisiert</w:t>
      </w:r>
      <w:r>
        <w:t xml:space="preserve"> </w:t>
      </w:r>
      <w:r>
        <w:t xml:space="preserve">werden (Kapitel 8).</w:t>
      </w:r>
    </w:p>
    <w:p>
      <w:pPr>
        <w:pStyle w:val="FirstParagraph"/>
      </w:pPr>
      <w:r>
        <w:t xml:space="preserve">Der Basisstrom folgt im idealen Modell mit konstanter Stromverstärkung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BF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den>
          </m:f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der Praxis ist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jedoch strom- und spannungsabhängig — die</w:t>
      </w:r>
      <w:r>
        <w:t xml:space="preserve"> </w:t>
      </w:r>
      <w:r>
        <w:t xml:space="preserve">Messung in Kapitel 3 hat das bereits gezeigt. Die folgenden Abschnitte</w:t>
      </w:r>
      <w:r>
        <w:t xml:space="preserve"> </w:t>
      </w:r>
      <w:r>
        <w:t xml:space="preserve">bauen diese Abhängigkeiten einzeln ins Modell ein.</w:t>
      </w:r>
    </w:p>
    <w:bookmarkEnd w:id="25"/>
    <w:bookmarkStart w:id="29" w:name="Xe3d0e822597ec5133e75338618ce8cb1f673b3f"/>
    <w:p>
      <w:pPr>
        <w:pStyle w:val="Heading2"/>
      </w:pPr>
      <w:r>
        <w:t xml:space="preserve">6.4 Erste Erweiterung: der Early-Effekt (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VAF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(1) Beobachtung in der Messung.</w:t>
      </w:r>
      <w:r>
        <w:t xml:space="preserve"> </w:t>
      </w:r>
      <w:r>
        <w:t xml:space="preserve">Die gemessenen Ausgangskennlinien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C</m:t>
                </m:r>
                <m:r>
                  <m:t>E</m:t>
                </m:r>
              </m:sub>
            </m:sSub>
          </m:e>
        </m:d>
      </m:oMath>
      <w:r>
        <w:t xml:space="preserve"> </w:t>
      </w:r>
      <w:r>
        <w:t xml:space="preserve">sind im aktiven Bereich nicht exakt waagerecht — sie</w:t>
      </w:r>
      <w:r>
        <w:t xml:space="preserve"> </w:t>
      </w:r>
      <w:r>
        <w:t xml:space="preserve">steigen leicht mit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an. Das ideale Modell aus 6.3 kennt aber gar</w:t>
      </w:r>
      <w:r>
        <w:t xml:space="preserve"> </w:t>
      </w:r>
      <w:r>
        <w:t xml:space="preserve">keine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-Abhängigkeit. Hier fehlt also ein Effekt.</w:t>
      </w:r>
    </w:p>
    <w:p>
      <w:pPr>
        <w:pStyle w:val="BodyText"/>
      </w:pPr>
      <w:r>
        <w:rPr>
          <w:b/>
          <w:bCs/>
        </w:rPr>
        <w:t xml:space="preserve">(2) Physikalische Ursache.</w:t>
      </w:r>
      <w:r>
        <w:t xml:space="preserve"> </w:t>
      </w:r>
      <w:r>
        <w:t xml:space="preserve">Steigt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, weitet sich die</w:t>
      </w:r>
      <w:r>
        <w:t xml:space="preserve"> </w:t>
      </w:r>
      <w:r>
        <w:t xml:space="preserve">Raumladungszone des gesperrten Kollektor-Basis-Übergangs in die Basis</w:t>
      </w:r>
      <w:r>
        <w:t xml:space="preserve"> </w:t>
      </w:r>
      <w:r>
        <w:t xml:space="preserve">hinein aus. Die</w:t>
      </w:r>
      <w:r>
        <w:t xml:space="preserve"> </w:t>
      </w:r>
      <w:r>
        <w:rPr>
          <w:b/>
          <w:bCs/>
        </w:rPr>
        <w:t xml:space="preserve">effektive Basisweite sinkt</w:t>
      </w:r>
      <w:r>
        <w:t xml:space="preserve"> </w:t>
      </w:r>
      <w:r>
        <w:t xml:space="preserve">(Basisweitenmodulation),</w:t>
      </w:r>
      <w:r>
        <w:t xml:space="preserve"> </w:t>
      </w:r>
      <w:r>
        <w:t xml:space="preserve">der Diffusionsgradient der Elektronen in der Basis wird steiler — und</w:t>
      </w:r>
      <w:r>
        <w:t xml:space="preserve"> </w:t>
      </w:r>
      <w:r>
        <w:t xml:space="preserve">mit ihm steigt der Kollektorstrom. Dieser Effekt heißt nach James Early</w:t>
      </w:r>
      <w:r>
        <w:t xml:space="preserve"> </w:t>
      </w:r>
      <w:r>
        <w:t xml:space="preserve">(1952)</w:t>
      </w:r>
      <w:r>
        <w:t xml:space="preserve"> </w:t>
      </w:r>
      <w:r>
        <w:rPr>
          <w:b/>
          <w:bCs/>
        </w:rPr>
        <w:t xml:space="preserve">Early-Effekt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(3) Modellterm.</w:t>
      </w:r>
      <w:r>
        <w:t xml:space="preserve"> </w:t>
      </w:r>
      <w:r>
        <w:t xml:space="preserve">Die Kennlinie erhält einen linearen Korrekturfaktor: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  <m:r>
                <m:t> 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V</m:t>
                      </m:r>
                    </m:e>
                    <m:sub>
                      <m:r>
                        <m:t>B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n</m:t>
                      </m:r>
                      <m:r>
                        <m:t> 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C</m:t>
                          </m:r>
                          <m:r>
                            <m:t>E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d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mit der</w:t>
      </w:r>
      <w:r>
        <w:t xml:space="preserve"> </w:t>
      </w:r>
      <w:r>
        <w:rPr>
          <w:b/>
          <w:bCs/>
        </w:rPr>
        <w:t xml:space="preserve">Early-Spannung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VAF</w:t>
      </w:r>
      <w:r>
        <w:t xml:space="preserve">, typisch 50–200 V).</w:t>
      </w:r>
    </w:p>
    <w:p>
      <w:pPr>
        <w:pStyle w:val="BodyText"/>
      </w:pPr>
      <w:r>
        <w:rPr>
          <w:b/>
          <w:bCs/>
        </w:rPr>
        <w:t xml:space="preserve">(4) Geometrische Deutung — zugleich Messvorschrift.</w:t>
      </w:r>
      <w:r>
        <w:t xml:space="preserve"> </w:t>
      </w:r>
      <w:r>
        <w:t xml:space="preserve">Extrapoliert</w:t>
      </w:r>
      <w:r>
        <w:t xml:space="preserve"> </w:t>
      </w:r>
      <w:r>
        <w:t xml:space="preserve">man die flachen Äste aller Ausgangskennlinien nach links, schneiden sie</w:t>
      </w:r>
      <w:r>
        <w:t xml:space="preserve"> </w:t>
      </w:r>
      <w:r>
        <w:t xml:space="preserve">die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 (näherungsweise) in</w:t>
      </w:r>
      <w:r>
        <w:t xml:space="preserve"> </w:t>
      </w:r>
      <w:r>
        <w:rPr>
          <w:b/>
          <w:bCs/>
        </w:rPr>
        <w:t xml:space="preserve">einem gemeinsamen Punkt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(Abbildung 6.2). Je größer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 desto flacher die</w:t>
      </w:r>
      <w:r>
        <w:t xml:space="preserve"> </w:t>
      </w:r>
      <w:r>
        <w:t xml:space="preserve">Kennlinien, desto idealer der Transistor. Genau diese Konstruktion wird</w:t>
      </w:r>
      <w:r>
        <w:t xml:space="preserve"> </w:t>
      </w:r>
      <w:r>
        <w:t xml:space="preserve">in Kapitel 7 zur Bestimmung von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verwendet — der Modellterm</w:t>
      </w:r>
      <w:r>
        <w:t xml:space="preserve"> </w:t>
      </w:r>
      <w:r>
        <w:t xml:space="preserve">liefert seine Messvorschrift also gleich mit.</w:t>
      </w:r>
    </w:p>
    <w:p>
      <w:pPr>
        <w:pStyle w:val="CaptionedFigure"/>
      </w:pPr>
      <w:r>
        <w:drawing>
          <wp:inline>
            <wp:extent cx="4907280" cy="2862580"/>
            <wp:effectExtent b="0" l="0" r="0" t="0"/>
            <wp:docPr descr="Abbildung 6.2 — Early-Konstruktion am Modell (BC337-25, V_A=146\,V): Die im Messbereich (rechts, durchgezogen) fast flachen Ausgangskennlinien treffen sich rückwärts verlängert (gestrichelt) im gemeinsamen Punkt -V_A auf der V_{CE}-Achse." title="" id="27" name="Picture"/>
            <a:graphic>
              <a:graphicData uri="http://schemas.openxmlformats.org/drawingml/2006/picture">
                <pic:pic>
                  <pic:nvPicPr>
                    <pic:cNvPr descr="../bilder/kap06_early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286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6.2</w:t>
      </w:r>
      <w:r>
        <w:t xml:space="preserve"> </w:t>
      </w:r>
      <w:r>
        <w:t xml:space="preserve">— Early-Konstruktion am Modell (BC337-25,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146</m:t>
        </m:r>
        <m:r>
          <m:t> </m:t>
        </m:r>
      </m:oMath>
      <w:r>
        <w:t xml:space="preserve">V): Die im Messbereich (rechts, durchgezogen) fast flachen</w:t>
      </w:r>
      <w:r>
        <w:t xml:space="preserve"> </w:t>
      </w:r>
      <w:r>
        <w:t xml:space="preserve">Ausgangskennlinien treffen sich rückwärts verlängert (gestrichelt) im</w:t>
      </w:r>
      <w:r>
        <w:t xml:space="preserve"> </w:t>
      </w:r>
      <w:r>
        <w:t xml:space="preserve">gemeinsamen Punkt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auf der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-Achse.</w:t>
      </w:r>
    </w:p>
    <w:p>
      <w:pPr>
        <w:pStyle w:val="BlockText"/>
      </w:pPr>
      <w:r>
        <w:rPr>
          <w:b/>
          <w:bCs/>
        </w:rPr>
        <w:t xml:space="preserve">Rechenbeispiel 6.2 — wie groß ist der Effekt?</w:t>
      </w:r>
      <w:r>
        <w:t xml:space="preserve"> </w:t>
      </w:r>
      <w:r>
        <w:t xml:space="preserve">Arbeitspunkt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 </w:t>
      </w:r>
      <w:r>
        <w:t xml:space="preserve">bei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146</m:t>
        </m:r>
        <m:r>
          <m:t> </m:t>
        </m:r>
      </m:oMath>
      <w:r>
        <w:t xml:space="preserve">V. Steigt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um</w:t>
      </w:r>
      <w:r>
        <w:t xml:space="preserve"> </w:t>
      </w:r>
      <m:oMath>
        <m:r>
          <m:t>5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 </w:t>
      </w:r>
      <w:r>
        <w:t xml:space="preserve">auf</w:t>
      </w:r>
      <w:r>
        <w:t xml:space="preserve"> </w:t>
      </w:r>
      <m:oMath>
        <m:r>
          <m:t>10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, wächst der</w:t>
      </w:r>
      <w:r>
        <w:t xml:space="preserve"> </w:t>
      </w:r>
      <w:r>
        <w:t xml:space="preserve">Kollektorstrom um den Faktor</w:t>
      </w:r>
    </w:p>
    <w:p>
      <w:pPr>
        <w:pStyle w:val="Block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146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146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,</m:t>
              </m:r>
              <m:r>
                <m:t>0685</m:t>
              </m:r>
            </m:num>
            <m:den>
              <m:r>
                <m:t>1</m:t>
              </m:r>
              <m:r>
                <m:rPr>
                  <m:sty m:val="p"/>
                </m:rPr>
                <m:t>,</m:t>
              </m:r>
              <m:r>
                <m:t>0342</m:t>
              </m:r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033</m:t>
          </m:r>
          <m:r>
            <m:rPr>
              <m:sty m:val="p"/>
            </m:rPr>
            <m:t>,</m:t>
          </m:r>
        </m:oMath>
      </m:oMathPara>
    </w:p>
    <w:p>
      <w:pPr>
        <w:pStyle w:val="BlockText"/>
      </w:pPr>
      <w:r>
        <w:t xml:space="preserve">also um</w:t>
      </w:r>
      <w:r>
        <w:t xml:space="preserve"> </w:t>
      </w:r>
      <w:r>
        <w:rPr>
          <w:b/>
          <w:bCs/>
        </w:rPr>
        <w:t xml:space="preserve">3,3 %</w:t>
      </w:r>
      <w:r>
        <w:t xml:space="preserve"> </w:t>
      </w:r>
      <w:r>
        <w:t xml:space="preserve">auf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17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. Klein — aber genau diese</w:t>
      </w:r>
      <w:r>
        <w:t xml:space="preserve"> </w:t>
      </w:r>
      <w:r>
        <w:t xml:space="preserve">3 % sind die endliche Steigung, die der Kurventracer sichtbar macht,</w:t>
      </w:r>
      <w:r>
        <w:t xml:space="preserve"> </w:t>
      </w:r>
      <w:r>
        <w:t xml:space="preserve">und ihr Kehrwert bestimmt den Ausgangswiderstand: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146</m:t>
        </m:r>
        <m:r>
          <m:t> </m:t>
        </m:r>
        <m:r>
          <m:rPr>
            <m:nor/>
            <m:sty m:val="p"/>
          </m:rPr>
          <m:t>V</m:t>
        </m:r>
        <m:r>
          <m:rPr>
            <m:sty m:val="p"/>
          </m:rPr>
          <m:t>/</m:t>
        </m:r>
        <m:r>
          <m:t>5</m:t>
        </m:r>
        <m:r>
          <m:t> </m:t>
        </m:r>
        <m:r>
          <m:rPr>
            <m:nor/>
            <m:sty m:val="p"/>
          </m:rPr>
          <m:t>mA</m:t>
        </m:r>
        <m:r>
          <m:rPr>
            <m:sty m:val="p"/>
          </m:rPr>
          <m:t>=</m:t>
        </m:r>
        <m:r>
          <m:t>29</m:t>
        </m:r>
        <m:r>
          <m:t> </m:t>
        </m:r>
        <m:r>
          <m:rPr>
            <m:nor/>
            <m:sty m:val="p"/>
          </m:rPr>
          <m:t>k</m:t>
        </m:r>
        <m:r>
          <m:t>Ω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(5) Konsequenz für das Kleinsignalverhalten.</w:t>
      </w:r>
      <w:r>
        <w:t xml:space="preserve"> </w:t>
      </w:r>
      <w:r>
        <w:t xml:space="preserve">Ableiten der</w:t>
      </w:r>
      <w:r>
        <w:t xml:space="preserve"> </w:t>
      </w:r>
      <w:r>
        <w:t xml:space="preserve">Early-Gleichung nach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 </w:t>
      </w:r>
      <w:r>
        <w:t xml:space="preserve">ergibt den differentiellen</w:t>
      </w:r>
      <w:r>
        <w:t xml:space="preserve"> </w:t>
      </w:r>
      <w:r>
        <w:t xml:space="preserve">Ausgangsleitwert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t> </m:t>
          </m:r>
          <m:r>
            <m:rPr>
              <m:sty m:val="p"/>
            </m:rPr>
            <m:t>≈</m:t>
          </m:r>
          <m:r>
            <m:t> 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denn der Ausdruck vor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ist gerade der</w:t>
      </w:r>
      <w:r>
        <w:t xml:space="preserve"> </w:t>
      </w:r>
      <w:r>
        <w:t xml:space="preserve">Arbeitspunkt-Kollektorstrom. Der Early-Effekt ist damit der physikalische</w:t>
      </w:r>
      <w:r>
        <w:t xml:space="preserve"> </w:t>
      </w:r>
      <w:r>
        <w:t xml:space="preserve">Ursprung des endlichen Ausgangswiderstands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≈</m:t>
        </m:r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diesen Faden nehmen wir in Kapitel 11 (</w:t>
      </w:r>
      <m:oMath>
        <m:sSub>
          <m:e>
            <m:r>
              <m:t>h</m:t>
            </m:r>
          </m:e>
          <m:sub>
            <m:r>
              <m:t>22</m:t>
            </m:r>
            <m:r>
              <m:t>e</m:t>
            </m:r>
          </m:sub>
        </m:sSub>
      </m:oMath>
      <w:r>
        <w:t xml:space="preserve">) wieder auf.</w:t>
      </w:r>
    </w:p>
    <w:p>
      <w:pPr>
        <w:pStyle w:val="BodyText"/>
      </w:pPr>
      <w:r>
        <w:rPr>
          <w:b/>
          <w:bCs/>
        </w:rPr>
        <w:t xml:space="preserve">(6) Zahlenbeispiel BC337-25.</w:t>
      </w:r>
      <w:r>
        <w:t xml:space="preserve"> </w:t>
      </w:r>
      <w:r>
        <w:t xml:space="preserve">Aus den Messungen (Kapitel 7) folgt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  <m:r>
          <m:rPr>
            <m:sty m:val="p"/>
          </m:rPr>
          <m:t>≈</m:t>
        </m:r>
        <m:r>
          <m:t>146</m:t>
        </m:r>
        <m:r>
          <m:t> </m:t>
        </m:r>
        <m:r>
          <m:rPr>
            <m:nor/>
            <m:sty m:val="p"/>
          </m:rPr>
          <m:t>V</m:t>
        </m:r>
      </m:oMath>
      <w:r>
        <w:t xml:space="preserve">; das Datenblatt-SPICE-Modell nennt</w:t>
      </w:r>
      <w:r>
        <w:t xml:space="preserve"> </w:t>
      </w:r>
      <w:r>
        <w:t xml:space="preserve">145,7 V — eine erste Bestätigung, dass Modellterm und Wirklichkeit</w:t>
      </w:r>
      <w:r>
        <w:t xml:space="preserve"> </w:t>
      </w:r>
      <w:r>
        <w:t xml:space="preserve">zusammenpassen.</w:t>
      </w:r>
    </w:p>
    <w:bookmarkEnd w:id="29"/>
    <w:bookmarkStart w:id="30" w:name="X6fc7b06561e8b9660e13c2b0862888dbcc03d75"/>
    <w:p>
      <w:pPr>
        <w:pStyle w:val="Heading2"/>
      </w:pPr>
      <w:r>
        <w:t xml:space="preserve">6.5 Zweite Erweiterung: der Basis-Early-Effekt 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VAR</w:t>
      </w:r>
      <w:r>
        <w:t xml:space="preserve">)</w:t>
      </w:r>
    </w:p>
    <w:p>
      <w:pPr>
        <w:pStyle w:val="FirstParagraph"/>
      </w:pPr>
      <w:r>
        <w:t xml:space="preserve">Die Basisweitenmodulation verändert nicht nur den Kollektorstrom,</w:t>
      </w:r>
      <w:r>
        <w:t xml:space="preserve"> </w:t>
      </w:r>
      <w:r>
        <w:t xml:space="preserve">sondern auch den</w:t>
      </w:r>
      <w:r>
        <w:t xml:space="preserve"> </w:t>
      </w:r>
      <w:r>
        <w:rPr>
          <w:b/>
          <w:bCs/>
        </w:rPr>
        <w:t xml:space="preserve">Basisstrom</w:t>
      </w:r>
      <w:r>
        <w:t xml:space="preserve"> </w:t>
      </w:r>
      <w:r>
        <w:t xml:space="preserve">— dieselbe Ursache, ein zweiter</w:t>
      </w:r>
      <w:r>
        <w:t xml:space="preserve"> </w:t>
      </w:r>
      <w:r>
        <w:t xml:space="preserve">Wirkungsort. SPICE modelliert dies analog mit der</w:t>
      </w:r>
      <w:r>
        <w:t xml:space="preserve"> </w:t>
      </w:r>
      <w:r>
        <w:rPr>
          <w:b/>
          <w:bCs/>
        </w:rPr>
        <w:t xml:space="preserve">Basis-Early-Spannung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VAR</w:t>
      </w:r>
      <w:r>
        <w:t xml:space="preserve">, typisch 100–500 V):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den>
          </m:f>
          <m:r>
            <m:t> </m:t>
          </m:r>
          <m:sSup>
            <m:e>
              <m:r>
                <m:t>e</m:t>
              </m:r>
            </m:e>
            <m:sup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t> 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</m:num>
                <m:den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(Die Größen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werden in den</w:t>
      </w:r>
      <w:r>
        <w:t xml:space="preserve"> </w:t>
      </w:r>
      <w:r>
        <w:t xml:space="preserve">nächsten beiden Abschnitten eingeführt; für den Moment gilt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.)</w:t>
      </w:r>
    </w:p>
    <w:p>
      <w:pPr>
        <w:pStyle w:val="BodyText"/>
      </w:pPr>
      <w:r>
        <w:t xml:space="preserve">Für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verschwindet der Effekt. In der Praxis ist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 </w:t>
      </w:r>
      <w:r>
        <w:t xml:space="preserve">meist deutlich größer als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— der Basis-Early-Effekt ist</w:t>
      </w:r>
      <w:r>
        <w:t xml:space="preserve"> </w:t>
      </w:r>
      <w:r>
        <w:t xml:space="preserve">also schwächer als sein Kollektor-Gegenstück. Er wirkt unscheinbar,</w:t>
      </w:r>
      <w:r>
        <w:t xml:space="preserve"> </w:t>
      </w:r>
      <w:r>
        <w:t xml:space="preserve">trägt aber eine wichtige Konsequenz: Er ist die physikalische Quelle</w:t>
      </w:r>
      <w:r>
        <w:t xml:space="preserve"> </w:t>
      </w:r>
      <w:r>
        <w:t xml:space="preserve">der</w:t>
      </w:r>
      <w:r>
        <w:t xml:space="preserve"> </w:t>
      </w:r>
      <w:r>
        <w:rPr>
          <w:b/>
          <w:bCs/>
        </w:rPr>
        <w:t xml:space="preserve">Spannungsrückwirkung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</m:oMath>
      <w:r>
        <w:t xml:space="preserve"> </w:t>
      </w:r>
      <w:r>
        <w:t xml:space="preserve">im Vierpolmodell (Kapitel 11).</w:t>
      </w:r>
      <w:r>
        <w:t xml:space="preserve"> </w:t>
      </w:r>
      <w:r>
        <w:t xml:space="preserve">Ein Modell ohne</w:t>
      </w:r>
      <w:r>
        <w:t xml:space="preserve"> </w:t>
      </w:r>
      <w:r>
        <w:rPr>
          <w:rStyle w:val="VerbatimChar"/>
        </w:rPr>
        <w:t xml:space="preserve">VAR</w:t>
      </w:r>
      <w:r>
        <w:t xml:space="preserve"> </w:t>
      </w:r>
      <w:r>
        <w:t xml:space="preserve">hat zwingend</w:t>
      </w:r>
      <w:r>
        <w:t xml:space="preserve"> </w:t>
      </w:r>
      <m:oMath>
        <m:sSub>
          <m:e>
            <m:r>
              <m:t>h</m:t>
            </m:r>
          </m:e>
          <m:sub>
            <m:r>
              <m:t>12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das werden wir dort</w:t>
      </w:r>
      <w:r>
        <w:t xml:space="preserve"> </w:t>
      </w:r>
      <w:r>
        <w:t xml:space="preserve">als benannte Modellgrenze wiederfinden.</w:t>
      </w:r>
    </w:p>
    <w:bookmarkEnd w:id="30"/>
    <w:bookmarkStart w:id="34" w:name="X8fddc77bd4093c4b329055a7b1e4a6cdf609858"/>
    <w:p>
      <w:pPr>
        <w:pStyle w:val="Heading2"/>
      </w:pPr>
      <w:r>
        <w:t xml:space="preserve">6.6 Dritte Erweiterung: Hochinjektion 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IKF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(1) Beobachtung.</w:t>
      </w:r>
      <w:r>
        <w:t xml:space="preserve"> </w:t>
      </w:r>
      <w:r>
        <w:t xml:space="preserve">Trägt man die gemessene Stromverstärkung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auf, fällt sie bei großen Strömen ab</w:t>
      </w:r>
      <w:r>
        <w:t xml:space="preserve"> </w:t>
      </w:r>
      <w:r>
        <w:t xml:space="preserve">(Abbildung 6.3). Das ideale Modell mit konstantem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kann das</w:t>
      </w:r>
      <w:r>
        <w:t xml:space="preserve"> </w:t>
      </w:r>
      <w:r>
        <w:t xml:space="preserve">nicht erklären.</w:t>
      </w:r>
    </w:p>
    <w:p>
      <w:pPr>
        <w:pStyle w:val="CaptionedFigure"/>
      </w:pPr>
      <w:r>
        <w:drawing>
          <wp:inline>
            <wp:extent cx="4693920" cy="2738120"/>
            <wp:effectExtent b="0" l="0" r="0" t="0"/>
            <wp:docPr descr="Abbildung 6.3 — Hochinjektion beim BC337-25: unterhalb des Kniestroms I_{KF}=0{,}9\,A gilt \beta\approx\beta_F; bei I_C=I_{KF} ist die Verstärkung auf \beta_F/\sqrt2 gefallen, weit darüber sinkt sie mit 1/\sqrt{I_C}. Grün markiert: der Messbereich des Kennlinienschreibers aus Kapitel 7 — er endet zwei Dekaden vor dem Knie." title="" id="32" name="Picture"/>
            <a:graphic>
              <a:graphicData uri="http://schemas.openxmlformats.org/drawingml/2006/picture">
                <pic:pic>
                  <pic:nvPicPr>
                    <pic:cNvPr descr="../bilder/kap06_betaeff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6.3</w:t>
      </w:r>
      <w:r>
        <w:t xml:space="preserve"> </w:t>
      </w:r>
      <w:r>
        <w:t xml:space="preserve">— Hochinjektion beim BC337-25: unterhalb des</w:t>
      </w:r>
      <w:r>
        <w:t xml:space="preserve"> </w:t>
      </w:r>
      <w:r>
        <w:t xml:space="preserve">Kniestroms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</m:oMath>
      <w:r>
        <w:t xml:space="preserve">A gilt</w:t>
      </w:r>
      <w:r>
        <w:t xml:space="preserve"> </w:t>
      </w:r>
      <m:oMath>
        <m:r>
          <m:t>β</m:t>
        </m:r>
        <m:r>
          <m:rPr>
            <m:sty m:val="p"/>
          </m:rPr>
          <m:t>≈</m:t>
        </m:r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;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ist die Verstärkung auf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gefallen, weit</w:t>
      </w:r>
      <w:r>
        <w:t xml:space="preserve"> </w:t>
      </w:r>
      <w:r>
        <w:t xml:space="preserve">darüber sinkt sie mit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rad>
      </m:oMath>
      <w:r>
        <w:t xml:space="preserve">. Grün markiert: der Messbereich</w:t>
      </w:r>
      <w:r>
        <w:t xml:space="preserve"> </w:t>
      </w:r>
      <w:r>
        <w:t xml:space="preserve">des Kennlinienschreibers aus Kapitel 7 — er endet zwei Dekaden</w:t>
      </w:r>
      <w:r>
        <w:t xml:space="preserve"> </w:t>
      </w:r>
      <w:r>
        <w:rPr>
          <w:b/>
          <w:bCs/>
        </w:rPr>
        <w:t xml:space="preserve">vor</w:t>
      </w:r>
      <w:r>
        <w:t xml:space="preserve"> </w:t>
      </w:r>
      <w:r>
        <w:t xml:space="preserve">dem Knie.</w:t>
      </w:r>
    </w:p>
    <w:p>
      <w:pPr>
        <w:pStyle w:val="BodyText"/>
      </w:pPr>
      <w:r>
        <w:rPr>
          <w:b/>
          <w:bCs/>
        </w:rPr>
        <w:t xml:space="preserve">(2) Physikalische Ursache.</w:t>
      </w:r>
      <w:r>
        <w:t xml:space="preserve"> </w:t>
      </w:r>
      <w:r>
        <w:t xml:space="preserve">Bei großen Kollektorströmen wird die</w:t>
      </w:r>
      <w:r>
        <w:t xml:space="preserve"> </w:t>
      </w:r>
      <w:r>
        <w:t xml:space="preserve">injizierte Ladungsträgerdichte in der Basis mit der</w:t>
      </w:r>
      <w:r>
        <w:t xml:space="preserve"> </w:t>
      </w:r>
      <w:r>
        <w:rPr>
          <w:b/>
          <w:bCs/>
        </w:rPr>
        <w:t xml:space="preserve">Basisdotierung vergleichbar</w:t>
      </w:r>
      <w:r>
        <w:t xml:space="preserve"> </w:t>
      </w:r>
      <w:r>
        <w:t xml:space="preserve">— man spricht von</w:t>
      </w:r>
      <w:r>
        <w:t xml:space="preserve"> </w:t>
      </w:r>
      <w:r>
        <w:rPr>
          <w:b/>
          <w:bCs/>
        </w:rPr>
        <w:t xml:space="preserve">Hochinjektion</w:t>
      </w:r>
      <w:r>
        <w:t xml:space="preserve">.</w:t>
      </w:r>
      <w:r>
        <w:t xml:space="preserve"> </w:t>
      </w:r>
      <w:r>
        <w:t xml:space="preserve">Zwei Mechanismen drücken dann die Verstärkung: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Webster-Effekt:</w:t>
      </w:r>
      <w:r>
        <w:t xml:space="preserve"> </w:t>
      </w:r>
      <w:r>
        <w:t xml:space="preserve">Die Rekombination in der Basis wächst</w:t>
      </w:r>
      <w:r>
        <w:t xml:space="preserve"> </w:t>
      </w:r>
      <w:r>
        <w:t xml:space="preserve">überproportional, das Verhältnis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sinkt.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Kirk-Effekt:</w:t>
      </w:r>
      <w:r>
        <w:t xml:space="preserve"> </w:t>
      </w:r>
      <w:r>
        <w:t xml:space="preserve">Bei sehr hohen Stromdichten verlagert sich die</w:t>
      </w:r>
      <w:r>
        <w:t xml:space="preserve"> </w:t>
      </w:r>
      <w:r>
        <w:t xml:space="preserve">Kollektor-Raumladungszone in die Epitaxieschicht — die Basis „weitet</w:t>
      </w:r>
      <w:r>
        <w:t xml:space="preserve"> </w:t>
      </w:r>
      <w:r>
        <w:t xml:space="preserve">sich aus”.</w:t>
      </w:r>
    </w:p>
    <w:p>
      <w:pPr>
        <w:pStyle w:val="FirstParagraph"/>
      </w:pPr>
      <w:r>
        <w:rPr>
          <w:b/>
          <w:bCs/>
        </w:rPr>
        <w:t xml:space="preserve">(3) Herleitung des Modellterms.</w:t>
      </w:r>
      <w:r>
        <w:t xml:space="preserve"> </w:t>
      </w:r>
      <w:r>
        <w:t xml:space="preserve">Das Gummel-Poon-Modell fasst beide</w:t>
      </w:r>
      <w:r>
        <w:t xml:space="preserve"> </w:t>
      </w:r>
      <w:r>
        <w:t xml:space="preserve">Mechanismen über die</w:t>
      </w:r>
      <w:r>
        <w:t xml:space="preserve"> </w:t>
      </w:r>
      <w:r>
        <w:rPr>
          <w:b/>
          <w:bCs/>
        </w:rPr>
        <w:t xml:space="preserve">normierte Basisladung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B</m:t>
            </m:r>
            <m:r>
              <m:t>0</m:t>
            </m:r>
          </m:sub>
        </m:sSub>
      </m:oMath>
      <w:r>
        <w:t xml:space="preserve"> </w:t>
      </w:r>
      <w:r>
        <w:t xml:space="preserve">zusammen. Näherungsweise gilt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mit den beiden Grenzfällen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≪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r>
            <m:t> 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>
            <m:t>1</m:t>
          </m:r>
          <m:r>
            <m:t> </m:t>
          </m:r>
          <m:r>
            <m:rPr>
              <m:nor/>
              <m:sty m:val="p"/>
            </m:rPr>
            <m:t>(normale Basisladung)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I</m:t>
              </m:r>
            </m:e>
            <m:sub>
              <m:r>
                <m:t>K</m:t>
              </m:r>
              <m:r>
                <m:t>F</m:t>
              </m:r>
            </m:sub>
          </m:sSub>
          <m:r>
            <m:rPr>
              <m:sty m:val="p"/>
            </m:rPr>
            <m:t>:</m:t>
          </m:r>
          <m:r>
            <m:t> </m:t>
          </m:r>
          <m:sSub>
            <m:e>
              <m:r>
                <m:t>q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num>
                <m:den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  <m:r>
                        <m:t>F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Da der Transportstrom umgekehrt proportional zur Basisladung ist</w:t>
      </w:r>
      <w:r>
        <w:t xml:space="preserve"> </w:t>
      </w:r>
      <w:r>
        <w:t xml:space="preserve">(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), wird die wirksame Verstärkung durch</w:t>
      </w:r>
      <w:r>
        <w:t xml:space="preserve"> </w:t>
      </w:r>
      <m:oMath>
        <m:sSub>
          <m:e>
            <m:r>
              <m:t>q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geteilt: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sSub>
                    <m:e>
                      <m:r>
                        <m:t>q</m:t>
                      </m:r>
                    </m:e>
                    <m:sub>
                      <m:r>
                        <m:t>B</m:t>
                      </m:r>
                    </m:sub>
                  </m:sSub>
                </m:den>
              </m:f>
              <m:r>
                <m:t> </m:t>
              </m:r>
              <m:r>
                <m:rPr>
                  <m:sty m:val="p"/>
                </m:rPr>
                <m:t>≈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β</m:t>
                      </m:r>
                    </m:e>
                    <m:sub>
                      <m:r>
                        <m:t>F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I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t>F</m:t>
                              </m:r>
                            </m:sub>
                          </m:sSub>
                        </m:den>
                      </m:f>
                    </m:e>
                  </m:rad>
                </m:den>
              </m:f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Der</w:t>
      </w:r>
      <w:r>
        <w:t xml:space="preserve"> </w:t>
      </w:r>
      <w:r>
        <w:rPr>
          <w:b/>
          <w:bCs/>
        </w:rPr>
        <w:t xml:space="preserve">Vorwärts-Kniestrom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IKF</w:t>
      </w:r>
      <w:r>
        <w:t xml:space="preserve">, typisch</w:t>
      </w:r>
      <w:r>
        <w:t xml:space="preserve"> </w:t>
      </w:r>
      <w:r>
        <w:t xml:space="preserve">10 mA–1 A) markiert die Grenze: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ist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um den</w:t>
      </w:r>
      <w:r>
        <w:t xml:space="preserve"> </w:t>
      </w:r>
      <w:r>
        <w:t xml:space="preserve">Faktor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gefallen; weit darüber sinkt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mit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I</m:t>
                </m:r>
              </m:e>
              <m:sub>
                <m:r>
                  <m:t>C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(4) Zahlenbeispiel — und eine wichtige Vorwegnahme.</w:t>
      </w:r>
      <w:r>
        <w:t xml:space="preserve"> </w:t>
      </w:r>
      <w:r>
        <w:t xml:space="preserve">Für den</w:t>
      </w:r>
      <w:r>
        <w:t xml:space="preserve"> </w:t>
      </w:r>
      <w:r>
        <w:t xml:space="preserve">BC337-25 gilt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nor/>
            <m:sty m:val="p"/>
          </m:rPr>
          <m:t>A</m:t>
        </m:r>
      </m:oMath>
      <w:r>
        <w:t xml:space="preserve">. Unsere Kennlinien wurden</w:t>
      </w:r>
      <w:r>
        <w:t xml:space="preserve"> </w:t>
      </w:r>
      <w:r>
        <w:t xml:space="preserve">bis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≤</m:t>
        </m:r>
        <m:r>
          <m:t>11</m:t>
        </m:r>
        <m:r>
          <m:t> </m:t>
        </m:r>
        <m:r>
          <m:rPr>
            <m:nor/>
            <m:sty m:val="p"/>
          </m:rPr>
          <m:t>mA</m:t>
        </m:r>
      </m:oMath>
      <w:r>
        <w:t xml:space="preserve"> </w:t>
      </w:r>
      <w:r>
        <w:t xml:space="preserve">gemessen, also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≲</m:t>
        </m:r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011</m:t>
                  </m:r>
                  <m:r>
                    <m:rPr>
                      <m:sty m:val="p"/>
                    </m:rPr>
                    <m:t>/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292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0122</m:t>
                  </m:r>
                </m:e>
              </m:rad>
            </m:den>
          </m:f>
          <m:r>
            <m:rPr>
              <m:sty m:val="p"/>
            </m:rPr>
            <m:t>=</m:t>
          </m:r>
          <m:r>
            <m:t>290</m:t>
          </m:r>
          <m:r>
            <m:rPr>
              <m:sty m:val="p"/>
            </m:rPr>
            <m:t>,</m:t>
          </m:r>
          <m:r>
            <m:t>2</m:t>
          </m:r>
        </m:oMath>
      </m:oMathPara>
    </w:p>
    <w:p>
      <w:pPr>
        <w:pStyle w:val="FirstParagraph"/>
      </w:pPr>
      <w:r>
        <w:t xml:space="preserve">— ein Abfall um</w:t>
      </w:r>
      <w:r>
        <w:t xml:space="preserve"> </w:t>
      </w:r>
      <w:r>
        <w:rPr>
          <w:b/>
          <w:bCs/>
        </w:rPr>
        <w:t xml:space="preserve">0,6 %</w:t>
      </w:r>
      <w:r>
        <w:t xml:space="preserve">, unterhalb jeder Messauflösung. Erst bei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</m:t>
        </m:r>
        <m:r>
          <m:t> </m:t>
        </m:r>
      </m:oMath>
      <w:r>
        <w:t xml:space="preserve">A fiele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auf</w:t>
      </w:r>
      <w:r>
        <w:t xml:space="preserve"> </w:t>
      </w:r>
      <m:oMath>
        <m:r>
          <m:t>292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206</m:t>
        </m:r>
      </m:oMath>
      <w:r>
        <w:t xml:space="preserve">. Der Abfall liegt also</w:t>
      </w:r>
      <w:r>
        <w:t xml:space="preserve"> </w:t>
      </w:r>
      <w:r>
        <w:rPr>
          <w:b/>
          <w:bCs/>
        </w:rPr>
        <w:t xml:space="preserve">außerhalb des</w:t>
      </w:r>
      <w:r>
        <w:rPr>
          <w:b/>
          <w:bCs/>
        </w:rPr>
        <w:t xml:space="preserve"> </w:t>
      </w:r>
      <w:r>
        <w:rPr>
          <w:b/>
          <w:bCs/>
        </w:rPr>
        <w:t xml:space="preserve">Messfensters</w:t>
      </w:r>
      <w:r>
        <w:t xml:space="preserve"> </w:t>
      </w:r>
      <w:r>
        <w:t xml:space="preserve">(grüner Bereich in Abbildung 6.3). Das hat eine</w:t>
      </w:r>
      <w:r>
        <w:t xml:space="preserve"> </w:t>
      </w:r>
      <w:r>
        <w:t xml:space="preserve">Konsequenz, die in Kapitel 7 zum Prinzip erhoben wird: Ein Parameter,</w:t>
      </w:r>
      <w:r>
        <w:t xml:space="preserve"> </w:t>
      </w:r>
      <w:r>
        <w:t xml:space="preserve">dessen Effekt im Messbereich nicht sichtbar ist, kann aus diesen</w:t>
      </w:r>
      <w:r>
        <w:t xml:space="preserve"> </w:t>
      </w:r>
      <w:r>
        <w:t xml:space="preserve">Messungen auch</w:t>
      </w:r>
      <w:r>
        <w:t xml:space="preserve"> </w:t>
      </w:r>
      <w:r>
        <w:rPr>
          <w:b/>
          <w:bCs/>
        </w:rPr>
        <w:t xml:space="preserve">nicht bestimmt</w:t>
      </w:r>
      <w:r>
        <w:t xml:space="preserve"> </w:t>
      </w:r>
      <w:r>
        <w:t xml:space="preserve">werden.</w:t>
      </w:r>
    </w:p>
    <w:bookmarkEnd w:id="34"/>
    <w:bookmarkStart w:id="35" w:name="Xd6dea168c2168247bb6c3f70242d06e6789f7d4"/>
    <w:p>
      <w:pPr>
        <w:pStyle w:val="Heading2"/>
      </w:pPr>
      <w:r>
        <w:t xml:space="preserve">6.7 Vierte Erweiterung: der innere Basiswiderstand (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, SPICE</w:t>
      </w:r>
      <w:r>
        <w:t xml:space="preserve"> </w:t>
      </w:r>
      <w:r>
        <w:rPr>
          <w:rStyle w:val="VerbatimChar"/>
        </w:rPr>
        <w:t xml:space="preserve">RBM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(1) Physikalische Ursache.</w:t>
      </w:r>
      <w:r>
        <w:t xml:space="preserve"> </w:t>
      </w:r>
      <w:r>
        <w:t xml:space="preserve">Das Basisgebiet ist dünn und lateral</w:t>
      </w:r>
      <w:r>
        <w:t xml:space="preserve"> </w:t>
      </w:r>
      <w:r>
        <w:t xml:space="preserve">ausgedehnt; der Basisstrom muss durch dessen Bahnwiderstand fließen.</w:t>
      </w:r>
      <w:r>
        <w:t xml:space="preserve"> </w:t>
      </w:r>
      <w:r>
        <w:t xml:space="preserve">Dieser</w:t>
      </w:r>
      <w:r>
        <w:t xml:space="preserve"> </w:t>
      </w:r>
      <w:r>
        <w:rPr>
          <w:b/>
          <w:bCs/>
        </w:rPr>
        <w:t xml:space="preserve">innere Basiswiderstand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(SPICE</w:t>
      </w:r>
      <w:r>
        <w:t xml:space="preserve"> </w:t>
      </w:r>
      <w:r>
        <w:rPr>
          <w:rStyle w:val="VerbatimChar"/>
        </w:rPr>
        <w:t xml:space="preserve">RBM</w:t>
      </w:r>
      <w:r>
        <w:t xml:space="preserve">,</w:t>
      </w:r>
      <w:r>
        <w:t xml:space="preserve"> </w:t>
      </w:r>
      <w:r>
        <w:t xml:space="preserve">typisch 1–50 Ω) verursacht einen ohmschen Spannungsabfall — die am</w:t>
      </w:r>
      <w:r>
        <w:t xml:space="preserve"> </w:t>
      </w:r>
      <w:r>
        <w:t xml:space="preserve">Übergang</w:t>
      </w:r>
      <w:r>
        <w:t xml:space="preserve"> </w:t>
      </w:r>
      <w:r>
        <w:rPr>
          <w:b/>
          <w:bCs/>
        </w:rPr>
        <w:t xml:space="preserve">wirksame</w:t>
      </w:r>
      <w:r>
        <w:t xml:space="preserve"> </w:t>
      </w:r>
      <w:r>
        <w:t xml:space="preserve">Basis-Emitter-Spannung ist kleiner als die</w:t>
      </w:r>
      <w:r>
        <w:t xml:space="preserve"> </w:t>
      </w:r>
      <w:r>
        <w:t xml:space="preserve">Klemmenspannung: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t> </m:t>
              </m:r>
            </m:e>
          </m:borderBox>
        </m:oMath>
      </m:oMathPara>
    </w:p>
    <w:p>
      <w:pPr>
        <w:pStyle w:val="FirstParagraph"/>
      </w:pPr>
      <w:r>
        <w:t xml:space="preserve">Nur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treibt den Übergang; in allen Exponentialtermen</w:t>
      </w:r>
      <w:r>
        <w:t xml:space="preserve"> </w:t>
      </w:r>
      <w:r>
        <w:t xml:space="preserve">des Basisstroms ist fortan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 </w:t>
      </w:r>
      <w:r>
        <w:t xml:space="preserve">durch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zu</w:t>
      </w:r>
      <w:r>
        <w:t xml:space="preserve"> </w:t>
      </w:r>
      <w:r>
        <w:t xml:space="preserve">ersetzen.</w:t>
      </w:r>
    </w:p>
    <w:p>
      <w:pPr>
        <w:pStyle w:val="BlockText"/>
      </w:pPr>
      <w:r>
        <w:rPr>
          <w:b/>
          <w:bCs/>
        </w:rPr>
        <w:t xml:space="preserve">Rechenbeispiel 6.3 — Millivolt, die zählen.</w:t>
      </w:r>
      <w:r>
        <w:t xml:space="preserve"> </w:t>
      </w:r>
      <w:r>
        <w:t xml:space="preserve">BC337-25 im</w:t>
      </w:r>
      <w:r>
        <w:t xml:space="preserve"> </w:t>
      </w:r>
      <w:r>
        <w:t xml:space="preserve">Arbeitspunkt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mA: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5</m:t>
        </m:r>
        <m:r>
          <m:t> </m:t>
        </m:r>
        <m:r>
          <m:rPr>
            <m:nor/>
            <m:sty m:val="p"/>
          </m:rPr>
          <m:t>mA</m:t>
        </m:r>
        <m:r>
          <m:rPr>
            <m:sty m:val="p"/>
          </m:rPr>
          <m:t>/</m:t>
        </m:r>
        <m:r>
          <m:t>290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,</m:t>
        </m:r>
        <m:r>
          <m:t>2</m:t>
        </m:r>
        <m:r>
          <m:t> </m:t>
        </m:r>
        <m:r>
          <m:t>μ</m:t>
        </m:r>
      </m:oMath>
      <w:r>
        <w:t xml:space="preserve">A. Mit</w:t>
      </w:r>
      <w: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60</m:t>
        </m:r>
        <m:r>
          <m:t> </m:t>
        </m:r>
        <m:r>
          <m:t>Ω</m:t>
        </m:r>
      </m:oMath>
      <w:r>
        <w:t xml:space="preserve"> </w:t>
      </w:r>
      <w:r>
        <w:t xml:space="preserve">folgt</w:t>
      </w:r>
    </w:p>
    <w:p>
      <w:pPr>
        <w:pStyle w:val="BlockText"/>
      </w:pPr>
      <m:oMathPara>
        <m:oMathParaPr>
          <m:jc m:val="center"/>
        </m:oMathParaPr>
        <m:oMath>
          <m:r>
            <m:t>Δ</m:t>
          </m:r>
          <m:r>
            <m:t>V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B</m:t>
              </m:r>
            </m:sub>
          </m:sSub>
          <m:r>
            <m:t> </m:t>
          </m:r>
          <m:sSub>
            <m:e>
              <m:r>
                <m:t>R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int</m:t>
              </m:r>
            </m:sub>
          </m:sSub>
          <m:r>
            <m:rPr>
              <m:sty m:val="p"/>
            </m:rPr>
            <m:t>=</m:t>
          </m:r>
          <m:r>
            <m:t>17</m:t>
          </m:r>
          <m:r>
            <m:rPr>
              <m:sty m:val="p"/>
            </m:rPr>
            <m:t>,</m:t>
          </m:r>
          <m:r>
            <m:t>2</m:t>
          </m:r>
          <m:r>
            <m:t> </m:t>
          </m:r>
          <m:r>
            <m:t>μ</m:t>
          </m:r>
          <m:r>
            <m:rPr>
              <m:nor/>
              <m:sty m:val="p"/>
            </m:rPr>
            <m:t>A</m:t>
          </m:r>
          <m:r>
            <m:rPr>
              <m:sty m:val="p"/>
            </m:rPr>
            <m:t>⋅</m:t>
          </m:r>
          <m:r>
            <m:t>60</m:t>
          </m:r>
          <m:r>
            <m:t> </m:t>
          </m:r>
          <m:r>
            <m:t>Ω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03</m:t>
          </m:r>
          <m:r>
            <m:t> </m:t>
          </m:r>
          <m:r>
            <m:rPr>
              <m:nor/>
              <m:sty m:val="p"/>
            </m:rPr>
            <m:t>mV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Ein einziges Millivolt — aber die Exponentialkennlinie übersetzt es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e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03</m:t>
            </m:r>
            <m:r>
              <m:rPr>
                <m:sty m:val="p"/>
              </m:rPr>
              <m:t>/</m:t>
            </m:r>
            <m:r>
              <m:t>25</m:t>
            </m:r>
            <m:r>
              <m:rPr>
                <m:sty m:val="p"/>
              </m:rPr>
              <m:t>,</m:t>
            </m:r>
            <m:r>
              <m:t>85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≈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Stromänderung. Bei zehnfachem</w:t>
      </w:r>
      <w:r>
        <w:t xml:space="preserve"> </w:t>
      </w:r>
      <w:r>
        <w:t xml:space="preserve">Strom sind es bereits 10 mV und über 40 %: Der innere</w:t>
      </w:r>
      <w:r>
        <w:t xml:space="preserve"> </w:t>
      </w:r>
      <w:r>
        <w:t xml:space="preserve">Basiswiderstand wird zum dominanten Effekt des Hochstrombereichs —</w:t>
      </w:r>
      <w:r>
        <w:t xml:space="preserve"> </w:t>
      </w:r>
      <w:r>
        <w:t xml:space="preserve">dort krümmt er den Gummel-Plot sichtbar nach unten (Kapitel 7 nutzt</w:t>
      </w:r>
      <w:r>
        <w:t xml:space="preserve"> </w:t>
      </w:r>
      <w:r>
        <w:t xml:space="preserve">genau diese Signatur, um seine Bestimmbarkeit zu beurteilen).</w:t>
      </w:r>
    </w:p>
    <w:p>
      <w:pPr>
        <w:pStyle w:val="FirstParagraph"/>
      </w:pPr>
      <w:r>
        <w:rPr>
          <w:b/>
          <w:bCs/>
        </w:rPr>
        <w:t xml:space="preserve">(2) Die implizite Kopplung — eine strukturelle Eigenschaft.</w:t>
      </w:r>
      <w:r>
        <w:t xml:space="preserve"> </w:t>
      </w:r>
      <w:r>
        <w:t xml:space="preserve">Hier</w:t>
      </w:r>
      <w:r>
        <w:t xml:space="preserve"> </w:t>
      </w:r>
      <w:r>
        <w:t xml:space="preserve">entsteht eine Besonderheit, die uns durch die Kapitel 8 und 9 begleiten</w:t>
      </w:r>
      <w:r>
        <w:t xml:space="preserve"> </w:t>
      </w:r>
      <w:r>
        <w:t xml:space="preserve">wird: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hängt von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ab, und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über den Spannungsabfall wiederum von</w:t>
      </w:r>
      <w:r>
        <w:t xml:space="preserve"> </w:t>
      </w:r>
      <m:oMath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. Die Gleichung ist</w:t>
      </w:r>
      <w:r>
        <w:t xml:space="preserve"> </w:t>
      </w:r>
      <w:r>
        <w:rPr>
          <w:b/>
          <w:bCs/>
        </w:rPr>
        <w:t xml:space="preserve">implizit</w:t>
      </w:r>
      <w:r>
        <w:t xml:space="preserve"> </w:t>
      </w:r>
      <w:r>
        <w:t xml:space="preserve">— es gibt keine geschlossene Auflösung. In einem</w:t>
      </w:r>
      <w:r>
        <w:t xml:space="preserve"> </w:t>
      </w:r>
      <w:r>
        <w:t xml:space="preserve">Simulationsmodell (Simulink, Kapitel 9) äußert sich das als</w:t>
      </w:r>
      <w:r>
        <w:t xml:space="preserve"> </w:t>
      </w:r>
      <w:r>
        <w:rPr>
          <w:b/>
          <w:bCs/>
        </w:rPr>
        <w:t xml:space="preserve">algebraische Schleife</w:t>
      </w:r>
      <w:r>
        <w:t xml:space="preserve">. Sauber löst man sie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physikalisch</w:t>
      </w:r>
      <w:r>
        <w:t xml:space="preserve">, indem man eine kleine Basis-Kapazität einführt</w:t>
      </w:r>
      <w:r>
        <w:t xml:space="preserve"> </w:t>
      </w:r>
      <w:r>
        <w:t xml:space="preserve">(Knotengleichung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̇"/>
              </m:accPr>
              <m:e>
                <m:r>
                  <m:t>V</m:t>
                </m:r>
              </m:e>
            </m:acc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V</m:t>
                </m:r>
              </m:e>
              <m:sub>
                <m:r>
                  <m:t>B</m:t>
                </m:r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eff</m:t>
                </m:r>
              </m:sub>
            </m:sSub>
          </m:e>
        </m:d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B</m:t>
            </m:r>
          </m:sub>
        </m:sSub>
      </m:oMath>
      <w:r>
        <w:t xml:space="preserve">;</w:t>
      </w:r>
      <w:r>
        <w:t xml:space="preserve"> </w:t>
      </w:r>
      <w:r>
        <w:t xml:space="preserve">im stationären Zustand exakt), oder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numerisch</w:t>
      </w:r>
      <w:r>
        <w:t xml:space="preserve"> </w:t>
      </w:r>
      <w:r>
        <w:t xml:space="preserve">durch einen Fixpunkt- oder Newton-Löser — genau das</w:t>
      </w:r>
      <w:r>
        <w:t xml:space="preserve"> </w:t>
      </w:r>
      <w:r>
        <w:t xml:space="preserve">Verfahren aus Teil II, und genau so macht es SPICE intern.</w:t>
      </w:r>
    </w:p>
    <w:p>
      <w:pPr>
        <w:pStyle w:val="FirstParagraph"/>
      </w:pPr>
      <w:r>
        <w:t xml:space="preserve">Ein bloßes Verzögerungsglied (</w:t>
      </w:r>
      <m:oMath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 bricht die Schleife zwar auf,</w:t>
      </w:r>
      <w:r>
        <w:t xml:space="preserve"> </w:t>
      </w:r>
      <w:r>
        <w:t xml:space="preserve">ist wegen der steilen Exponentialfunktion aber instabilitätsgefährdet.</w:t>
      </w:r>
      <w:r>
        <w:t xml:space="preserve"> </w:t>
      </w:r>
      <w:r>
        <w:t xml:space="preserve">Wenn schon, dann bricht man die Schleife</w:t>
      </w:r>
      <w:r>
        <w:t xml:space="preserve"> </w:t>
      </w:r>
      <w:r>
        <w:rPr>
          <w:b/>
          <w:bCs/>
        </w:rPr>
        <w:t xml:space="preserve">an der Spannung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auf, nicht am Strom — die Spannung ändert sich</w:t>
      </w:r>
      <w:r>
        <w:t xml:space="preserve"> </w:t>
      </w:r>
      <w:r>
        <w:t xml:space="preserve">zwischen zwei Iterationen um Millivolt, der Strom um Größenordnungen.</w:t>
      </w:r>
    </w:p>
    <w:bookmarkEnd w:id="35"/>
    <w:bookmarkStart w:id="36" w:name="das-vollständige-modell"/>
    <w:p>
      <w:pPr>
        <w:pStyle w:val="Heading2"/>
      </w:pPr>
      <w:r>
        <w:t xml:space="preserve">6.8 Das vollständige Modell</w:t>
      </w:r>
    </w:p>
    <w:p>
      <w:pPr>
        <w:pStyle w:val="FirstParagraph"/>
      </w:pPr>
      <w:r>
        <w:t xml:space="preserve">Alle vier Erweiterungen zusammengenommen — jede einzeln hergeleitet,</w:t>
      </w:r>
      <w:r>
        <w:t xml:space="preserve"> </w:t>
      </w:r>
      <w:r>
        <w:t xml:space="preserve">jede mit benannter Ursache — ergeben das Gleichungssystem dieses Buches: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S</m:t>
                        </m:r>
                      </m:sub>
                    </m:sSub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 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E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A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eff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C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/</m:t>
                            </m:r>
                            <m:sSub>
                              <m:e>
                                <m:r>
                                  <m:t>I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t>F</m:t>
                                </m:r>
                              </m:sub>
                            </m:sSub>
                          </m:e>
                        </m:rad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  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eff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V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R</m:t>
                        </m:r>
                      </m:e>
                      <m:sub>
                        <m:r>
                          <m:t>B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nor/>
                            <m:sty m:val="p"/>
                          </m:rPr>
                          <m:t>int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I</m:t>
                        </m:r>
                      </m:e>
                      <m:sub>
                        <m:r>
                          <m:t>B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S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eff</m:t>
                            </m:r>
                          </m:sub>
                        </m:sSub>
                      </m:den>
                    </m:f>
                    <m:r>
                      <m:t> </m:t>
                    </m:r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V</m:t>
                            </m:r>
                          </m:e>
                          <m:sub>
                            <m:r>
                              <m:t>B</m:t>
                            </m:r>
                            <m:r>
                              <m:t>E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nor/>
                                <m:sty m:val="p"/>
                              </m:rPr>
                              <m:t>eff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n</m:t>
                            </m:r>
                            <m:r>
                              <m:t> </m:t>
                            </m:r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T</m:t>
                                </m:r>
                              </m:sub>
                            </m:sSub>
                          </m:e>
                        </m:d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C</m:t>
                                </m:r>
                                <m:r>
                                  <m:t>E</m:t>
                                </m:r>
                              </m:sub>
                            </m:sSub>
                          </m:num>
                          <m:den>
                            <m:sSub>
                              <m:e>
                                <m:r>
                                  <m:t>V</m:t>
                                </m:r>
                              </m:e>
                              <m:sub>
                                <m:r>
                                  <m:t>A</m:t>
                                </m:r>
                                <m:r>
                                  <m:t>B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</m:mr>
              </m:m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Gültigkeitsbereich:</w:t>
      </w:r>
      <w:r>
        <w:t xml:space="preserve"> </w:t>
      </w:r>
      <w:r>
        <w:t xml:space="preserve">Vorwärts-Aktivbetrieb (keine Sättigung, kein</w:t>
      </w:r>
      <w:r>
        <w:t xml:space="preserve"> </w:t>
      </w:r>
      <w:r>
        <w:t xml:space="preserve">Inversbetrieb),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300</m:t>
        </m:r>
        <m:r>
          <m:t> </m:t>
        </m:r>
        <m:r>
          <m:rPr>
            <m:nor/>
            <m:sty m:val="p"/>
          </m:rPr>
          <m:t>K</m:t>
        </m:r>
      </m:oMath>
      <w:r>
        <w:t xml:space="preserve">, Quasistatik, Niedriginjektion bis auf</w:t>
      </w:r>
      <w:r>
        <w:t xml:space="preserve"> </w:t>
      </w:r>
      <w:r>
        <w:t xml:space="preserve">die über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 </w:t>
      </w:r>
      <w:r>
        <w:t xml:space="preserve">erfasste Hochstromkorrektur.</w:t>
      </w:r>
    </w:p>
    <w:p>
      <w:pPr>
        <w:pStyle w:val="BlockText"/>
      </w:pPr>
      <w:r>
        <w:rPr>
          <w:b/>
          <w:bCs/>
        </w:rPr>
        <w:t xml:space="preserve">Benannte Modellgrenze.</w:t>
      </w:r>
      <w:r>
        <w:t xml:space="preserve"> </w:t>
      </w:r>
      <w:r>
        <w:t xml:space="preserve">Reale Kleinsignaltransistoren zeigen bei</w:t>
      </w:r>
      <w:r>
        <w:t xml:space="preserve"> </w:t>
      </w:r>
      <w:r>
        <w:rPr>
          <w:b/>
          <w:bCs/>
        </w:rPr>
        <w:t xml:space="preserve">kleinen</w:t>
      </w:r>
      <w:r>
        <w:t xml:space="preserve"> </w:t>
      </w:r>
      <w:r>
        <w:t xml:space="preserve">Strömen einen leichten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-</w:t>
      </w:r>
      <w:r>
        <w:rPr>
          <w:b/>
          <w:bCs/>
        </w:rPr>
        <w:t xml:space="preserve">Anstieg</w:t>
      </w:r>
      <w:r>
        <w:t xml:space="preserve"> </w:t>
      </w:r>
      <w:r>
        <w:t xml:space="preserve">(Rekombination</w:t>
      </w:r>
      <w:r>
        <w:t xml:space="preserve"> </w:t>
      </w:r>
      <w:r>
        <w:t xml:space="preserve">in der BE-Sperrschicht; im vollen Gummel-Poon-Modell über den Leckterm</w:t>
      </w:r>
      <w:r>
        <w:t xml:space="preserve"> </w:t>
      </w:r>
      <w:r>
        <w:rPr>
          <w:rStyle w:val="VerbatimChar"/>
        </w:rPr>
        <w:t xml:space="preserve">ISE</w:t>
      </w:r>
      <w:r>
        <w:t xml:space="preserve">/</w:t>
      </w:r>
      <w:r>
        <w:rPr>
          <w:rStyle w:val="VerbatimChar"/>
        </w:rPr>
        <w:t xml:space="preserve">NE</w:t>
      </w:r>
      <w:r>
        <w:t xml:space="preserve"> </w:t>
      </w:r>
      <w:r>
        <w:t xml:space="preserve">beschrieben). Unser Modell</w:t>
      </w:r>
      <w:r>
        <w:t xml:space="preserve"> </w:t>
      </w:r>
      <w:r>
        <w:rPr>
          <w:b/>
          <w:bCs/>
        </w:rPr>
        <w:t xml:space="preserve">enthält diesen Effekt bewusst</w:t>
      </w:r>
      <w:r>
        <w:rPr>
          <w:b/>
          <w:bCs/>
        </w:rP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— er bleibt in Kapitel 7 als kleine, ausgewiesene</w:t>
      </w:r>
      <w:r>
        <w:t xml:space="preserve"> </w:t>
      </w:r>
      <w:r>
        <w:t xml:space="preserve">Restabweichung zwischen Modell und Messung sichtbar. Ein Modell, dessen</w:t>
      </w:r>
      <w:r>
        <w:t xml:space="preserve"> </w:t>
      </w:r>
      <w:r>
        <w:t xml:space="preserve">Grenzen benannt sind, ist mehr wert als ein scheinbar vollständiges,</w:t>
      </w:r>
      <w:r>
        <w:t xml:space="preserve"> </w:t>
      </w:r>
      <w:r>
        <w:t xml:space="preserve">dessen Terme man nicht bestimmen kann.</w:t>
      </w:r>
    </w:p>
    <w:bookmarkEnd w:id="36"/>
    <w:bookmarkStart w:id="37" w:name="Xda7d872e6408df127449145e03d27d3282f17a1"/>
    <w:p>
      <w:pPr>
        <w:pStyle w:val="Heading2"/>
      </w:pPr>
      <w:r>
        <w:t xml:space="preserve">6.9 Das Modell zum Anfassen: die Python-Implementierung</w:t>
      </w:r>
    </w:p>
    <w:p>
      <w:pPr>
        <w:pStyle w:val="FirstParagraph"/>
      </w:pPr>
      <w:r>
        <w:t xml:space="preserve">Ein Modell versteht man erst, wenn man es rechnen lässt. Das komplette</w:t>
      </w:r>
      <w:r>
        <w:t xml:space="preserve"> </w:t>
      </w:r>
      <w:r>
        <w:t xml:space="preserve">Gleichungssystem aus 6.8 passt in wenige Zeilen Python — genau diese</w:t>
      </w:r>
      <w:r>
        <w:t xml:space="preserve"> </w:t>
      </w:r>
      <w:r>
        <w:t xml:space="preserve">Funktionen bilden den Kern aller Werkzeuge dieses Buches (von der</w:t>
      </w:r>
      <w:r>
        <w:t xml:space="preserve"> </w:t>
      </w:r>
      <w:r>
        <w:t xml:space="preserve">Parameterextraktion in Kapitel 7 bis zur Arbeitspunktsuche in</w:t>
      </w:r>
      <w:r>
        <w:t xml:space="preserve"> </w:t>
      </w:r>
      <w:r>
        <w:t xml:space="preserve">Kapitel 8):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---- Modellparameter BC337-25 (aus Kapitel 7 bzw. Datenblatt) ----</w:t>
      </w:r>
      <w:r>
        <w:br/>
      </w:r>
      <w:r>
        <w:rPr>
          <w:rStyle w:val="NormalTok"/>
        </w:rPr>
        <w:t xml:space="preserve">IS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4.1e-14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   Transport-Saettigungsstrom      (SPICE IS)</w:t>
      </w:r>
      <w:r>
        <w:br/>
      </w:r>
      <w:r>
        <w:rPr>
          <w:rStyle w:val="NormalTok"/>
        </w:rPr>
        <w:t xml:space="preserve">NF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-   Emissionskoeffizient            (SPICE NF)</w:t>
      </w:r>
      <w:r>
        <w:br/>
      </w:r>
      <w:r>
        <w:rPr>
          <w:rStyle w:val="NormalTok"/>
        </w:rPr>
        <w:t xml:space="preserve">BETA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292.0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-   ideale Stromverstaerkung        (SPICE BF)</w:t>
      </w:r>
      <w:r>
        <w:br/>
      </w:r>
      <w:r>
        <w:rPr>
          <w:rStyle w:val="NormalTok"/>
        </w:rPr>
        <w:t xml:space="preserve">VA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146.0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V   Early-Spannung                  (SPICE VAF)</w:t>
      </w:r>
      <w:r>
        <w:br/>
      </w:r>
      <w:r>
        <w:rPr>
          <w:rStyle w:val="NormalTok"/>
        </w:rPr>
        <w:t xml:space="preserve">VAB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V   Basis-Early-Spannung            (SPICE VAR)</w:t>
      </w:r>
      <w:r>
        <w:br/>
      </w:r>
      <w:r>
        <w:rPr>
          <w:rStyle w:val="NormalTok"/>
        </w:rPr>
        <w:t xml:space="preserve">IKF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A   Kniestrom Hochinjektion         (SPICE IKF)</w:t>
      </w:r>
      <w:r>
        <w:br/>
      </w:r>
      <w:r>
        <w:rPr>
          <w:rStyle w:val="NormalTok"/>
        </w:rPr>
        <w:t xml:space="preserve">RBI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60.0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Ohm innerer Basiswiderstand         (SPICE RBM)</w:t>
      </w:r>
      <w:r>
        <w:br/>
      </w:r>
      <w:r>
        <w:rPr>
          <w:rStyle w:val="NormalTok"/>
        </w:rPr>
        <w:t xml:space="preserve">VT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0.02585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   Thermospannung bei 300 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beta_eff(ic):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"""Webster-Formel: stromabhaengige Verstaerkung (Abschn. 6.6)."""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IKF)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v_be_eff(v_be, i_b):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"""wirksame BE-Spannung nach Abfall an R_B,int (Abschn. 6.7)."""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v_be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i_b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RBI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i_c_modell(v_be, v_ce):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"""Kollektorstrom mit Early-Effekt (Abschn. 6.4)."""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np.exp(v_be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VT))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i_b_modell(v_be_wirksam, v_ce, ic):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"""Basisstrom mit Basis-Early und beta_eff (Abschn. 6.5/6.6)."""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beta_eff(ic))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np.exp(v_be_wirksam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VT))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v_ce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VAB)</w:t>
      </w:r>
    </w:p>
    <w:p>
      <w:pPr>
        <w:pStyle w:val="FirstParagraph"/>
      </w:pPr>
      <w:r>
        <w:t xml:space="preserve">Man beachte, wie die</w:t>
      </w:r>
      <w:r>
        <w:t xml:space="preserve"> </w:t>
      </w:r>
      <w:r>
        <w:rPr>
          <w:b/>
          <w:bCs/>
        </w:rPr>
        <w:t xml:space="preserve">implizite Kopplung</w:t>
      </w:r>
      <w:r>
        <w:t xml:space="preserve"> </w:t>
      </w:r>
      <w:r>
        <w:t xml:space="preserve">aus Abschnitt 6.7 hier</w:t>
      </w:r>
      <w:r>
        <w:t xml:space="preserve"> </w:t>
      </w:r>
      <w:r>
        <w:t xml:space="preserve">sichtbar wird:</w:t>
      </w:r>
      <w:r>
        <w:t xml:space="preserve"> </w:t>
      </w:r>
      <w:r>
        <w:rPr>
          <w:rStyle w:val="VerbatimChar"/>
        </w:rPr>
        <w:t xml:space="preserve">i_b_modell</w:t>
      </w:r>
      <w:r>
        <w:t xml:space="preserve"> </w:t>
      </w:r>
      <w:r>
        <w:t xml:space="preserve">braucht die wirksame Spannung</w:t>
      </w:r>
      <w:r>
        <w:t xml:space="preserve"> </w:t>
      </w:r>
      <w:r>
        <w:rPr>
          <w:rStyle w:val="VerbatimChar"/>
        </w:rPr>
        <w:t xml:space="preserve">v_be_eff(v_be, i_b)</w:t>
      </w:r>
      <w:r>
        <w:t xml:space="preserve"> </w:t>
      </w:r>
      <w:r>
        <w:t xml:space="preserve">— die aber den Basisstrom</w:t>
      </w:r>
      <w:r>
        <w:t xml:space="preserve"> </w:t>
      </w:r>
      <w:r>
        <w:rPr>
          <w:rStyle w:val="VerbatimChar"/>
        </w:rPr>
        <w:t xml:space="preserve">i_b</w:t>
      </w:r>
      <w:r>
        <w:t xml:space="preserve"> </w:t>
      </w:r>
      <w:r>
        <w:t xml:space="preserve">bereits enthält.</w:t>
      </w:r>
      <w:r>
        <w:t xml:space="preserve"> </w:t>
      </w:r>
      <w:r>
        <w:t xml:space="preserve">Wer die Funktionen naiv nacheinander aufruft, rechnet mit dem</w:t>
      </w:r>
      <w:r>
        <w:t xml:space="preserve"> </w:t>
      </w:r>
      <w:r>
        <w:t xml:space="preserve">Basisstrom der</w:t>
      </w:r>
      <w:r>
        <w:t xml:space="preserve"> </w:t>
      </w:r>
      <w:r>
        <w:rPr>
          <w:i/>
          <w:iCs/>
        </w:rPr>
        <w:t xml:space="preserve">vorigen</w:t>
      </w:r>
      <w:r>
        <w:t xml:space="preserve"> </w:t>
      </w:r>
      <w:r>
        <w:t xml:space="preserve">Iteration; die konsistente Lösung liefert erst</w:t>
      </w:r>
      <w:r>
        <w:t xml:space="preserve"> </w:t>
      </w:r>
      <w:r>
        <w:t xml:space="preserve">der Newton-Löser in Kapitel 8. Für den Aktivbetrieb bei moderaten</w:t>
      </w:r>
      <w:r>
        <w:t xml:space="preserve"> </w:t>
      </w:r>
      <w:r>
        <w:t xml:space="preserve">Strömen konvergiert alternativ eine einfache Fixpunktiteration</w:t>
      </w:r>
      <w:r>
        <w:t xml:space="preserve"> </w:t>
      </w:r>
      <w:r>
        <w:t xml:space="preserve">(</w:t>
      </w:r>
      <m:oMath>
        <m:sSubSup>
          <m:e>
            <m:r>
              <m:t>I</m:t>
            </m:r>
          </m:e>
          <m:sub>
            <m:r>
              <m:t>B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0</m:t>
                </m:r>
              </m:e>
            </m:d>
          </m:sup>
        </m:sSubSup>
        <m:r>
          <m:rPr>
            <m:sty m:val="p"/>
          </m:rPr>
          <m:t>=</m:t>
        </m:r>
        <m:r>
          <m:t>0</m:t>
        </m:r>
      </m:oMath>
      <w:r>
        <w:t xml:space="preserve">, dann wenige Male</w:t>
      </w:r>
      <w:r>
        <w:t xml:space="preserve"> </w:t>
      </w:r>
      <m:oMath>
        <m:sSubSup>
          <m:e>
            <m:r>
              <m:t>I</m:t>
            </m:r>
          </m:e>
          <m:sub>
            <m:r>
              <m:t>B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sup>
        </m:sSubSup>
      </m:oMath>
      <w:r>
        <w:t xml:space="preserve"> </w:t>
      </w:r>
      <w:r>
        <w:t xml:space="preserve">aus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−</m:t>
        </m:r>
        <m:sSubSup>
          <m:e>
            <m:r>
              <m:t>I</m:t>
            </m:r>
          </m:e>
          <m:sub>
            <m:r>
              <m:t>B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</m:e>
            </m:d>
          </m:sup>
        </m:sSubSup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 </w:t>
      </w:r>
      <w:r>
        <w:t xml:space="preserve">berechnen) — die Korrektur ist ja</w:t>
      </w:r>
      <w:r>
        <w:t xml:space="preserve"> </w:t>
      </w:r>
      <w:r>
        <w:t xml:space="preserve">nur millivoltklein (Rechenbeispiel 6.3).</w:t>
      </w:r>
    </w:p>
    <w:p>
      <w:pPr>
        <w:pStyle w:val="BodyText"/>
      </w:pPr>
      <w:r>
        <w:t xml:space="preserve">Ein kurzer Testlauf im Arbeitspunkt aus den Rechenbeispielen</w:t>
      </w:r>
      <w:r>
        <w:t xml:space="preserve"> </w:t>
      </w:r>
      <w:r>
        <w:t xml:space="preserve">(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  <m:r>
          <m:rPr>
            <m:sty m:val="p"/>
          </m:rPr>
          <m:t>=</m:t>
        </m:r>
        <m:r>
          <m:t>660</m:t>
        </m:r>
        <m:r>
          <m:t> </m:t>
        </m:r>
      </m:oMath>
      <w:r>
        <w:t xml:space="preserve">mV,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r>
          <m:t>5</m:t>
        </m:r>
        <m:r>
          <m:t> </m:t>
        </m:r>
      </m:oMath>
      <w:r>
        <w:t xml:space="preserve">V) verankert die Zahlen:</w:t>
      </w:r>
    </w:p>
    <w:p>
      <w:pPr>
        <w:pStyle w:val="SourceCode"/>
      </w:pPr>
      <w:r>
        <w:rPr>
          <w:rStyle w:val="NormalTok"/>
        </w:rPr>
        <w:t xml:space="preserve">vbe, vce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i_c_modell(vbe, vce)                 </w:t>
      </w:r>
      <w:r>
        <w:rPr>
          <w:rStyle w:val="CommentTok"/>
        </w:rPr>
        <w:t xml:space="preserve"># -&gt; 5.20 mA (5 mA ideal + 3.4 % Early)</w:t>
      </w:r>
      <w:r>
        <w:br/>
      </w:r>
      <w:r>
        <w:rPr>
          <w:rStyle w:val="NormalTok"/>
        </w:rPr>
        <w:t xml:space="preserve">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beta_eff(ic)                    </w:t>
      </w:r>
      <w:r>
        <w:rPr>
          <w:rStyle w:val="CommentTok"/>
        </w:rPr>
        <w:t xml:space="preserve"># -&gt; 17.9 uA  (Startwert)</w:t>
      </w:r>
      <w:r>
        <w:br/>
      </w:r>
      <w:r>
        <w:rPr>
          <w:rStyle w:val="NormalTok"/>
        </w:rPr>
        <w:t xml:space="preserve">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i_b_modell(v_be_eff(vbe, ib), vce, ic)   </w:t>
      </w:r>
      <w:r>
        <w:rPr>
          <w:rStyle w:val="CommentTok"/>
        </w:rPr>
        <w:t xml:space="preserve"># eine Fixpunkt-Korrektur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(ic, ib, ic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ib)                      </w:t>
      </w:r>
      <w:r>
        <w:rPr>
          <w:rStyle w:val="CommentTok"/>
        </w:rPr>
        <w:t xml:space="preserve"># 5.20 mA, 17.0 uA, beta ~ 305</w:t>
      </w:r>
    </w:p>
    <w:p>
      <w:pPr>
        <w:pStyle w:val="FirstParagraph"/>
      </w:pPr>
      <w:r>
        <w:t xml:space="preserve">Schon dieser Dreizeiler zeigt das Zusammenspiel der Effekte: Der</w:t>
      </w:r>
      <w:r>
        <w:t xml:space="preserve"> </w:t>
      </w:r>
      <w:r>
        <w:t xml:space="preserve">Early-Faktor hebt den idealen 5-mA-Punkt um 3,4 % an</w:t>
      </w:r>
      <w:r>
        <w:t xml:space="preserve"> </w:t>
      </w:r>
      <w:r>
        <w:t xml:space="preserve">(Rechenbeispiel 6.2), der innere Basiswiderstand drückt den Basisstrom</w:t>
      </w:r>
      <w:r>
        <w:t xml:space="preserve"> </w:t>
      </w:r>
      <w:r>
        <w:t xml:space="preserve">um gut 4 % (Rechenbeispiel 6.3), und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bleibt bei</w:t>
      </w:r>
      <w:r>
        <w:t xml:space="preserve"> </w:t>
      </w:r>
      <w:r>
        <w:t xml:space="preserve">diesen Strömen praktisch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(Rechenbeispiel in 6.6).</w:t>
      </w:r>
    </w:p>
    <w:p>
      <w:pPr>
        <w:pStyle w:val="BodyText"/>
      </w:pPr>
      <w:r>
        <w:t xml:space="preserve">Sämtliche Abbildungen dieses Kapitels sind mit genau diesen Funktionen</w:t>
      </w:r>
      <w:r>
        <w:t xml:space="preserve"> </w:t>
      </w:r>
      <w:r>
        <w:t xml:space="preserve">erzeugt (</w:t>
      </w:r>
      <w:r>
        <w:rPr>
          <w:rStyle w:val="VerbatimChar"/>
        </w:rPr>
        <w:t xml:space="preserve">kap06_plots.py</w:t>
      </w:r>
      <w:r>
        <w:t xml:space="preserve"> </w:t>
      </w:r>
      <w:r>
        <w:t xml:space="preserve">im Begleitmaterial) — es gibt keine</w:t>
      </w:r>
      <w:r>
        <w:t xml:space="preserve"> </w:t>
      </w:r>
      <w:r>
        <w:t xml:space="preserve">„Illustrationen”, nur gerechnetes Modell. Das ist das</w:t>
      </w:r>
      <w:r>
        <w:t xml:space="preserve"> </w:t>
      </w:r>
      <w:r>
        <w:t xml:space="preserve">Reproduzierbarkeits-Prinzip des Buches:</w:t>
      </w:r>
      <w:r>
        <w:t xml:space="preserve"> </w:t>
      </w:r>
      <w:r>
        <w:rPr>
          <w:b/>
          <w:bCs/>
        </w:rPr>
        <w:t xml:space="preserve">Jede Kurve lässt sich aus</w:t>
      </w:r>
      <w:r>
        <w:rPr>
          <w:b/>
          <w:bCs/>
        </w:rPr>
        <w:t xml:space="preserve"> </w:t>
      </w:r>
      <w:r>
        <w:rPr>
          <w:b/>
          <w:bCs/>
        </w:rPr>
        <w:t xml:space="preserve">Code und Parametern nachvollziehen.</w:t>
      </w:r>
    </w:p>
    <w:bookmarkEnd w:id="37"/>
    <w:bookmarkStart w:id="38" w:name="die-spice-parameter-im-überblick"/>
    <w:p>
      <w:pPr>
        <w:pStyle w:val="Heading2"/>
      </w:pPr>
      <w:r>
        <w:t xml:space="preserve">6.10 Die SPICE-Parameter im Überblick</w:t>
      </w:r>
    </w:p>
    <w:p>
      <w:pPr>
        <w:pStyle w:val="FirstParagraph"/>
      </w:pPr>
      <w:r>
        <w:t xml:space="preserve">Damit ist jeder Parameter des Modells eingeführt, physikalisch begründet</w:t>
      </w:r>
      <w:r>
        <w:t xml:space="preserve"> </w:t>
      </w:r>
      <w:r>
        <w:t xml:space="preserve">und einem SPICE-Namen zugeordnet: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Herkunft im Modell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BC337-25 (Referenz)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Transport-Sättigungsstrom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NF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Vorwärts-Emissionskoeffizient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ideale Vorwärts-Stromverstärkung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292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Vorwärts-Early-Spannung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146</m:t>
              </m:r>
            </m:oMath>
            <w:r>
              <w:t xml:space="preserve"> </w:t>
            </w: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  <m:r>
                    <m:t>B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Basis-(Rückwärts-)Early-Spannung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(Rückwirkung)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IKF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K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Vorwärts-Kniestrom (Hochinjektion)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6.6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</m:t>
              </m:r>
            </m:oMath>
            <w:r>
              <w:t xml:space="preserve"> </w:t>
            </w: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RBM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innerer Basisbahnwiderstand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Abschn. 6.7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60</m:t>
              </m:r>
              <m:r>
                <m:t> </m:t>
              </m:r>
              <m:r>
                <m:t>Ω</m:t>
              </m:r>
            </m:oMath>
          </w:p>
        </w:tc>
      </w:tr>
    </w:tbl>
    <w:p>
      <w:pPr>
        <w:pStyle w:val="BodyText"/>
      </w:pPr>
      <w:r>
        <w:t xml:space="preserve">Die weiteren Gummel-Poon-Parameter (</w:t>
      </w:r>
      <w:r>
        <w:rPr>
          <w:rStyle w:val="VerbatimChar"/>
        </w:rPr>
        <w:t xml:space="preserve">BR</w:t>
      </w:r>
      <w:r>
        <w:t xml:space="preserve">,</w:t>
      </w:r>
      <w:r>
        <w:t xml:space="preserve"> </w:t>
      </w:r>
      <w:r>
        <w:rPr>
          <w:rStyle w:val="VerbatimChar"/>
        </w:rPr>
        <w:t xml:space="preserve">ISC</w:t>
      </w:r>
      <w:r>
        <w:t xml:space="preserve">,</w:t>
      </w:r>
      <w:r>
        <w:t xml:space="preserve"> </w:t>
      </w:r>
      <w:r>
        <w:rPr>
          <w:rStyle w:val="VerbatimChar"/>
        </w:rPr>
        <w:t xml:space="preserve">NC</w:t>
      </w:r>
      <w:r>
        <w:t xml:space="preserve">,</w:t>
      </w:r>
      <w:r>
        <w:t xml:space="preserve"> </w:t>
      </w:r>
      <w:r>
        <w:rPr>
          <w:rStyle w:val="VerbatimChar"/>
        </w:rPr>
        <w:t xml:space="preserve">IKR</w:t>
      </w:r>
      <w:r>
        <w:t xml:space="preserve">,</w:t>
      </w:r>
      <w:r>
        <w:t xml:space="preserve"> </w:t>
      </w:r>
      <w:r>
        <w:rPr>
          <w:rStyle w:val="VerbatimChar"/>
        </w:rPr>
        <w:t xml:space="preserve">RC</w:t>
      </w:r>
      <w:r>
        <w:t xml:space="preserve">,</w:t>
      </w:r>
      <w:r>
        <w:t xml:space="preserve"> </w:t>
      </w:r>
      <w:r>
        <w:rPr>
          <w:rStyle w:val="VerbatimChar"/>
        </w:rPr>
        <w:t xml:space="preserve">RE</w:t>
      </w:r>
      <w:r>
        <w:t xml:space="preserve"> </w:t>
      </w:r>
      <w:r>
        <w:t xml:space="preserve">für Invers- und Sperrbetrieb;</w:t>
      </w:r>
      <w:r>
        <w:t xml:space="preserve"> </w:t>
      </w:r>
      <w:r>
        <w:rPr>
          <w:rStyle w:val="VerbatimChar"/>
        </w:rPr>
        <w:t xml:space="preserve">CJE</w:t>
      </w:r>
      <w:r>
        <w:t xml:space="preserve">,</w:t>
      </w:r>
      <w:r>
        <w:t xml:space="preserve"> </w:t>
      </w:r>
      <w:r>
        <w:rPr>
          <w:rStyle w:val="VerbatimChar"/>
        </w:rPr>
        <w:t xml:space="preserve">CJC</w:t>
      </w:r>
      <w:r>
        <w:t xml:space="preserve">,</w:t>
      </w:r>
      <w:r>
        <w:t xml:space="preserve"> </w:t>
      </w:r>
      <w:r>
        <w:rPr>
          <w:rStyle w:val="VerbatimChar"/>
        </w:rPr>
        <w:t xml:space="preserve">TF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 </w:t>
      </w:r>
      <w:r>
        <w:t xml:space="preserve">für die</w:t>
      </w:r>
      <w:r>
        <w:t xml:space="preserve"> </w:t>
      </w:r>
      <w:r>
        <w:t xml:space="preserve">Dynamik) werden erst gebraucht, wenn Inversbetrieb oder</w:t>
      </w:r>
      <w:r>
        <w:t xml:space="preserve"> </w:t>
      </w:r>
      <w:r>
        <w:t xml:space="preserve">Frequenzverhalten ins Spiel kommen — Letzteres in Kapitel 13. Für den</w:t>
      </w:r>
      <w:r>
        <w:t xml:space="preserve"> </w:t>
      </w:r>
      <w:r>
        <w:t xml:space="preserve">Vorwärts-Aktivbetrieb bei Gleichstrom ist der obige Satz vollständig.</w:t>
      </w:r>
    </w:p>
    <w:bookmarkEnd w:id="38"/>
    <w:bookmarkStart w:id="42" w:name="X0a07f3123d7e3484e80359519913ce970c8a95e"/>
    <w:p>
      <w:pPr>
        <w:pStyle w:val="Heading2"/>
      </w:pPr>
      <w:r>
        <w:t xml:space="preserve">6.11 Ideal gegen erweitert — was das Modell leistet</w:t>
      </w:r>
    </w:p>
    <w:p>
      <w:pPr>
        <w:pStyle w:val="CaptionedFigure"/>
      </w:pPr>
      <w:r>
        <w:drawing>
          <wp:inline>
            <wp:extent cx="5334000" cy="2316078"/>
            <wp:effectExtent b="0" l="0" r="0" t="0"/>
            <wp:docPr descr="Abbildung 6.4 — Was die Erweiterungen bewirken: links die Ausgangskennlinie (ideal waagerecht, erweitert mit Early-Steigung), rechts die Stromverstärkung (ideal konstant, erweitert mit Hochstrom-Knie). Beide Kurven aus der Python-Implementierung von Abschnitt 6.9 gerechnet." title="" id="40" name="Picture"/>
            <a:graphic>
              <a:graphicData uri="http://schemas.openxmlformats.org/drawingml/2006/picture">
                <pic:pic>
                  <pic:nvPicPr>
                    <pic:cNvPr descr="../bilder/kap06_vergleich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6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Abbildung 6.4</w:t>
      </w:r>
      <w:r>
        <w:t xml:space="preserve"> </w:t>
      </w:r>
      <w:r>
        <w:t xml:space="preserve">— Was die Erweiterungen bewirken: links die</w:t>
      </w:r>
      <w:r>
        <w:t xml:space="preserve"> </w:t>
      </w:r>
      <w:r>
        <w:t xml:space="preserve">Ausgangskennlinie (ideal waagerecht, erweitert mit Early-Steigung),</w:t>
      </w:r>
      <w:r>
        <w:t xml:space="preserve"> </w:t>
      </w:r>
      <w:r>
        <w:t xml:space="preserve">rechts die Stromverstärkung (ideal konstant, erweitert mit</w:t>
      </w:r>
      <w:r>
        <w:t xml:space="preserve"> </w:t>
      </w:r>
      <w:r>
        <w:t xml:space="preserve">Hochstrom-Knie). Beide Kurven aus der Python-Implementierung von</w:t>
      </w:r>
      <w:r>
        <w:t xml:space="preserve"> </w:t>
      </w:r>
      <w:r>
        <w:t xml:space="preserve">Abschnitt 6.9 gerechnet.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Eigenschaft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ideales Modell (6.3)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erweitertes Modell (6.8)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Ausgangskennlinie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exakt waagerecht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Steigung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Basisstrom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</m:sub>
              </m:sSub>
            </m:oMath>
            <w:r>
              <w:t xml:space="preserve">-unabhängig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Faktor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C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A</m:t>
                      </m:r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VAR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Stromverstärkung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konstant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mit Kniestrom (</w:t>
            </w:r>
            <w:r>
              <w:rPr>
                <w:rStyle w:val="VerbatimChar"/>
              </w:rPr>
              <w:t xml:space="preserve">IKF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Basisbahngebiet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widerstandsfrei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eff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B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RBM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Arbeitspunkt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analytisch lösbar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implizit → Newton-Raphson (Kap.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Genauigkeit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Orientierung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SPICE-Niveau</w:t>
            </w:r>
          </w:p>
        </w:tc>
      </w:tr>
    </w:tbl>
    <w:p>
      <w:pPr>
        <w:pStyle w:val="BodyText"/>
      </w:pPr>
      <w:r>
        <w:t xml:space="preserve">Der Preis der Genauigkeit steht in der vorletzten Zeile: Das erweiterte</w:t>
      </w:r>
      <w:r>
        <w:t xml:space="preserve"> </w:t>
      </w:r>
      <w:r>
        <w:t xml:space="preserve">Modell ist</w:t>
      </w:r>
      <w:r>
        <w:t xml:space="preserve"> </w:t>
      </w:r>
      <w:r>
        <w:rPr>
          <w:b/>
          <w:bCs/>
        </w:rPr>
        <w:t xml:space="preserve">analytisch nicht mehr auflösbar</w:t>
      </w:r>
      <w:r>
        <w:t xml:space="preserve">. Was im idealen Modell</w:t>
      </w:r>
      <w:r>
        <w:t xml:space="preserve"> </w:t>
      </w:r>
      <w:r>
        <w:t xml:space="preserve">eine Zeile Rechnung war, wird zum nichtlinearen Gleichungssystem — und</w:t>
      </w:r>
      <w:r>
        <w:t xml:space="preserve"> </w:t>
      </w:r>
      <w:r>
        <w:t xml:space="preserve">damit zur Aufgabe für das Handwerkszeug aus Teil II.</w:t>
      </w:r>
    </w:p>
    <w:bookmarkEnd w:id="42"/>
    <w:bookmarkStart w:id="43" w:name="zusammenfassung-und-ausblick"/>
    <w:p>
      <w:pPr>
        <w:pStyle w:val="Heading2"/>
      </w:pPr>
      <w:r>
        <w:t xml:space="preserve">6.12 Zusammenfassung und Ausblick</w:t>
      </w:r>
    </w:p>
    <w:p>
      <w:pPr>
        <w:pStyle w:val="Compact"/>
        <w:numPr>
          <w:ilvl w:val="0"/>
          <w:numId w:val="1005"/>
        </w:numPr>
      </w:pPr>
      <w:r>
        <w:t xml:space="preserve">Das Gummel-Poon-Modell erweitert die ideale Exponentialkennlinie um</w:t>
      </w:r>
      <w:r>
        <w:t xml:space="preserve"> </w:t>
      </w:r>
      <w:r>
        <w:t xml:space="preserve">vier messbare Effekte: Early (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), Basis-Early (</w:t>
      </w:r>
      <m:oMath>
        <m:sSub>
          <m:e>
            <m:r>
              <m:t>V</m:t>
            </m:r>
          </m:e>
          <m:sub>
            <m:r>
              <m:t>A</m:t>
            </m:r>
            <m:r>
              <m:t>B</m:t>
            </m:r>
          </m:sub>
        </m:sSub>
      </m:oMath>
      <w:r>
        <w:t xml:space="preserve">),</w:t>
      </w:r>
      <w:r>
        <w:t xml:space="preserve"> </w:t>
      </w:r>
      <w:r>
        <w:t xml:space="preserve">Hochinjektion (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) und inneren Basiswiderstand</w:t>
      </w:r>
      <w:r>
        <w:t xml:space="preserve"> </w:t>
      </w:r>
      <w:r>
        <w:t xml:space="preserve">(</w:t>
      </w:r>
      <m:oMath>
        <m:sSub>
          <m:e>
            <m:r>
              <m:t>R</m:t>
            </m:r>
          </m:e>
          <m:sub>
            <m:r>
              <m:t>B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int</m:t>
            </m:r>
          </m:sub>
        </m:sSub>
      </m:oMath>
      <w:r>
        <w:t xml:space="preserve">) — durchgehend formuliert in den</w:t>
      </w:r>
      <w:r>
        <w:t xml:space="preserve"> </w:t>
      </w:r>
      <w:r>
        <w:t xml:space="preserve">Klemmenspannungen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E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Jeder Modellterm bringt seine</w:t>
      </w:r>
      <w:r>
        <w:t xml:space="preserve"> </w:t>
      </w:r>
      <w:r>
        <w:rPr>
          <w:b/>
          <w:bCs/>
        </w:rPr>
        <w:t xml:space="preserve">Messvorschrift</w:t>
      </w:r>
      <w:r>
        <w:t xml:space="preserve"> </w:t>
      </w:r>
      <w:r>
        <w:t xml:space="preserve">mit: die</w:t>
      </w:r>
      <w:r>
        <w:t xml:space="preserve"> </w:t>
      </w:r>
      <w:r>
        <w:t xml:space="preserve">Gummel-Plot-Gerade für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und</w:t>
      </w:r>
      <w:r>
        <w:t xml:space="preserve"> </w:t>
      </w:r>
      <m:oMath>
        <m:r>
          <m:t>n</m:t>
        </m:r>
      </m:oMath>
      <w:r>
        <w:t xml:space="preserve">, den gemeinsamen</w:t>
      </w:r>
      <w:r>
        <w:t xml:space="preserve"> </w:t>
      </w:r>
      <w:r>
        <w:t xml:space="preserve">Achsenschnittpunkt für</w:t>
      </w:r>
      <w:r>
        <w:t xml:space="preserve"> </w:t>
      </w:r>
      <m:oMath>
        <m:sSub>
          <m:e>
            <m:r>
              <m:t>V</m:t>
            </m:r>
          </m:e>
          <m:sub>
            <m:r>
              <m:t>A</m:t>
            </m:r>
          </m:sub>
        </m:sSub>
      </m:oMath>
      <w:r>
        <w:t xml:space="preserve">, das</w:t>
      </w:r>
      <w:r>
        <w:t xml:space="preserve"> </w:t>
      </w:r>
      <m:oMath>
        <m:sSub>
          <m:e>
            <m:r>
              <m:t>h</m:t>
            </m:r>
          </m:e>
          <m:sub>
            <m:r>
              <m:t>F</m:t>
            </m:r>
            <m:r>
              <m:t>E</m:t>
            </m:r>
          </m:sub>
        </m:sSub>
      </m:oMath>
      <w:r>
        <w:t xml:space="preserve">-Plateau für</w:t>
      </w:r>
      <w:r>
        <w:t xml:space="preserve"> </w:t>
      </w:r>
      <m:oMath>
        <m:sSub>
          <m:e>
            <m:r>
              <m:t>β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den Hochstromabfall für</w:t>
      </w:r>
      <w:r>
        <w:t xml:space="preserve"> </w:t>
      </w:r>
      <m:oMath>
        <m:sSub>
          <m:e>
            <m:r>
              <m:t>I</m:t>
            </m:r>
          </m:e>
          <m:sub>
            <m:r>
              <m:t>K</m:t>
            </m:r>
            <m:r>
              <m:t>F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Zwei strukturelle Eigenschaften prägen alles Weitere: die</w:t>
      </w:r>
      <w:r>
        <w:t xml:space="preserve"> </w:t>
      </w:r>
      <w:r>
        <w:rPr>
          <w:b/>
          <w:bCs/>
        </w:rPr>
        <w:t xml:space="preserve">Nichtlinearität</w:t>
      </w:r>
      <w:r>
        <w:t xml:space="preserve"> </w:t>
      </w:r>
      <w:r>
        <w:t xml:space="preserve">(kein geschlossener Arbeitspunkt) und die</w:t>
      </w:r>
      <w:r>
        <w:t xml:space="preserve"> </w:t>
      </w:r>
      <w:r>
        <w:rPr>
          <w:b/>
          <w:bCs/>
        </w:rPr>
        <w:t xml:space="preserve">implizite Kopplung</w:t>
      </w:r>
      <w:r>
        <w:t xml:space="preserve"> </w:t>
      </w:r>
      <w:r>
        <w:t xml:space="preserve">über</w:t>
      </w:r>
      <w:r>
        <w:t xml:space="preserve"> </w:t>
      </w:r>
      <m:oMath>
        <m:sSub>
          <m:e>
            <m:r>
              <m:t>V</m:t>
            </m:r>
          </m:e>
          <m:sub>
            <m:r>
              <m:t>B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eff</m:t>
            </m:r>
          </m:sub>
        </m:sSub>
      </m:oMath>
      <w:r>
        <w:t xml:space="preserve"> </w:t>
      </w:r>
      <w:r>
        <w:t xml:space="preserve">(algebraische</w:t>
      </w:r>
      <w:r>
        <w:t xml:space="preserve"> </w:t>
      </w:r>
      <w:r>
        <w:t xml:space="preserve">Schleife).</w:t>
      </w:r>
    </w:p>
    <w:p>
      <w:pPr>
        <w:pStyle w:val="FirstParagraph"/>
      </w:pPr>
      <w:r>
        <w:t xml:space="preserve">Damit ist das Modell vollständig — aber es ist noch eine Hülle: Seine</w:t>
      </w:r>
      <w:r>
        <w:t xml:space="preserve"> </w:t>
      </w:r>
      <w:r>
        <w:t xml:space="preserve">Parameter sind Buchstaben.</w:t>
      </w:r>
      <w:r>
        <w:t xml:space="preserve"> </w:t>
      </w:r>
      <w:r>
        <w:rPr>
          <w:b/>
          <w:bCs/>
        </w:rPr>
        <w:t xml:space="preserve">Kapitel 7</w:t>
      </w:r>
      <w:r>
        <w:t xml:space="preserve"> </w:t>
      </w:r>
      <w:r>
        <w:t xml:space="preserve">füllt sie mit Zahlen: aus den</w:t>
      </w:r>
      <w:r>
        <w:t xml:space="preserve"> </w:t>
      </w:r>
      <w:r>
        <w:t xml:space="preserve">selbst gemessenen Kennlinien, Schritt für Schritt, mit jeder Annahme</w:t>
      </w:r>
      <w:r>
        <w:t xml:space="preserve"> </w:t>
      </w:r>
      <w:r>
        <w:t xml:space="preserve">und jeder Grenze der Bestimmbarkeit. Danach löst</w:t>
      </w:r>
      <w:r>
        <w:t xml:space="preserve"> </w:t>
      </w:r>
      <w:r>
        <w:rPr>
          <w:b/>
          <w:bCs/>
        </w:rPr>
        <w:t xml:space="preserve">Kapitel 8</w:t>
      </w:r>
      <w:r>
        <w:t xml:space="preserve"> </w:t>
      </w:r>
      <w:r>
        <w:t xml:space="preserve">das</w:t>
      </w:r>
      <w:r>
        <w:t xml:space="preserve"> </w:t>
      </w:r>
      <w:r>
        <w:t xml:space="preserve">Modell in einer realen Schaltung, und</w:t>
      </w:r>
      <w:r>
        <w:t xml:space="preserve"> </w:t>
      </w:r>
      <w:r>
        <w:rPr>
          <w:b/>
          <w:bCs/>
        </w:rPr>
        <w:t xml:space="preserve">Kapitel 9</w:t>
      </w:r>
      <w:r>
        <w:t xml:space="preserve"> </w:t>
      </w:r>
      <w:r>
        <w:t xml:space="preserve">lässt es in LTspice</w:t>
      </w:r>
      <w:r>
        <w:t xml:space="preserve"> </w:t>
      </w:r>
      <w:r>
        <w:t xml:space="preserve">und Simulink gegen die Messung antreten.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Kapitel 6 — Das Gummel-Poon-Modell und seine SPICE-Parameter</dc:title>
  <dc:creator>Prof. Dr.-Ing. Ralph Wystup</dc:creator>
  <dc:language>de</dc:language>
  <cp:keywords/>
  <dcterms:created xsi:type="dcterms:W3CDTF">2026-09-30T08:21:23Z</dcterms:created>
  <dcterms:modified xsi:type="dcterms:W3CDTF">2026-09-30T08:21:23Z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Entwurf, Stand 4. August 2026</vt:lpwstr>
  </property>
  <property fmtid="{D5CDD505-2E9C-101B-9397-08002B2CF9AE}" pid="3" name="subtitle">
    <vt:lpwstr>Buchentwurf zur Freigabe · Teil III: Vom Messwert zum Modell</vt:lpwstr>
  </property>
</Properties>
</file>