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2.png" ContentType="image/png"/>
  <Override PartName="/word/media/rId30.png" ContentType="image/png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Kapitel</w:t>
      </w:r>
      <w:r>
        <w:t xml:space="preserve"> </w:t>
      </w:r>
      <w:r>
        <w:t xml:space="preserve">7</w:t>
      </w:r>
      <w:r>
        <w:t xml:space="preserve"> </w:t>
      </w:r>
      <w:r>
        <w:t xml:space="preserve">—</w:t>
      </w:r>
      <w:r>
        <w:t xml:space="preserve"> </w:t>
      </w:r>
      <w:r>
        <w:t xml:space="preserve">Parameterextraktion:</w:t>
      </w:r>
      <w:r>
        <w:t xml:space="preserve"> </w:t>
      </w:r>
      <w:r>
        <w:t xml:space="preserve">vom</w:t>
      </w:r>
      <w:r>
        <w:t xml:space="preserve"> </w:t>
      </w:r>
      <w:r>
        <w:t xml:space="preserve">Messwert</w:t>
      </w:r>
      <w:r>
        <w:t xml:space="preserve"> </w:t>
      </w:r>
      <w:r>
        <w:t xml:space="preserve">zum</w:t>
      </w:r>
      <w:r>
        <w:t xml:space="preserve"> </w:t>
      </w:r>
      <w:r>
        <w:t xml:space="preserve">Zahlenwert</w:t>
      </w:r>
    </w:p>
    <w:p>
      <w:pPr>
        <w:pStyle w:val="Subtitle"/>
      </w:pPr>
      <w:r>
        <w:t xml:space="preserve">Buchentwurf</w:t>
      </w:r>
      <w:r>
        <w:t xml:space="preserve"> </w:t>
      </w:r>
      <w:r>
        <w:t xml:space="preserve">zur</w:t>
      </w:r>
      <w:r>
        <w:t xml:space="preserve"> </w:t>
      </w:r>
      <w:r>
        <w:t xml:space="preserve">Freigabe</w:t>
      </w:r>
      <w:r>
        <w:t xml:space="preserve"> </w:t>
      </w:r>
      <w:r>
        <w:t xml:space="preserve">·</w:t>
      </w:r>
      <w:r>
        <w:t xml:space="preserve"> </w:t>
      </w:r>
      <w:r>
        <w:t xml:space="preserve">Teil</w:t>
      </w:r>
      <w:r>
        <w:t xml:space="preserve"> </w:t>
      </w:r>
      <w:r>
        <w:t xml:space="preserve">III:</w:t>
      </w:r>
      <w:r>
        <w:t xml:space="preserve"> </w:t>
      </w:r>
      <w:r>
        <w:t xml:space="preserve">Vom</w:t>
      </w:r>
      <w:r>
        <w:t xml:space="preserve"> </w:t>
      </w:r>
      <w:r>
        <w:t xml:space="preserve">Messwert</w:t>
      </w:r>
      <w:r>
        <w:t xml:space="preserve"> </w:t>
      </w:r>
      <w:r>
        <w:t xml:space="preserve">zum</w:t>
      </w:r>
      <w:r>
        <w:t xml:space="preserve"> </w:t>
      </w:r>
      <w:r>
        <w:t xml:space="preserve">Modell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</w:p>
    <w:p>
      <w:pPr>
        <w:pStyle w:val="Date"/>
      </w:pPr>
      <w:r>
        <w:t xml:space="preserve">Entwurf,</w:t>
      </w:r>
      <w:r>
        <w:t xml:space="preserve"> </w:t>
      </w:r>
      <w:r>
        <w:t xml:space="preserve">Stand</w:t>
      </w:r>
      <w:r>
        <w:t xml:space="preserve"> </w:t>
      </w:r>
      <w:r>
        <w:t xml:space="preserve">4.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91d4bb5a28b64b0ddc083b41dab0a0720476d11"/>
    <w:p>
      <w:pPr>
        <w:pStyle w:val="Heading1"/>
      </w:pPr>
      <w:r>
        <w:t xml:space="preserve">7 Parameterextraktion: vom Messwert zum Zahlenwert</w:t>
      </w:r>
    </w:p>
    <w:bookmarkStart w:id="20" w:name="sinn-und-ziel-dieses-kapitels"/>
    <w:p>
      <w:pPr>
        <w:pStyle w:val="Heading2"/>
      </w:pPr>
      <w:r>
        <w:t xml:space="preserve">7.1 Sinn und Ziel dieses Kapitels</w:t>
      </w:r>
    </w:p>
    <w:p>
      <w:pPr>
        <w:pStyle w:val="FirstParagraph"/>
      </w:pPr>
      <w:r>
        <w:rPr>
          <w:b/>
          <w:bCs/>
        </w:rPr>
        <w:t xml:space="preserve">Warum dieses Kapitel das Scharnier des Buches ist:</w:t>
      </w:r>
      <w:r>
        <w:t xml:space="preserve"> </w:t>
      </w:r>
      <w:r>
        <w:t xml:space="preserve">Kapitel 6 hat</w:t>
      </w:r>
      <w:r>
        <w:t xml:space="preserve"> </w:t>
      </w:r>
      <w:r>
        <w:t xml:space="preserve">das Modell aufgebaut — aber seine Parameter sind Buchstaben. Wer sie</w:t>
      </w:r>
      <w:r>
        <w:t xml:space="preserve"> </w:t>
      </w:r>
      <w:r>
        <w:t xml:space="preserve">aus dem Datenblatt oder einer heruntergeladenen</w:t>
      </w:r>
      <w:r>
        <w:t xml:space="preserve"> </w:t>
      </w:r>
      <w:r>
        <w:rPr>
          <w:rStyle w:val="VerbatimChar"/>
        </w:rPr>
        <w:t xml:space="preserve">.model</w:t>
      </w:r>
      <w:r>
        <w:t xml:space="preserve">-Karte</w:t>
      </w:r>
      <w:r>
        <w:t xml:space="preserve"> </w:t>
      </w:r>
      <w:r>
        <w:t xml:space="preserve">übernimmt, simuliert einen</w:t>
      </w:r>
      <w:r>
        <w:t xml:space="preserve"> </w:t>
      </w:r>
      <w:r>
        <w:rPr>
          <w:b/>
          <w:bCs/>
        </w:rPr>
        <w:t xml:space="preserve">Katalog-Transistor</w:t>
      </w:r>
      <w:r>
        <w:t xml:space="preserve">, nicht das Bauteil</w:t>
      </w:r>
      <w:r>
        <w:t xml:space="preserve"> </w:t>
      </w:r>
      <w:r>
        <w:t xml:space="preserve">auf seinem Tisch: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 </w:t>
      </w:r>
      <w:r>
        <w:t xml:space="preserve">streut in der Serie um den Faktor 4, und ob</w:t>
      </w:r>
      <w:r>
        <w:t xml:space="preserve"> </w:t>
      </w:r>
      <w:r>
        <w:t xml:space="preserve">die Katalogwerte je an einem Exemplar gemessen wurden, weiß niemand.</w:t>
      </w:r>
      <w:r>
        <w:t xml:space="preserve"> </w:t>
      </w:r>
      <w:r>
        <w:t xml:space="preserve">Dieses Kapitel schließt die Lücke zwischen Theorie und Praxis:</w:t>
      </w:r>
      <w:r>
        <w:t xml:space="preserve"> </w:t>
      </w:r>
      <w:r>
        <w:rPr>
          <w:b/>
          <w:bCs/>
        </w:rPr>
        <w:t xml:space="preserve">Es</w:t>
      </w:r>
      <w:r>
        <w:rPr>
          <w:b/>
          <w:bCs/>
        </w:rPr>
        <w:t xml:space="preserve"> </w:t>
      </w:r>
      <w:r>
        <w:rPr>
          <w:b/>
          <w:bCs/>
        </w:rPr>
        <w:t xml:space="preserve">macht aus den selbst gemessenen Kennlinien (Teil I) den Parametersatz</w:t>
      </w:r>
      <w:r>
        <w:rPr>
          <w:b/>
          <w:bCs/>
        </w:rPr>
        <w:t xml:space="preserve"> </w:t>
      </w:r>
      <w:r>
        <w:rPr>
          <w:b/>
          <w:bCs/>
        </w:rPr>
        <w:t xml:space="preserve">des eigenen, konkreten Transistors</w:t>
      </w:r>
      <w:r>
        <w:t xml:space="preserve"> </w:t>
      </w:r>
      <w:r>
        <w:t xml:space="preserve">— nachvollziehbar bis in jede</w:t>
      </w:r>
      <w:r>
        <w:t xml:space="preserve"> </w:t>
      </w:r>
      <w:r>
        <w:t xml:space="preserve">Formel und jeden Ablesewert. Erst damit werden die Simulationen der</w:t>
      </w:r>
      <w:r>
        <w:t xml:space="preserve"> </w:t>
      </w:r>
      <w:r>
        <w:t xml:space="preserve">Kapitel 8 und 9 zu überprüfbaren Aussagen über</w:t>
      </w:r>
      <w:r>
        <w:t xml:space="preserve"> </w:t>
      </w:r>
      <w:r>
        <w:rPr>
          <w:i/>
          <w:iCs/>
        </w:rPr>
        <w:t xml:space="preserve">dieses</w:t>
      </w:r>
      <w:r>
        <w:t xml:space="preserve"> </w:t>
      </w:r>
      <w:r>
        <w:t xml:space="preserve">Bauteil.</w:t>
      </w:r>
    </w:p>
    <w:p>
      <w:pPr>
        <w:pStyle w:val="BlockText"/>
      </w:pPr>
      <w:r>
        <w:rPr>
          <w:b/>
          <w:bCs/>
        </w:rPr>
        <w:t xml:space="preserve">Nach diesem Kapitel können Sie:</w:t>
      </w:r>
    </w:p>
    <w:p>
      <w:pPr>
        <w:pStyle w:val="Compact"/>
        <w:numPr>
          <w:ilvl w:val="0"/>
          <w:numId w:val="1001"/>
        </w:numPr>
      </w:pPr>
      <w:r>
        <w:t xml:space="preserve">aus dem Gummel-Plot den Sättigungsstrom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 den Idealfaktor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extrahieren — grafisch per Geradenfit und von Hand über zwei</w:t>
      </w:r>
      <w:r>
        <w:t xml:space="preserve"> </w:t>
      </w:r>
      <w:r>
        <w:t xml:space="preserve">Messpunkte,</w:t>
      </w:r>
    </w:p>
    <w:p>
      <w:pPr>
        <w:pStyle w:val="Compact"/>
        <w:numPr>
          <w:ilvl w:val="0"/>
          <w:numId w:val="1001"/>
        </w:numPr>
      </w:pPr>
      <w:r>
        <w:t xml:space="preserve">die Stromverstärkung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aus dem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-Plateau</w:t>
      </w:r>
      <w:r>
        <w:t xml:space="preserve"> </w:t>
      </w:r>
      <w:r>
        <w:t xml:space="preserve">bestimmen,</w:t>
      </w:r>
    </w:p>
    <w:p>
      <w:pPr>
        <w:pStyle w:val="Compact"/>
        <w:numPr>
          <w:ilvl w:val="0"/>
          <w:numId w:val="1001"/>
        </w:numPr>
      </w:pPr>
      <w:r>
        <w:t xml:space="preserve">die Early-Spannung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durch Extrapolation des</w:t>
      </w:r>
      <w:r>
        <w:t xml:space="preserve"> </w:t>
      </w:r>
      <w:r>
        <w:t xml:space="preserve">Ausgangskennfelds ermitteln,</w:t>
      </w:r>
    </w:p>
    <w:p>
      <w:pPr>
        <w:pStyle w:val="Compact"/>
        <w:numPr>
          <w:ilvl w:val="0"/>
          <w:numId w:val="1001"/>
        </w:numPr>
      </w:pPr>
      <w:r>
        <w:t xml:space="preserve">den Knickstrom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über das 70,7-%-Kriterium ablesen — und</w:t>
      </w:r>
      <w:r>
        <w:t xml:space="preserve"> </w:t>
      </w:r>
      <w:r>
        <w:t xml:space="preserve">erkennen, wann er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ablesbar ist,</w:t>
      </w:r>
    </w:p>
    <w:p>
      <w:pPr>
        <w:pStyle w:val="Compact"/>
        <w:numPr>
          <w:ilvl w:val="0"/>
          <w:numId w:val="1001"/>
        </w:numPr>
      </w:pPr>
      <w:r>
        <w:t xml:space="preserve">den inneren 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aus der Kompression</w:t>
      </w:r>
      <w:r>
        <w:t xml:space="preserve"> </w:t>
      </w:r>
      <w:r>
        <w:t xml:space="preserve">der Eingangskennlinie berechnen,</w:t>
      </w:r>
    </w:p>
    <w:p>
      <w:pPr>
        <w:pStyle w:val="Compact"/>
        <w:numPr>
          <w:ilvl w:val="0"/>
          <w:numId w:val="1001"/>
        </w:numPr>
      </w:pPr>
      <w:r>
        <w:t xml:space="preserve">mit globalem Fit und</w:t>
      </w:r>
      <w:r>
        <w:t xml:space="preserve"> </w:t>
      </w:r>
      <w:r>
        <w:rPr>
          <w:b/>
          <w:bCs/>
        </w:rPr>
        <w:t xml:space="preserve">Identifizierbarkeitsanalyse</w:t>
      </w:r>
      <w:r>
        <w:t xml:space="preserve"> </w:t>
      </w:r>
      <w:r>
        <w:t xml:space="preserve">beurteilen,</w:t>
      </w:r>
      <w:r>
        <w:t xml:space="preserve"> </w:t>
      </w:r>
      <w:r>
        <w:t xml:space="preserve">welche Parameter wirklich „aus den Daten” kommen — und welche nur</w:t>
      </w:r>
      <w:r>
        <w:t xml:space="preserve"> </w:t>
      </w:r>
      <w:r>
        <w:t xml:space="preserve">gesetzt sind.</w:t>
      </w:r>
    </w:p>
    <w:p>
      <w:pPr>
        <w:pStyle w:val="FirstParagraph"/>
      </w:pPr>
      <w:r>
        <w:rPr>
          <w:b/>
          <w:bCs/>
        </w:rPr>
        <w:t xml:space="preserve">Der Fahrplan.</w:t>
      </w:r>
      <w:r>
        <w:t xml:space="preserve"> </w:t>
      </w:r>
      <w:r>
        <w:t xml:space="preserve">Die Extraktion folgt einer</w:t>
      </w:r>
      <w:r>
        <w:t xml:space="preserve"> </w:t>
      </w:r>
      <w:r>
        <w:rPr>
          <w:b/>
          <w:bCs/>
        </w:rPr>
        <w:t xml:space="preserve">festen Reihenfolge</w:t>
      </w:r>
      <w:r>
        <w:t xml:space="preserve">,</w:t>
      </w:r>
      <w:r>
        <w:t xml:space="preserve"> </w:t>
      </w:r>
      <w:r>
        <w:t xml:space="preserve">denn spätere Parameter bauen auf früheren auf:</w:t>
      </w:r>
    </w:p>
    <w:p>
      <w:pPr>
        <w:pStyle w:val="BodyText"/>
      </w:pPr>
      <w:r>
        <w:t xml:space="preserve">Die Extraktion folgt einer</w:t>
      </w:r>
      <w:r>
        <w:t xml:space="preserve"> </w:t>
      </w:r>
      <w:r>
        <w:rPr>
          <w:b/>
          <w:bCs/>
        </w:rPr>
        <w:t xml:space="preserve">festen Reihenfolge</w:t>
      </w:r>
      <w:r>
        <w:t xml:space="preserve">, denn spätere</w:t>
      </w:r>
      <w:r>
        <w:t xml:space="preserve"> </w:t>
      </w:r>
      <w:r>
        <w:t xml:space="preserve">Parameter bauen auf früheren auf: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</m:oMath>
      </m:oMathPara>
    </w:p>
    <w:p>
      <w:pPr>
        <w:pStyle w:val="FirstParagraph"/>
      </w:pPr>
      <w:r>
        <w:t xml:space="preserve">Und wir gehen den Weg</w:t>
      </w:r>
      <w:r>
        <w:t xml:space="preserve"> </w:t>
      </w:r>
      <w:r>
        <w:rPr>
          <w:b/>
          <w:bCs/>
        </w:rPr>
        <w:t xml:space="preserve">zweimal</w:t>
      </w:r>
      <w:r>
        <w:t xml:space="preserve">, mit Absicht: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Durchlauf 1 — BC337-25 am Kurventracer:</w:t>
      </w:r>
      <w:r>
        <w:t xml:space="preserve"> </w:t>
      </w:r>
      <w:r>
        <w:t xml:space="preserve">Hier entwickeln wir die</w:t>
      </w:r>
      <w:r>
        <w:t xml:space="preserve"> </w:t>
      </w:r>
      <w:r>
        <w:t xml:space="preserve">Methode Schritt für Schritt und erweitern sie am Ende um zwei</w:t>
      </w:r>
      <w:r>
        <w:t xml:space="preserve"> </w:t>
      </w:r>
      <w:r>
        <w:t xml:space="preserve">Werkzeuge, die über das übliche Vorgehen hinausgehen: den</w:t>
      </w:r>
      <w:r>
        <w:t xml:space="preserve"> </w:t>
      </w:r>
      <w:r>
        <w:rPr>
          <w:b/>
          <w:bCs/>
        </w:rPr>
        <w:t xml:space="preserve">globalen</w:t>
      </w:r>
      <w:r>
        <w:rPr>
          <w:b/>
          <w:bCs/>
        </w:rPr>
        <w:t xml:space="preserve"> </w:t>
      </w:r>
      <w:r>
        <w:rPr>
          <w:b/>
          <w:bCs/>
        </w:rPr>
        <w:t xml:space="preserve">Fit</w:t>
      </w:r>
      <w:r>
        <w:t xml:space="preserve"> </w:t>
      </w:r>
      <w:r>
        <w:t xml:space="preserve">über alle Kennlinienfelder und die</w:t>
      </w:r>
      <w:r>
        <w:t xml:space="preserve"> </w:t>
      </w:r>
      <w:r>
        <w:rPr>
          <w:b/>
          <w:bCs/>
        </w:rPr>
        <w:t xml:space="preserve">Identifizierbarkeitsanalyse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Durchlauf 2 — BC547 am eigenen Kennlinienschreiber (Kapitel 2):</w:t>
      </w:r>
      <w:r>
        <w:t xml:space="preserve"> </w:t>
      </w:r>
      <w:r>
        <w:t xml:space="preserve">Derselbe Weg, eigenständig durchgerechnet mit Zwei-Punkt-Auswertungen, die sich vollständig von Hand nachvollziehen</w:t>
      </w:r>
      <w:r>
        <w:t xml:space="preserve"> </w:t>
      </w:r>
      <w:r>
        <w:t xml:space="preserve">lassen — der Beleg, dass die Methode nicht am Gerät hängt.</w:t>
      </w:r>
    </w:p>
    <w:p>
      <w:pPr>
        <w:pStyle w:val="FirstParagraph"/>
      </w:pPr>
      <w:r>
        <w:t xml:space="preserve">Dass beide Durchläufe teils</w:t>
      </w:r>
      <w:r>
        <w:t xml:space="preserve"> </w:t>
      </w:r>
      <w:r>
        <w:rPr>
          <w:b/>
          <w:bCs/>
        </w:rPr>
        <w:t xml:space="preserve">unterschiedliche Antworten auf dieselbe</w:t>
      </w:r>
      <w:r>
        <w:rPr>
          <w:b/>
          <w:bCs/>
        </w:rPr>
        <w:t xml:space="preserve"> </w:t>
      </w:r>
      <w:r>
        <w:rPr>
          <w:b/>
          <w:bCs/>
        </w:rPr>
        <w:t xml:space="preserve">Frage</w:t>
      </w:r>
      <w:r>
        <w:t xml:space="preserve"> </w:t>
      </w:r>
      <w:r>
        <w:t xml:space="preserve">geben (beim einen ist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bestimmbar, beim anderen nicht),</w:t>
      </w:r>
      <w:r>
        <w:t xml:space="preserve"> </w:t>
      </w:r>
      <w:r>
        <w:t xml:space="preserve">ist kein Makel, sondern die zentrale Lektion dieses Kapitels — sie wird</w:t>
      </w:r>
      <w:r>
        <w:t xml:space="preserve"> </w:t>
      </w:r>
      <w:r>
        <w:t xml:space="preserve">in Abschnitt 7.11 auf den Punkt gebracht.</w:t>
      </w:r>
    </w:p>
    <w:bookmarkEnd w:id="20"/>
    <w:bookmarkStart w:id="21" w:name="die-messdatenbasis"/>
    <w:p>
      <w:pPr>
        <w:pStyle w:val="Heading2"/>
      </w:pPr>
      <w:r>
        <w:t xml:space="preserve">7.2 Die Messdatenbasis</w:t>
      </w:r>
    </w:p>
    <w:p>
      <w:pPr>
        <w:pStyle w:val="FirstParagraph"/>
      </w:pPr>
      <w:r>
        <w:rPr>
          <w:b/>
          <w:bCs/>
        </w:rPr>
        <w:t xml:space="preserve">Messprinzip.</w:t>
      </w:r>
      <w:r>
        <w:t xml:space="preserve"> </w:t>
      </w:r>
      <w:r>
        <w:t xml:space="preserve">Ein Kennlinienschreiber legt definierte Spannungs-</w:t>
      </w:r>
      <w:r>
        <w:t xml:space="preserve"> </w:t>
      </w:r>
      <w:r>
        <w:t xml:space="preserve">bzw. Stromrampen an den Prüfling und zeichnet die Ströme auf. Für die</w:t>
      </w:r>
      <w:r>
        <w:t xml:space="preserve"> </w:t>
      </w:r>
      <w:r>
        <w:t xml:space="preserve">vollständige Extraktion braucht es drei Messreihen: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Messreihe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liefert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Gummel-Plot (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über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const.</m:t>
              </m:r>
            </m:oMath>
            <w:r>
              <w:t xml:space="preserve"> </w:t>
            </w:r>
            <w:r>
              <w:t xml:space="preserve">(z. B. 5 V), log. Stromachse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Ausgangskennfeld (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über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mehrere feste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-Stufen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Eingangskennlinie (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über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, hohe Auflösung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oMath>
          </w:p>
        </w:tc>
      </w:tr>
    </w:tbl>
    <w:p>
      <w:pPr>
        <w:pStyle w:val="BodyText"/>
      </w:pPr>
      <w:r>
        <w:t xml:space="preserve">Die Basis-Early-Spannung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</w:t>
      </w:r>
      <w:r>
        <w:rPr>
          <w:rStyle w:val="VerbatimChar"/>
        </w:rPr>
        <w:t xml:space="preserve">VAR</w:t>
      </w:r>
      <w:r>
        <w:t xml:space="preserve">) ist messtechnisch deutlich</w:t>
      </w:r>
      <w:r>
        <w:t xml:space="preserve"> </w:t>
      </w:r>
      <w:r>
        <w:t xml:space="preserve">aufwendiger (sie verlangt die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-Abhängigkeit von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bei sehr</w:t>
      </w:r>
      <w:r>
        <w:t xml:space="preserve"> </w:t>
      </w:r>
      <w:r>
        <w:t xml:space="preserve">hoher Stromauflösung); in der Praxis übernimmt man sie aus dem</w:t>
      </w:r>
      <w:r>
        <w:t xml:space="preserve"> </w:t>
      </w:r>
      <w:r>
        <w:t xml:space="preserve">Datenblatt oder schätzt sie mit der Faustregel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≈</m:t>
        </m:r>
        <m:r>
          <m:t>2</m:t>
        </m:r>
        <m:r>
          <m:t> 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— ihr Einfluss auf die Schaltungsanalyse ist</w:t>
      </w:r>
      <w:r>
        <w:t xml:space="preserve"> </w:t>
      </w:r>
      <w:r>
        <w:t xml:space="preserve">klein (Kapitel 6.5).</w:t>
      </w:r>
    </w:p>
    <w:p>
      <w:pPr>
        <w:pStyle w:val="BodyText"/>
      </w:pPr>
      <w:r>
        <w:rPr>
          <w:b/>
          <w:bCs/>
        </w:rPr>
        <w:t xml:space="preserve">Zwei Fallstricke schon bei der Messung: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Thermische Drift: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verdoppelt sich näherungsweise alle</w:t>
      </w:r>
      <w:r>
        <w:t xml:space="preserve"> </w:t>
      </w:r>
      <w:r>
        <w:t xml:space="preserve">8–10 K. Der Kennlinienschreiber muss die Selbsterwärmung klein</w:t>
      </w:r>
      <w:r>
        <w:t xml:space="preserve"> </w:t>
      </w:r>
      <w:r>
        <w:t xml:space="preserve">halten (Pulsmessung, Strombegrenzung), sonst verschieben sich alle</w:t>
      </w:r>
      <w:r>
        <w:t xml:space="preserve"> </w:t>
      </w:r>
      <w:r>
        <w:t xml:space="preserve">abgeleiteten Parameter mit der Messzeit.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Serienstreuung: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 </w:t>
      </w:r>
      <w:r>
        <w:t xml:space="preserve">streut beim BC547 herstellerseitig um</w:t>
      </w:r>
      <w:r>
        <w:t xml:space="preserve"> </w:t>
      </w:r>
      <w:r>
        <w:t xml:space="preserve">den Faktor 4 (Klassengrenzen 110–800).</w:t>
      </w:r>
      <w:r>
        <w:t xml:space="preserve"> </w:t>
      </w:r>
      <w:r>
        <w:rPr>
          <w:b/>
          <w:bCs/>
        </w:rPr>
        <w:t xml:space="preserve">Jede Extraktion gilt nur</w:t>
      </w:r>
      <w:r>
        <w:rPr>
          <w:b/>
          <w:bCs/>
        </w:rPr>
        <w:t xml:space="preserve"> </w:t>
      </w:r>
      <w:r>
        <w:rPr>
          <w:b/>
          <w:bCs/>
        </w:rPr>
        <w:t xml:space="preserve">für das konkrete Exemplar</w:t>
      </w:r>
      <w:r>
        <w:t xml:space="preserve"> </w:t>
      </w:r>
      <w:r>
        <w:t xml:space="preserve">— genau deshalb misst man selbst, statt</w:t>
      </w:r>
      <w:r>
        <w:t xml:space="preserve"> </w:t>
      </w:r>
      <w:r>
        <w:t xml:space="preserve">Katalogwerte zu übernehmen.</w:t>
      </w:r>
    </w:p>
    <w:p>
      <w:pPr>
        <w:pStyle w:val="FirstParagraph"/>
      </w:pPr>
      <w:r>
        <w:t xml:space="preserve">Für Durchlauf 1 liegen fünf Kennlinienfelder des BC337-25 als</w:t>
      </w:r>
      <w:r>
        <w:t xml:space="preserve"> </w:t>
      </w:r>
      <w:r>
        <w:t xml:space="preserve">Kurventracer-Dateien vor (</w:t>
      </w:r>
      <w:r>
        <w:rPr>
          <w:rStyle w:val="VerbatimChar"/>
        </w:rPr>
        <w:t xml:space="preserve">Ic_Vbe</w:t>
      </w:r>
      <w:r>
        <w:t xml:space="preserve">,</w:t>
      </w:r>
      <w:r>
        <w:t xml:space="preserve"> </w:t>
      </w:r>
      <w:r>
        <w:rPr>
          <w:rStyle w:val="VerbatimChar"/>
        </w:rPr>
        <w:t xml:space="preserve">Ic_Vce</w:t>
      </w:r>
      <w:r>
        <w:t xml:space="preserve">,</w:t>
      </w:r>
      <w:r>
        <w:t xml:space="preserve"> </w:t>
      </w:r>
      <w:r>
        <w:rPr>
          <w:rStyle w:val="VerbatimChar"/>
        </w:rPr>
        <w:t xml:space="preserve">Ic_Ib</w:t>
      </w:r>
      <w:r>
        <w:t xml:space="preserve">,</w:t>
      </w:r>
      <w:r>
        <w:t xml:space="preserve"> </w:t>
      </w:r>
      <w:r>
        <w:rPr>
          <w:rStyle w:val="VerbatimChar"/>
        </w:rPr>
        <w:t xml:space="preserve">hFE_Ic</w:t>
      </w:r>
      <w:r>
        <w:t xml:space="preserve">,</w:t>
      </w:r>
      <w:r>
        <w:t xml:space="preserve"> </w:t>
      </w:r>
      <w:r>
        <w:rPr>
          <w:rStyle w:val="VerbatimChar"/>
        </w:rPr>
        <w:t xml:space="preserve">hFE_Vce</w:t>
      </w:r>
      <w:r>
        <w:t xml:space="preserve">); Durchlauf 2 nutzt die Messreihen des eigenen</w:t>
      </w:r>
      <w:r>
        <w:t xml:space="preserve"> </w:t>
      </w:r>
      <w:r>
        <w:t xml:space="preserve">Kennlinienschreibers aus Kapitel 2.</w:t>
      </w:r>
    </w:p>
    <w:bookmarkEnd w:id="21"/>
    <w:bookmarkStart w:id="28" w:name="schritt-1-i_s-und-n-aus-dem-gummel-plot"/>
    <w:p>
      <w:pPr>
        <w:pStyle w:val="Heading2"/>
      </w:pPr>
      <w:r>
        <w:t xml:space="preserve">7.3 Schritt 1: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aus dem Gummel-Plot</w:t>
      </w:r>
    </w:p>
    <w:p>
      <w:pPr>
        <w:pStyle w:val="FirstParagraph"/>
      </w:pPr>
      <w:r>
        <w:rPr>
          <w:b/>
          <w:bCs/>
        </w:rPr>
        <w:t xml:space="preserve">Prinzip.</w:t>
      </w:r>
      <w:r>
        <w:t xml:space="preserve"> </w:t>
      </w:r>
      <w:r>
        <w:t xml:space="preserve">Im halblogarithmischen Gummel-Plot wird die</w:t>
      </w:r>
      <w:r>
        <w:t xml:space="preserve"> </w:t>
      </w:r>
      <w:r>
        <w:t xml:space="preserve">Exponentialkennlinie zur Geraden (Abbildung 6.1):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ln</m:t>
                  </m:r>
                  <m:r>
                    <m:t>​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C</m:t>
                              </m:r>
                              <m:r>
                                <m:t>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Achsenabschnitt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Steigung</m:t>
              </m:r>
            </m:lim>
          </m:limLow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Steigung und Achsenabschnitt sind die beiden Messgrößen: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nor/>
                  <m:sty m:val="p"/>
                </m:rPr>
                <m:t>Steigung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nor/>
                      <m:sty m:val="p"/>
                    </m:rPr>
                    <m:t>Achsenabschnitt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Praktische Auswertung über zwei Punkte.</w:t>
      </w:r>
      <w:r>
        <w:t xml:space="preserve"> </w:t>
      </w:r>
      <w:r>
        <w:t xml:space="preserve">Für die Handauswertung</w:t>
      </w:r>
      <w:r>
        <w:t xml:space="preserve"> </w:t>
      </w:r>
      <w:r>
        <w:t xml:space="preserve">genügen zwei Punkte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C</m:t>
                </m:r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I</m:t>
                </m:r>
              </m:e>
              <m:sub>
                <m:r>
                  <m:t>C</m:t>
                </m:r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aus dem</w:t>
      </w:r>
      <w:r>
        <w:t xml:space="preserve"> </w:t>
      </w:r>
      <w:r>
        <w:t xml:space="preserve">linearen Bereich: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</m:num>
                <m:den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B</m:t>
                          </m:r>
                          <m:r>
                            <m:t>E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sup>
                  </m:sSup>
                </m:den>
              </m:f>
              <m:r>
                <m:t> </m:t>
              </m:r>
            </m:e>
          </m:borderBox>
        </m:oMath>
      </m:oMathPara>
    </w:p>
    <w:p>
      <w:pPr>
        <w:pStyle w:val="CaptionedFigure"/>
      </w:pPr>
      <w:r>
        <w:drawing>
          <wp:inline>
            <wp:extent cx="4907280" cy="3019864"/>
            <wp:effectExtent b="0" l="0" r="0" t="0"/>
            <wp:docPr descr="Abbildung 7.1 — Schritt 1 an der echten Messung (BC337-25, V_{CE}=6\,V): Die Messpunkte liegen im Auswertefenster (grün) exakt auf der Fitgeraden; ihre Steigung liefert n=0{,}999, der Achsenabschnitt I_S=4{,}4\cdot10^{-14}\,A. Unterhalb des Rauschbodens (≈ 5 µA) und oberhalb des Fensters darf nicht ausgewertet werden." title="" id="23" name="Picture"/>
            <a:graphic>
              <a:graphicData uri="http://schemas.openxmlformats.org/drawingml/2006/picture">
                <pic:pic>
                  <pic:nvPicPr>
                    <pic:cNvPr descr="../bilder/kap07_gummel_mes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7.1</w:t>
      </w:r>
      <w:r>
        <w:t xml:space="preserve"> </w:t>
      </w:r>
      <w:r>
        <w:t xml:space="preserve">— Schritt 1 an der echten Messung (BC337-25,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6</m:t>
        </m:r>
        <m:r>
          <m:t> </m:t>
        </m:r>
      </m:oMath>
      <w:r>
        <w:t xml:space="preserve">V): Die Messpunkte liegen im Auswertefenster (grün) exakt</w:t>
      </w:r>
      <w:r>
        <w:t xml:space="preserve"> </w:t>
      </w:r>
      <w:r>
        <w:t xml:space="preserve">auf der Fitgeraden; ihre Steigung liefert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</m:oMath>
      <w:r>
        <w:t xml:space="preserve">, der</w:t>
      </w:r>
      <w:r>
        <w:t xml:space="preserve"> </w:t>
      </w:r>
      <w:r>
        <w:t xml:space="preserve">Achsenabschnitt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</m:oMath>
      <w:r>
        <w:t xml:space="preserve">A. Unterhalb des</w:t>
      </w:r>
      <w:r>
        <w:t xml:space="preserve"> </w:t>
      </w:r>
      <w:r>
        <w:t xml:space="preserve">Rauschbodens (≈ 5 µA) und oberhalb des Fensters darf nicht</w:t>
      </w:r>
      <w:r>
        <w:t xml:space="preserve"> </w:t>
      </w:r>
      <w:r>
        <w:t xml:space="preserve">ausgewertet werden.</w:t>
      </w:r>
    </w:p>
    <w:p>
      <w:pPr>
        <w:pStyle w:val="CaptionedFigure"/>
      </w:pPr>
      <w:r>
        <w:drawing>
          <wp:inline>
            <wp:extent cx="4907280" cy="3019864"/>
            <wp:effectExtent b="0" l="0" r="0" t="0"/>
            <wp:docPr descr="Abbildung 7.2 — Dieselbe Auswertung von Hand: Zwei-Punkt-Methode am BC547 (Rechenbeispiel 7.1). Zwei abgelesene Punkte genügen; 60 mV Abstand und Faktor 10 im Strom ergeben unmittelbar n\approx1." title="" id="26" name="Picture"/>
            <a:graphic>
              <a:graphicData uri="http://schemas.openxmlformats.org/drawingml/2006/picture">
                <pic:pic>
                  <pic:nvPicPr>
                    <pic:cNvPr descr="../bilder/kap07_zweipunk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7.2</w:t>
      </w:r>
      <w:r>
        <w:t xml:space="preserve"> </w:t>
      </w:r>
      <w:r>
        <w:t xml:space="preserve">— Dieselbe Auswertung von Hand: Zwei-Punkt-Methode</w:t>
      </w:r>
      <w:r>
        <w:t xml:space="preserve"> </w:t>
      </w:r>
      <w:r>
        <w:t xml:space="preserve">am BC547 (Rechenbeispiel 7.1). Zwei abgelesene Punkte genügen; 60 mV</w:t>
      </w:r>
      <w:r>
        <w:t xml:space="preserve"> </w:t>
      </w:r>
      <w:r>
        <w:t xml:space="preserve">Abstand und Faktor 10 im Strom ergeben unmittelbar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Rechenbeispiel 7.1 — BC547, von Hand.</w:t>
      </w:r>
      <w:r>
        <w:t xml:space="preserve"> </w:t>
      </w:r>
      <w:r>
        <w:t xml:space="preserve">Zwei Punkte aus dem</w:t>
      </w:r>
      <w:r>
        <w:t xml:space="preserve"> </w:t>
      </w:r>
      <w:r>
        <w:t xml:space="preserve">linearen Ast (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V, Raumtemperatur):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600</m:t>
        </m:r>
        <m:r>
          <m:t> </m:t>
        </m:r>
      </m:oMath>
      <w:r>
        <w:t xml:space="preserve">V →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  <m:r>
          <m:t> </m:t>
        </m:r>
      </m:oMath>
      <w:r>
        <w:t xml:space="preserve">mA und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660</m:t>
        </m:r>
        <m:r>
          <m:t> </m:t>
        </m:r>
      </m:oMath>
      <w:r>
        <w:t xml:space="preserve">V →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</m:t>
        </m:r>
        <m:r>
          <m:t> </m:t>
        </m:r>
      </m:oMath>
      <w:r>
        <w:t xml:space="preserve">mA.</w:t>
      </w:r>
    </w:p>
    <w:p>
      <w:pPr>
        <w:pStyle w:val="Block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060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02586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060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05954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008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mA</m:t>
              </m:r>
            </m:num>
            <m:den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600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008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02586</m:t>
                      </m:r>
                    </m:e>
                  </m:d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9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14</m:t>
              </m:r>
            </m:sup>
          </m:sSup>
          <m:r>
            <m:t> 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Zum Vergleich Durchlauf 1 (BC337-25, Geradenfit statt zwei Punkte):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004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</m:oMath>
      <w:r>
        <w:t xml:space="preserve">A — zwei Bauteile, zwei</w:t>
      </w:r>
      <w:r>
        <w:t xml:space="preserve"> </w:t>
      </w:r>
      <w:r>
        <w:t xml:space="preserve">Messgeräte, dieselbe Größenordnung und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</m:t>
        </m:r>
      </m:oMath>
      <w:r>
        <w:t xml:space="preserve">: der</w:t>
      </w:r>
      <w:r>
        <w:t xml:space="preserve"> </w:t>
      </w:r>
      <w:r>
        <w:t xml:space="preserve">Diffusionsstrom dominiert, wie es die Theorie für Silizium verlangt.</w:t>
      </w:r>
    </w:p>
    <w:p>
      <w:pPr>
        <w:pStyle w:val="FirstParagraph"/>
      </w:pPr>
      <w:r>
        <w:rPr>
          <w:b/>
          <w:bCs/>
        </w:rPr>
        <w:t xml:space="preserve">Die Fensterwahl ist die halbe Auswertung.</w:t>
      </w:r>
      <w:r>
        <w:t xml:space="preserve"> </w:t>
      </w:r>
      <w:r>
        <w:t xml:space="preserve">Ausgewertet werden darf</w:t>
      </w:r>
      <w:r>
        <w:t xml:space="preserve"> </w:t>
      </w:r>
      <w:r>
        <w:t xml:space="preserve">nur der</w:t>
      </w:r>
      <w:r>
        <w:t xml:space="preserve"> </w:t>
      </w:r>
      <w:r>
        <w:rPr>
          <w:b/>
          <w:bCs/>
        </w:rPr>
        <w:t xml:space="preserve">rein exponentielle Ast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Nach unten begrenzen Leckströme und der Rausch-/Quantisierungsboden</w:t>
      </w:r>
      <w:r>
        <w:t xml:space="preserve"> </w:t>
      </w:r>
      <w:r>
        <w:t xml:space="preserve">des Messgeräts die Gerade (beim Kurventracer</w:t>
      </w:r>
      <w:r>
        <w:t xml:space="preserve"> </w:t>
      </w:r>
      <m:oMath>
        <m:r>
          <m:rPr>
            <m:sty m:val="p"/>
          </m:rPr>
          <m:t>≈</m:t>
        </m:r>
        <m:r>
          <m:t>5</m:t>
        </m:r>
        <m:r>
          <m:t> </m:t>
        </m:r>
        <m:r>
          <m:t>μ</m:t>
        </m:r>
      </m:oMath>
      <w:r>
        <w:t xml:space="preserve">A) —</w:t>
      </w:r>
      <w:r>
        <w:t xml:space="preserve"> </w:t>
      </w:r>
      <w:r>
        <w:t xml:space="preserve">darunter krümmt sie sich nach oben.</w:t>
      </w:r>
    </w:p>
    <w:p>
      <w:pPr>
        <w:pStyle w:val="Compact"/>
        <w:numPr>
          <w:ilvl w:val="0"/>
          <w:numId w:val="1004"/>
        </w:numPr>
      </w:pPr>
      <w:r>
        <w:t xml:space="preserve">Nach oben krümmen Hochinjektion 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die Gerade</w:t>
      </w:r>
      <w:r>
        <w:t xml:space="preserve"> </w:t>
      </w:r>
      <w:r>
        <w:t xml:space="preserve">nach unten.</w:t>
      </w:r>
    </w:p>
    <w:p>
      <w:pPr>
        <w:pStyle w:val="FirstParagraph"/>
      </w:pPr>
      <w:r>
        <w:t xml:space="preserve">Wie empfindlich das ist, zeigte Durchlauf 1 drastisch: Ein zu weit</w:t>
      </w:r>
      <w:r>
        <w:t xml:space="preserve"> </w:t>
      </w:r>
      <w:r>
        <w:t xml:space="preserve">gewähltes Fenster lieferte zunächst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— ein</w:t>
      </w:r>
      <w:r>
        <w:t xml:space="preserve"> </w:t>
      </w:r>
      <w:r>
        <w:t xml:space="preserve">unphysikalischer Wert (Silizium: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deutet auf</w:t>
      </w:r>
      <w:r>
        <w:t xml:space="preserve"> </w:t>
      </w:r>
      <w:r>
        <w:t xml:space="preserve">Sperrschicht-Rekombination hin,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auf nichts als ein falsches</w:t>
      </w:r>
      <w:r>
        <w:t xml:space="preserve"> </w:t>
      </w:r>
      <w:r>
        <w:t xml:space="preserve">Fenster).</w:t>
      </w:r>
      <w:r>
        <w:t xml:space="preserve"> </w:t>
      </w:r>
      <w:r>
        <w:rPr>
          <w:b/>
          <w:bCs/>
        </w:rPr>
        <w:t xml:space="preserve">Plausibilitätskontrolle gegen die Physik gehört zu jedem</w:t>
      </w:r>
      <w:r>
        <w:rPr>
          <w:b/>
          <w:bCs/>
        </w:rPr>
        <w:t xml:space="preserve"> </w:t>
      </w:r>
      <w:r>
        <w:rPr>
          <w:b/>
          <w:bCs/>
        </w:rPr>
        <w:t xml:space="preserve">Extraktionsschritt.</w:t>
      </w:r>
    </w:p>
    <w:bookmarkEnd w:id="28"/>
    <w:bookmarkStart w:id="29" w:name="X4265b9ad1e9f44e0e01a8a45270853404f878eb"/>
    <w:p>
      <w:pPr>
        <w:pStyle w:val="Heading2"/>
      </w:pPr>
      <w:r>
        <w:t xml:space="preserve">7.4 Schritt 2: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aus dem Verstärkungs-Plateau</w:t>
      </w:r>
    </w:p>
    <w:p>
      <w:pPr>
        <w:pStyle w:val="FirstParagraph"/>
      </w:pPr>
      <w:r>
        <w:t xml:space="preserve">Da der Gummel-Plot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enthält, liefert</w:t>
      </w:r>
      <w:r>
        <w:t xml:space="preserve"> </w:t>
      </w:r>
      <w:r>
        <w:t xml:space="preserve">er die Stromverstärkung gleich mit: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e>
              </m:d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Weil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stromabhängig ist (Kapitel 6.6), nimmt man als</w:t>
      </w:r>
      <w:r>
        <w:t xml:space="preserve"> </w:t>
      </w:r>
      <w:r>
        <w:t xml:space="preserve">SPICE-Wert</w:t>
      </w:r>
      <w:r>
        <w:t xml:space="preserve"> </w:t>
      </w:r>
      <w:r>
        <w:rPr>
          <w:rStyle w:val="VerbatimChar"/>
        </w:rPr>
        <w:t xml:space="preserve">BF</w:t>
      </w:r>
      <w:r>
        <w:t xml:space="preserve"> </w:t>
      </w:r>
      <w:r>
        <w:t xml:space="preserve">das</w:t>
      </w:r>
      <w:r>
        <w:t xml:space="preserve"> </w:t>
      </w:r>
      <w:r>
        <w:rPr>
          <w:b/>
          <w:bCs/>
        </w:rPr>
        <w:t xml:space="preserve">Plateau</w:t>
      </w:r>
      <w:r>
        <w:t xml:space="preserve"> </w:t>
      </w:r>
      <w:r>
        <w:t xml:space="preserve">der</w:t>
      </w:r>
      <w:r>
        <w:t xml:space="preserve"> </w:t>
      </w:r>
      <m:oMath>
        <m:r>
          <m:t>β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-Kurve im mittleren</w:t>
      </w:r>
      <w:r>
        <w:t xml:space="preserve"> </w:t>
      </w:r>
      <w:r>
        <w:t xml:space="preserve">Strombereich — dort, wo weder Kleinstrom-Rekombination noch</w:t>
      </w:r>
      <w:r>
        <w:t xml:space="preserve"> </w:t>
      </w:r>
      <w:r>
        <w:t xml:space="preserve">Hochinjektion stören.</w:t>
      </w:r>
    </w:p>
    <w:p>
      <w:pPr>
        <w:pStyle w:val="BlockText"/>
      </w:pPr>
      <w:r>
        <w:rPr>
          <w:b/>
          <w:bCs/>
        </w:rPr>
        <w:t xml:space="preserve">Rechenbeispiel 7.2 — BC547.</w:t>
      </w:r>
      <w:r>
        <w:t xml:space="preserve"> </w:t>
      </w:r>
      <w:r>
        <w:t xml:space="preserve">Im Plateaubereich (typisch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…</m:t>
        </m:r>
        <m:r>
          <m:t>10</m:t>
        </m:r>
        <m:r>
          <m:t> </m:t>
        </m:r>
      </m:oMath>
      <w:r>
        <w:t xml:space="preserve">mA):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</m:t>
        </m:r>
        <m:r>
          <m:t> </m:t>
        </m:r>
      </m:oMath>
      <w:r>
        <w:t xml:space="preserve">mA,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9</m:t>
        </m:r>
        <m:r>
          <m:t> </m:t>
        </m:r>
        <m:r>
          <m:t>μ</m:t>
        </m:r>
      </m:oMath>
      <w:r>
        <w:t xml:space="preserve">A →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t> </m:t>
              </m:r>
              <m:r>
                <m:rPr>
                  <m:nor/>
                  <m:sty m:val="p"/>
                </m:rPr>
                <m:t>mA</m:t>
              </m:r>
            </m:num>
            <m:den>
              <m:r>
                <m:t>6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A</m:t>
              </m:r>
            </m:den>
          </m:f>
          <m:r>
            <m:rPr>
              <m:sty m:val="p"/>
            </m:rPr>
            <m:t>≈</m:t>
          </m:r>
          <m:r>
            <m:t>290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Das liegt in der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-Klasse B (200–450) des BC547.</w:t>
      </w:r>
      <w:r>
        <w:t xml:space="preserve"> </w:t>
      </w:r>
      <w:r>
        <w:t xml:space="preserve">Durchlauf 1 (BC337-25): Plateau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250</m:t>
        </m:r>
        <m:r>
          <m:rPr>
            <m:sty m:val="p"/>
          </m:rPr>
          <m:t>…</m:t>
        </m:r>
        <m:r>
          <m:t>275</m:t>
        </m:r>
      </m:oMath>
      <w:r>
        <w:t xml:space="preserve">.</w:t>
      </w:r>
    </w:p>
    <w:bookmarkEnd w:id="29"/>
    <w:bookmarkStart w:id="33" w:name="schritt-3-v_a-aus-dem-ausgangskennfeld"/>
    <w:p>
      <w:pPr>
        <w:pStyle w:val="Heading2"/>
      </w:pPr>
      <w:r>
        <w:t xml:space="preserve">7.5 Schritt 3: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aus dem Ausgangskennfeld</w:t>
      </w:r>
    </w:p>
    <w:p>
      <w:pPr>
        <w:pStyle w:val="FirstParagraph"/>
      </w:pPr>
      <w:r>
        <w:rPr>
          <w:b/>
          <w:bCs/>
        </w:rPr>
        <w:t xml:space="preserve">Prinzip.</w:t>
      </w:r>
      <w:r>
        <w:t xml:space="preserve"> </w:t>
      </w:r>
      <w:r>
        <w:t xml:space="preserve">Im aktiven Bereich ist jede Ausgangskennlinie</w:t>
      </w:r>
      <w:r>
        <w:t xml:space="preserve"> </w:t>
      </w:r>
      <w:r>
        <w:t xml:space="preserve">näherungsweise eine Gerade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  <m:r>
              <m:t>0</m:t>
            </m:r>
          </m:sub>
        </m:sSub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; rückwärts</w:t>
      </w:r>
      <w:r>
        <w:t xml:space="preserve"> </w:t>
      </w:r>
      <w:r>
        <w:t xml:space="preserve">verlängert schneiden alle die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-Achse bei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(Abbildung 6.2). Aus</w:t>
      </w:r>
      <w:r>
        <w:t xml:space="preserve"> </w:t>
      </w:r>
      <w:r>
        <w:rPr>
          <w:b/>
          <w:bCs/>
        </w:rPr>
        <w:t xml:space="preserve">zwei Punkten derselben Kennlinie</w:t>
      </w:r>
      <w:r>
        <w:t xml:space="preserve"> </w:t>
      </w:r>
      <w:r>
        <w:t xml:space="preserve">(gleiches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) folgt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geschlossen — man setzt beide Punkte in die</w:t>
      </w:r>
      <w:r>
        <w:t xml:space="preserve"> </w:t>
      </w:r>
      <w:r>
        <w:t xml:space="preserve">Geradengleichung ein und eliminiert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  <m:r>
                        <m:t>1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Vorgehen:</w:t>
      </w:r>
      <w:r>
        <w:t xml:space="preserve"> </w:t>
      </w:r>
      <w:r>
        <w:t xml:space="preserve">zwei möglichst weit auseinanderliegende Punkte im</w:t>
      </w:r>
      <w:r>
        <w:t xml:space="preserve"> </w:t>
      </w:r>
      <w:r>
        <w:t xml:space="preserve">aktiven Bereich wählen (kleiner Ablesefehler!), für 2–3 weitere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-Stufen wiederholen, Ergebnisse mitteln.</w:t>
      </w:r>
    </w:p>
    <w:p>
      <w:pPr>
        <w:pStyle w:val="CaptionedFigure"/>
      </w:pPr>
      <w:r>
        <w:drawing>
          <wp:inline>
            <wp:extent cx="4907280" cy="3019864"/>
            <wp:effectExtent b="0" l="0" r="0" t="0"/>
            <wp:docPr descr="Abbildung 7.3 — Schritt 3 an der echten Messung (BC337-25): Die fünf gemessenen Ausgangskennlinien (I_B=8\ldots40\,\muA), jeweils im flachen Ast linear gefittet und rückwärts verlängert — die Geraden treffen sich nahe -V_A\approx-150\,V. Man sieht auch die Streuung der einzelnen Schnittpunkte: V_A ist nur schwach bestimmt." title="" id="31" name="Picture"/>
            <a:graphic>
              <a:graphicData uri="http://schemas.openxmlformats.org/drawingml/2006/picture">
                <pic:pic>
                  <pic:nvPicPr>
                    <pic:cNvPr descr="../bilder/kap07_early_me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7.3</w:t>
      </w:r>
      <w:r>
        <w:t xml:space="preserve"> </w:t>
      </w:r>
      <w:r>
        <w:t xml:space="preserve">— Schritt 3 an der echten Messung (BC337-25): Die</w:t>
      </w:r>
      <w:r>
        <w:t xml:space="preserve"> </w:t>
      </w:r>
      <w:r>
        <w:t xml:space="preserve">fünf gemessenen Ausgangskennlinien (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…</m:t>
        </m:r>
        <m:r>
          <m:t>40</m:t>
        </m:r>
        <m:r>
          <m:t> </m:t>
        </m:r>
        <m:r>
          <m:t>μ</m:t>
        </m:r>
      </m:oMath>
      <w:r>
        <w:t xml:space="preserve">A), jeweils im</w:t>
      </w:r>
      <w:r>
        <w:t xml:space="preserve"> </w:t>
      </w:r>
      <w:r>
        <w:t xml:space="preserve">flachen Ast linear gefittet und rückwärts verlängert — die Geraden</w:t>
      </w:r>
      <w:r>
        <w:t xml:space="preserve"> </w:t>
      </w:r>
      <w:r>
        <w:t xml:space="preserve">treffen sich nahe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150</m:t>
        </m:r>
        <m:r>
          <m:t> </m:t>
        </m:r>
      </m:oMath>
      <w:r>
        <w:t xml:space="preserve">V. Man sieht auch die Streuung</w:t>
      </w:r>
      <w:r>
        <w:t xml:space="preserve"> </w:t>
      </w:r>
      <w:r>
        <w:t xml:space="preserve">der einzelnen Schnittpunkte: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ist nur schwach</w:t>
      </w:r>
      <w:r>
        <w:t xml:space="preserve"> </w:t>
      </w:r>
      <w:r>
        <w:t xml:space="preserve">bestimmt.</w:t>
      </w:r>
    </w:p>
    <w:p>
      <w:pPr>
        <w:pStyle w:val="BlockText"/>
      </w:pPr>
      <w:r>
        <w:rPr>
          <w:b/>
          <w:bCs/>
        </w:rPr>
        <w:t xml:space="preserve">Rechenbeispiel 7.3 — BC547.</w:t>
      </w:r>
      <w:r>
        <w:t xml:space="preserve"> </w:t>
      </w:r>
      <w:r>
        <w:t xml:space="preserve">Kennlinie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20</m:t>
        </m:r>
        <m:r>
          <m:t> </m:t>
        </m:r>
        <m:r>
          <m:t>μ</m:t>
        </m:r>
      </m:oMath>
      <w:r>
        <w:t xml:space="preserve">A: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t> 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 </m:t>
            </m:r>
            <m:r>
              <m:t>5</m:t>
            </m:r>
            <m:r>
              <m:rPr>
                <m:sty m:val="p"/>
              </m:rPr>
              <m:t>,</m:t>
            </m:r>
            <m:r>
              <m:t>80</m:t>
            </m:r>
            <m:r>
              <m:t> </m:t>
            </m:r>
            <m:r>
              <m:rPr>
                <m:nor/>
                <m:sty m:val="p"/>
              </m:rPr>
              <m:t>mA</m:t>
            </m:r>
          </m:e>
        </m:d>
      </m:oMath>
      <w:r>
        <w:t xml:space="preserve"> </w:t>
      </w:r>
      <w:r>
        <w:t xml:space="preserve">und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20</m:t>
            </m:r>
            <m:r>
              <m:t> 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 </m:t>
            </m:r>
            <m:r>
              <m:t>6</m:t>
            </m:r>
            <m:r>
              <m:rPr>
                <m:sty m:val="p"/>
              </m:rPr>
              <m:t>,</m:t>
            </m:r>
            <m:r>
              <m:t>67</m:t>
            </m:r>
            <m:r>
              <m:t> </m:t>
            </m:r>
            <m:r>
              <m:rPr>
                <m:nor/>
                <m:sty m:val="p"/>
              </m:rPr>
              <m:t>mA</m:t>
            </m:r>
          </m:e>
        </m:d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67</m:t>
              </m:r>
            </m:num>
            <m:den>
              <m:r>
                <m:t>6</m:t>
              </m:r>
              <m:r>
                <m:rPr>
                  <m:sty m:val="p"/>
                </m:rPr>
                <m:t>,</m:t>
              </m:r>
              <m:r>
                <m:t>67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80</m:t>
              </m:r>
            </m:den>
          </m:f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82</m:t>
              </m:r>
              <m:r>
                <m:rPr>
                  <m:sty m:val="p"/>
                </m:rPr>
                <m:t>,</m:t>
              </m:r>
              <m:r>
                <m:t>65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</m:den>
          </m:f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≈</m:t>
          </m:r>
          <m:r>
            <m:t>95</m:t>
          </m:r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Literaturbereich BC547: 70…100 V — passt. Durchlauf 1 (BC337-25)</w:t>
      </w:r>
      <w:r>
        <w:t xml:space="preserve"> </w:t>
      </w:r>
      <w:r>
        <w:t xml:space="preserve">ergab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110</m:t>
        </m:r>
        <m:r>
          <m:rPr>
            <m:sty m:val="p"/>
          </m:rPr>
          <m:t>…</m:t>
        </m:r>
        <m:r>
          <m:t>150</m:t>
        </m:r>
        <m:r>
          <m:t> </m:t>
        </m:r>
      </m:oMath>
      <w:r>
        <w:t xml:space="preserve">V mit deutlicher Streuung über die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-Stufen: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ist prinzipbedingt nur</w:t>
      </w:r>
      <w:r>
        <w:t xml:space="preserve"> </w:t>
      </w:r>
      <w:r>
        <w:rPr>
          <w:b/>
          <w:bCs/>
        </w:rPr>
        <w:t xml:space="preserve">schwach bestimmt</w:t>
      </w:r>
      <w:r>
        <w:t xml:space="preserve">, weil</w:t>
      </w:r>
      <w:r>
        <w:t xml:space="preserve"> </w:t>
      </w:r>
      <w:r>
        <w:t xml:space="preserve">eine kleine Steigung gemessen und weit extrapoliert wird — das</w:t>
      </w:r>
      <w:r>
        <w:t xml:space="preserve"> </w:t>
      </w:r>
      <w:r>
        <w:t xml:space="preserve">quantifiziert die Identifizierbarkeitsanalyse in 7.11.</w:t>
      </w:r>
    </w:p>
    <w:bookmarkEnd w:id="33"/>
    <w:bookmarkStart w:id="37" w:name="X16699f7fa037c6fd228d1fbecac70a0d77525fe"/>
    <w:p>
      <w:pPr>
        <w:pStyle w:val="Heading2"/>
      </w:pPr>
      <w:r>
        <w:t xml:space="preserve">7.6 Schritt 4: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aus dem Verstärkungsabfall</w:t>
      </w:r>
    </w:p>
    <w:p>
      <w:pPr>
        <w:pStyle w:val="FirstParagraph"/>
      </w:pPr>
      <w:r>
        <w:rPr>
          <w:b/>
          <w:bCs/>
        </w:rPr>
        <w:t xml:space="preserve">Prinzip.</w:t>
      </w:r>
      <w:r>
        <w:t xml:space="preserve"> </w:t>
      </w:r>
      <w:r>
        <w:t xml:space="preserve">Die Webster-Formel (Kapitel 6.6) macht aus der Definition</w:t>
      </w:r>
      <w:r>
        <w:t xml:space="preserve"> </w:t>
      </w:r>
      <w:r>
        <w:t xml:space="preserve">eine Messvorschrift: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ist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707</m:t>
          </m:r>
          <m:r>
            <m:t> 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Vorgehen: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halblogarithmisch über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auftragen,</w:t>
      </w:r>
      <w:r>
        <w:t xml:space="preserve"> </w:t>
      </w:r>
      <w:r>
        <w:t xml:space="preserve">Plateauwert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ablesen, dann den Strom suchen, bei dem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auf 70,7 % des Plateaus gefallen ist — das</w:t>
      </w:r>
      <w:r>
        <w:t xml:space="preserve"> </w:t>
      </w:r>
      <w:r>
        <w:rPr>
          <w:b/>
          <w:bCs/>
        </w:rPr>
        <w:t xml:space="preserve">ist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Rechenbeispiel 7.4 — BC547.</w:t>
      </w:r>
      <w:r>
        <w:t xml:space="preserve"> </w:t>
      </w:r>
      <w:r>
        <w:t xml:space="preserve">Plateau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290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707</m:t>
        </m:r>
        <m:r>
          <m:rPr>
            <m:sty m:val="p"/>
          </m:rPr>
          <m:t>⋅</m:t>
        </m:r>
        <m:r>
          <m:t>290</m:t>
        </m:r>
        <m:r>
          <m:rPr>
            <m:sty m:val="p"/>
          </m:rPr>
          <m:t>=</m:t>
        </m:r>
        <m:r>
          <m:t>205</m:t>
        </m:r>
      </m:oMath>
      <w:r>
        <w:t xml:space="preserve">. Abgelesen: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205</m:t>
        </m:r>
      </m:oMath>
      <w:r>
        <w:t xml:space="preserve"> </w:t>
      </w:r>
      <w:r>
        <w:t xml:space="preserve">bei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≈</m:t>
          </m:r>
          <m:r>
            <m:t>80</m:t>
          </m:r>
          <m:r>
            <m:t> </m:t>
          </m:r>
          <m:r>
            <m:rPr>
              <m:nor/>
              <m:sty m:val="p"/>
            </m:rPr>
            <m:t>mA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Das passt zur Datenblattgrenze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</m:oMath>
      <w:r>
        <w:t xml:space="preserve">mA — der</w:t>
      </w:r>
      <w:r>
        <w:t xml:space="preserve"> </w:t>
      </w:r>
      <w:r>
        <w:t xml:space="preserve">Hochstromabfall setzt beim BC547 also schon</w:t>
      </w:r>
      <w:r>
        <w:t xml:space="preserve"> </w:t>
      </w:r>
      <w:r>
        <w:rPr>
          <w:b/>
          <w:bCs/>
        </w:rPr>
        <w:t xml:space="preserve">innerhalb</w:t>
      </w:r>
      <w:r>
        <w:t xml:space="preserve"> </w:t>
      </w:r>
      <w:r>
        <w:t xml:space="preserve">des</w:t>
      </w:r>
      <w:r>
        <w:t xml:space="preserve"> </w:t>
      </w:r>
      <w:r>
        <w:t xml:space="preserve">zulässigen Strombereichs spürbar ein.</w:t>
      </w:r>
    </w:p>
    <w:p>
      <w:pPr>
        <w:pStyle w:val="FirstParagraph"/>
      </w:pPr>
      <w:r>
        <w:rPr>
          <w:b/>
          <w:bCs/>
        </w:rPr>
        <w:t xml:space="preserve">Der Kontrast, auf den es ankommt:</w:t>
      </w:r>
      <w:r>
        <w:t xml:space="preserve"> </w:t>
      </w:r>
      <w:r>
        <w:t xml:space="preserve">In Durchlauf 1 endet die Messung</w:t>
      </w:r>
      <w:r>
        <w:t xml:space="preserve"> </w:t>
      </w:r>
      <w:r>
        <w:t xml:space="preserve">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11</m:t>
        </m:r>
        <m:r>
          <m:t> </m:t>
        </m:r>
      </m:oMath>
      <w:r>
        <w:t xml:space="preserve">mA — der BC337-25 hat sein Knie aber erst bei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</m:oMath>
      <w:r>
        <w:t xml:space="preserve">A. Der Abfall liegt zwei Dekaden außerhalb des</w:t>
      </w:r>
      <w:r>
        <w:t xml:space="preserve"> </w:t>
      </w:r>
      <w:r>
        <w:t xml:space="preserve">Messfensters (Abbildung 7.4):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ist dort</w:t>
      </w:r>
      <w:r>
        <w:t xml:space="preserve"> </w:t>
      </w:r>
      <w:r>
        <w:rPr>
          <w:b/>
          <w:bCs/>
        </w:rPr>
        <w:t xml:space="preserve">nicht bestimmbar</w:t>
      </w:r>
      <w:r>
        <w:t xml:space="preserve">,</w:t>
      </w:r>
      <w:r>
        <w:t xml:space="preserve"> </w:t>
      </w:r>
      <w:r>
        <w:t xml:space="preserve">nur eine untere Schranke lässt sich angeben; der Wert kommt aus dem</w:t>
      </w:r>
      <w:r>
        <w:t xml:space="preserve"> </w:t>
      </w:r>
      <w:r>
        <w:t xml:space="preserve">Datenblatt.</w:t>
      </w:r>
      <w:r>
        <w:t xml:space="preserve"> </w:t>
      </w:r>
      <w:r>
        <w:rPr>
          <w:b/>
          <w:bCs/>
        </w:rPr>
        <w:t xml:space="preserve">Derselbe Parameter, dieselbe Methode — einmal messbar,</w:t>
      </w:r>
      <w:r>
        <w:rPr>
          <w:b/>
          <w:bCs/>
        </w:rPr>
        <w:t xml:space="preserve"> </w:t>
      </w:r>
      <w:r>
        <w:rPr>
          <w:b/>
          <w:bCs/>
        </w:rPr>
        <w:t xml:space="preserve">einmal nicht.</w:t>
      </w:r>
      <w:r>
        <w:t xml:space="preserve"> </w:t>
      </w:r>
      <w:r>
        <w:t xml:space="preserve">Was ihn bestimmbar macht, ist allein das Verhältnis</w:t>
      </w:r>
      <w:r>
        <w:t xml:space="preserve"> </w:t>
      </w:r>
      <w:r>
        <w:t xml:space="preserve">von Messfenster zu Kniestrom.</w:t>
      </w:r>
    </w:p>
    <w:p>
      <w:pPr>
        <w:pStyle w:val="CaptionedFigure"/>
      </w:pPr>
      <w:r>
        <w:drawing>
          <wp:inline>
            <wp:extent cx="4907280" cy="3019864"/>
            <wp:effectExtent b="0" l="0" r="0" t="0"/>
            <wp:docPr descr="Abbildung 7.4 — Schritte 2 und 4 an der echten Messung (BC337-25): Das \beta-Plateau bei \approx270 liefert \beta_F; ein Hochstromabfall ist bis zur Messgrenze von 11 mA nicht erkennbar — I_{KF} liegt zwei Dekaden außerhalb und ist aus diesen Daten nicht bestimmbar. Beim BC547 (Messbereich bis 100 mA) gelang die Ablesung dagegen (Rechenbeispiel 7.4)." title="" id="35" name="Picture"/>
            <a:graphic>
              <a:graphicData uri="http://schemas.openxmlformats.org/drawingml/2006/picture">
                <pic:pic>
                  <pic:nvPicPr>
                    <pic:cNvPr descr="../bilder/kap07_beta_mes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7.4</w:t>
      </w:r>
      <w:r>
        <w:t xml:space="preserve"> </w:t>
      </w:r>
      <w:r>
        <w:t xml:space="preserve">— Schritte 2 und 4 an der echten Messung</w:t>
      </w:r>
      <w:r>
        <w:t xml:space="preserve"> </w:t>
      </w:r>
      <w:r>
        <w:t xml:space="preserve">(BC337-25): Das</w:t>
      </w:r>
      <w:r>
        <w:t xml:space="preserve"> </w:t>
      </w:r>
      <m:oMath>
        <m:r>
          <m:t>β</m:t>
        </m:r>
      </m:oMath>
      <w:r>
        <w:t xml:space="preserve">-Plateau bei</w:t>
      </w:r>
      <w:r>
        <w:t xml:space="preserve"> </w:t>
      </w:r>
      <m:oMath>
        <m:r>
          <m:rPr>
            <m:sty m:val="p"/>
          </m:rPr>
          <m:t>≈</m:t>
        </m:r>
        <m:r>
          <m:t>270</m:t>
        </m:r>
      </m:oMath>
      <w:r>
        <w:t xml:space="preserve"> </w:t>
      </w:r>
      <w:r>
        <w:t xml:space="preserve">liefert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;</w:t>
      </w:r>
      <w:r>
        <w:t xml:space="preserve"> </w:t>
      </w:r>
      <w:r>
        <w:t xml:space="preserve">ein Hochstromabfall ist bis zur Messgrenze von 11 mA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erkennbar —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liegt zwei Dekaden außerhalb und ist aus diesen</w:t>
      </w:r>
      <w:r>
        <w:t xml:space="preserve"> </w:t>
      </w:r>
      <w:r>
        <w:t xml:space="preserve">Daten nicht bestimmbar. Beim BC547 (Messbereich bis 100 mA) gelang</w:t>
      </w:r>
      <w:r>
        <w:t xml:space="preserve"> </w:t>
      </w:r>
      <w:r>
        <w:t xml:space="preserve">die Ablesung dagegen (Rechenbeispiel 7.4).</w:t>
      </w:r>
    </w:p>
    <w:bookmarkEnd w:id="37"/>
    <w:bookmarkStart w:id="38" w:name="X2cd871c90cc47aee1ac9e4c2fd4cb14e20f5338"/>
    <w:p>
      <w:pPr>
        <w:pStyle w:val="Heading2"/>
      </w:pPr>
      <w:r>
        <w:t xml:space="preserve">7.7 Schritt 5: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aus der Eingangskennlinie</w:t>
      </w:r>
    </w:p>
    <w:p>
      <w:pPr>
        <w:pStyle w:val="FirstParagraph"/>
      </w:pPr>
      <w:r>
        <w:rPr>
          <w:b/>
          <w:bCs/>
        </w:rPr>
        <w:t xml:space="preserve">Prinzip.</w:t>
      </w:r>
      <w:r>
        <w:t xml:space="preserve"> </w:t>
      </w:r>
      <w:r>
        <w:t xml:space="preserve">Der innere Basiswiderstand „verbiegt” die</w:t>
      </w:r>
      <w:r>
        <w:t xml:space="preserve"> </w:t>
      </w:r>
      <w:r>
        <w:t xml:space="preserve">Eingangskennlinie bei hohen Strömen zu größeren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-Werten — wie</w:t>
      </w:r>
      <w:r>
        <w:t xml:space="preserve"> </w:t>
      </w:r>
      <w:r>
        <w:t xml:space="preserve">ein Vorwiderstand an einer LED: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gemessen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ideal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borderBox>
            <m:e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gemessen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ideal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Dabei wird der ideale Verlauf aus den</w:t>
      </w:r>
      <w:r>
        <w:t xml:space="preserve"> </w:t>
      </w:r>
      <w:r>
        <w:rPr>
          <w:b/>
          <w:bCs/>
        </w:rPr>
        <w:t xml:space="preserve">bereits bestimmten</w:t>
      </w:r>
      <w:r>
        <w:t xml:space="preserve"> </w:t>
      </w:r>
      <w:r>
        <w:t xml:space="preserve">Parametern</w:t>
      </w:r>
      <w:r>
        <w:t xml:space="preserve"> </w:t>
      </w:r>
      <w:r>
        <w:t xml:space="preserve">berechnet: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ideal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n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F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deshalb steht dieser Schritt zwingend am Ende der Reihenfolge.</w:t>
      </w:r>
    </w:p>
    <w:p>
      <w:pPr>
        <w:pStyle w:val="BlockText"/>
      </w:pPr>
      <w:r>
        <w:rPr>
          <w:b/>
          <w:bCs/>
        </w:rPr>
        <w:t xml:space="preserve">Rechenbeispiel 7.5 — BC547.</w:t>
      </w:r>
      <w:r>
        <w:t xml:space="preserve"> </w:t>
      </w:r>
      <w:r>
        <w:t xml:space="preserve">Bei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</m:oMath>
      <w:r>
        <w:t xml:space="preserve">mA: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ideal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01</m:t>
          </m:r>
          <m:r>
            <m:rPr>
              <m:sty m:val="p"/>
            </m:rPr>
            <m:t>⋅</m:t>
          </m:r>
          <m:r>
            <m:t>25</m:t>
          </m:r>
          <m:r>
            <m:rPr>
              <m:sty m:val="p"/>
            </m:rPr>
            <m:t>,</m:t>
          </m:r>
          <m:r>
            <m:t>86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290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768</m:t>
          </m:r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gemessen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783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783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768</m:t>
              </m:r>
            </m:num>
            <m:den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mA</m:t>
              </m:r>
            </m:den>
          </m:f>
          <m:r>
            <m:rPr>
              <m:sty m:val="p"/>
            </m:rPr>
            <m:t>=</m:t>
          </m:r>
          <m:r>
            <m:t>15</m:t>
          </m:r>
          <m:r>
            <m:t> </m:t>
          </m:r>
          <m:r>
            <m:t>Ω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Typisch für Kleinsignal-npn sind 5…30 Ω — plausibel.</w:t>
      </w:r>
      <w:r>
        <w:t xml:space="preserve"> </w:t>
      </w:r>
      <w:r>
        <w:rPr>
          <w:b/>
          <w:bCs/>
        </w:rPr>
        <w:t xml:space="preserve">Messtechnische Warnung:</w:t>
      </w:r>
      <w:r>
        <w:t xml:space="preserve"> </w:t>
      </w:r>
      <w:r>
        <w:t xml:space="preserve">Kontaktwiderstände der Messspitzen gehen</w:t>
      </w:r>
      <w:r>
        <w:t xml:space="preserve"> </w:t>
      </w:r>
      <w:r>
        <w:t xml:space="preserve">ununterscheidbar in dieselbe Differenz ein und lassen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systematisch zu groß erscheinen —</w:t>
      </w:r>
      <w:r>
        <w:t xml:space="preserve"> </w:t>
      </w:r>
      <w:r>
        <w:t xml:space="preserve">Vierleitermessung oder Kalibrierung ist hier Pflicht. In</w:t>
      </w:r>
      <w:r>
        <w:t xml:space="preserve"> </w:t>
      </w:r>
      <w:r>
        <w:t xml:space="preserve">Durchlauf 1 (Messung nur bis 11 mA) blieb der Hochstrom-Knick des</w:t>
      </w:r>
      <w:r>
        <w:t xml:space="preserve"> </w:t>
      </w:r>
      <w:r>
        <w:t xml:space="preserve">Gummel-Plots unsichtbar: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dort</w:t>
      </w:r>
      <w:r>
        <w:t xml:space="preserve"> </w:t>
      </w:r>
      <w:r>
        <w:rPr>
          <w:b/>
          <w:bCs/>
        </w:rPr>
        <w:t xml:space="preserve">nicht bestimmbar</w:t>
      </w:r>
      <w:r>
        <w:t xml:space="preserve"> </w:t>
      </w:r>
      <w:r>
        <w:t xml:space="preserve">→</w:t>
      </w:r>
      <w:r>
        <w:t xml:space="preserve"> </w:t>
      </w:r>
      <w:r>
        <w:t xml:space="preserve">Datenblattwert.</w:t>
      </w:r>
    </w:p>
    <w:bookmarkEnd w:id="38"/>
    <w:bookmarkStart w:id="39" w:name="die-parametersätze-beider-durchläufe"/>
    <w:p>
      <w:pPr>
        <w:pStyle w:val="Heading2"/>
      </w:pPr>
      <w:r>
        <w:t xml:space="preserve">7.8 Die Parametersätze beider Durchläufe</w:t>
      </w:r>
    </w:p>
    <w:p>
      <w:pPr>
        <w:pStyle w:val="FirstParagraph"/>
      </w:pPr>
      <w:r>
        <w:rPr>
          <w:b/>
          <w:bCs/>
        </w:rPr>
        <w:t xml:space="preserve">BC547 (eigener Kennlinienschreiber, Zwei-Punkt-Auswertungen):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Demo-Wert (Kap. 6/8-Beispiele)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gemessen BC547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Gummel-Plot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Gummel-Plot-Steigung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-Plateau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Ausgangskennfeld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Faustregel</w:t>
            </w:r>
            <w:r>
              <w:t xml:space="preserve"> </w:t>
            </w:r>
            <m:oMath>
              <m:r>
                <m:t>2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0,08 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-Abfall auf 70,7 %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Eingangskennlinie</w:t>
            </w:r>
          </w:p>
        </w:tc>
      </w:tr>
    </w:tbl>
    <w:p>
      <w:pPr>
        <w:pStyle w:val="BodyText"/>
      </w:pPr>
      <w:r>
        <w:t xml:space="preserve">Auffälligster Realitätsabgleich: Der echte Kniestrom (80 mA) liegt</w:t>
      </w:r>
      <w:r>
        <w:t xml:space="preserve"> </w:t>
      </w:r>
      <w:r>
        <w:t xml:space="preserve">sechsmal niedriger als der Demo-Wert — bei Arbeitspunkten oberhalb</w:t>
      </w:r>
      <w:r>
        <w:t xml:space="preserve"> </w:t>
      </w:r>
      <w:r>
        <w:t xml:space="preserve">einiger zehn Milliampere ist der</w:t>
      </w:r>
      <w:r>
        <w:t xml:space="preserve"> </w:t>
      </w:r>
      <m:oMath>
        <m:r>
          <m:t>β</m:t>
        </m:r>
      </m:oMath>
      <w:r>
        <w:t xml:space="preserve">-Abfall beim BC547 also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vernachlässigbar. Kapitel 8 rechnet mit genau diesem</w:t>
      </w:r>
      <w:r>
        <w:t xml:space="preserve"> </w:t>
      </w:r>
      <w:r>
        <w:t xml:space="preserve">gemessenen Satz.</w:t>
      </w:r>
    </w:p>
    <w:p>
      <w:pPr>
        <w:pStyle w:val="BodyText"/>
      </w:pPr>
      <w:r>
        <w:rPr>
          <w:b/>
          <w:bCs/>
        </w:rPr>
        <w:t xml:space="preserve">BC337-25 (Kurventracer, Geradenfits):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</m:oMath>
      <w:r>
        <w:t xml:space="preserve">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004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274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146</m:t>
        </m:r>
        <m:r>
          <m:t> </m:t>
        </m:r>
      </m:oMath>
      <w:r>
        <w:t xml:space="preserve">V (Mittel);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nicht bestimmbar → Datenblatt (0,9 A; 60 Ω).</w:t>
      </w:r>
    </w:p>
    <w:bookmarkEnd w:id="39"/>
    <w:bookmarkStart w:id="40" w:name="X5813e0382b0febaeecdd6ac668346fb4c558f23"/>
    <w:p>
      <w:pPr>
        <w:pStyle w:val="Heading2"/>
      </w:pPr>
      <w:r>
        <w:t xml:space="preserve">7.9 Über die Handauswertung hinaus: der globale Fit</w:t>
      </w:r>
    </w:p>
    <w:p>
      <w:pPr>
        <w:pStyle w:val="FirstParagraph"/>
      </w:pPr>
      <w:r>
        <w:t xml:space="preserve">Die Feature-für-Feature-Extraktion (Gerade hier, Plateau dort) nutzt</w:t>
      </w:r>
      <w:r>
        <w:t xml:space="preserve"> </w:t>
      </w:r>
      <w:r>
        <w:t xml:space="preserve">jeweils nur einen Ausschnitt der Daten. Man kann stattdessen</w:t>
      </w:r>
      <w:r>
        <w:t xml:space="preserve"> </w:t>
      </w:r>
      <w:r>
        <w:rPr>
          <w:b/>
          <w:bCs/>
        </w:rPr>
        <w:t xml:space="preserve">alle</w:t>
      </w:r>
      <w:r>
        <w:rPr>
          <w:b/>
          <w:bCs/>
        </w:rPr>
        <w:t xml:space="preserve"> </w:t>
      </w:r>
      <w:r>
        <w:rPr>
          <w:b/>
          <w:bCs/>
        </w:rPr>
        <w:t xml:space="preserve">fünf Kennlinienfelder gleichzeitig</w:t>
      </w:r>
      <w:r>
        <w:t xml:space="preserve"> </w:t>
      </w:r>
      <w:r>
        <w:t xml:space="preserve">an das komplette Modell aus</w:t>
      </w:r>
      <w:r>
        <w:t xml:space="preserve"> </w:t>
      </w:r>
      <w:r>
        <w:t xml:space="preserve">Kapitel 6.8 anpassen. In Durchlauf 1 geschieht das mit dem</w:t>
      </w:r>
      <w:r>
        <w:t xml:space="preserve"> </w:t>
      </w:r>
      <w:r>
        <w:rPr>
          <w:b/>
          <w:bCs/>
        </w:rPr>
        <w:t xml:space="preserve">Nelder-Mead-Verfahren</w:t>
      </w:r>
      <w:r>
        <w:t xml:space="preserve"> </w:t>
      </w:r>
      <w:r>
        <w:t xml:space="preserve">(ableitungsfrei — es braucht nur</w:t>
      </w:r>
      <w:r>
        <w:t xml:space="preserve"> </w:t>
      </w:r>
      <w:r>
        <w:t xml:space="preserve">Funktionswerte, keine Gradienten). Die Kostenfunktion ist das mittlere</w:t>
      </w:r>
      <w:r>
        <w:t xml:space="preserve"> </w:t>
      </w:r>
      <w:r>
        <w:t xml:space="preserve">quadratische Residuum, datensatzweise gewichtet: der Gummel-Plot im</w:t>
      </w:r>
      <w:r>
        <w:t xml:space="preserve"> </w:t>
      </w:r>
      <w:r>
        <w:rPr>
          <w:b/>
          <w:bCs/>
        </w:rPr>
        <w:t xml:space="preserve">logarithmischen</w:t>
      </w:r>
      <w:r>
        <w:t xml:space="preserve"> </w:t>
      </w:r>
      <w:r>
        <w:t xml:space="preserve">Maß (sonst dominieren die großen Ströme alles),</w:t>
      </w:r>
      <w:r>
        <w:t xml:space="preserve"> </w:t>
      </w:r>
      <w:r>
        <w:t xml:space="preserve">die übrigen Felder im</w:t>
      </w:r>
      <w:r>
        <w:t xml:space="preserve"> </w:t>
      </w:r>
      <w:r>
        <w:rPr>
          <w:b/>
          <w:bCs/>
        </w:rPr>
        <w:t xml:space="preserve">relativen</w:t>
      </w:r>
      <w:r>
        <w:t xml:space="preserve"> </w:t>
      </w:r>
      <w:r>
        <w:t xml:space="preserve">Maß.</w:t>
      </w:r>
    </w:p>
    <w:p>
      <w:pPr>
        <w:pStyle w:val="BodyText"/>
      </w:pPr>
      <w:r>
        <w:t xml:space="preserve">Der globale Fit hat zwei Vorzüge — und eine Falle:</w:t>
      </w:r>
    </w:p>
    <w:p>
      <w:pPr>
        <w:pStyle w:val="Compact"/>
        <w:numPr>
          <w:ilvl w:val="0"/>
          <w:numId w:val="1005"/>
        </w:numPr>
      </w:pPr>
      <w:r>
        <w:t xml:space="preserve">Er nutzt die gesamte Information und mittelt Ablesefehler heraus.</w:t>
      </w:r>
    </w:p>
    <w:p>
      <w:pPr>
        <w:pStyle w:val="Compact"/>
        <w:numPr>
          <w:ilvl w:val="0"/>
          <w:numId w:val="1005"/>
        </w:numPr>
      </w:pPr>
      <w:r>
        <w:t xml:space="preserve">Er liefert</w:t>
      </w:r>
      <w:r>
        <w:t xml:space="preserve"> </w:t>
      </w:r>
      <w:r>
        <w:rPr>
          <w:b/>
          <w:bCs/>
        </w:rPr>
        <w:t xml:space="preserve">ein konsistentes Parameterset</w:t>
      </w:r>
      <w:r>
        <w:t xml:space="preserve"> </w:t>
      </w:r>
      <w:r>
        <w:t xml:space="preserve">statt einzeln</w:t>
      </w:r>
      <w:r>
        <w:t xml:space="preserve"> </w:t>
      </w:r>
      <w:r>
        <w:t xml:space="preserve">bestimmter, potenziell widersprüchlicher Werte.</w:t>
      </w:r>
    </w:p>
    <w:p>
      <w:pPr>
        <w:pStyle w:val="Compact"/>
        <w:numPr>
          <w:ilvl w:val="0"/>
          <w:numId w:val="1005"/>
        </w:numPr>
      </w:pPr>
      <w:r>
        <w:t xml:space="preserve">Aber: Er konvergiert</w:t>
      </w:r>
      <w:r>
        <w:t xml:space="preserve"> </w:t>
      </w:r>
      <w:r>
        <w:rPr>
          <w:b/>
          <w:bCs/>
        </w:rPr>
        <w:t xml:space="preserve">immer</w:t>
      </w:r>
      <w:r>
        <w:t xml:space="preserve"> </w:t>
      </w:r>
      <w:r>
        <w:t xml:space="preserve">— auch auf Parameter, die die Daten</w:t>
      </w:r>
      <w:r>
        <w:t xml:space="preserve"> </w:t>
      </w:r>
      <w:r>
        <w:t xml:space="preserve">gar nicht hergeben. Ob ein Wert dem Datensatz entstammt oder nur dem</w:t>
      </w:r>
      <w:r>
        <w:t xml:space="preserve"> </w:t>
      </w:r>
      <w:r>
        <w:t xml:space="preserve">Startwert, sieht man dem Fit nicht an. Genau dafür braucht es den</w:t>
      </w:r>
      <w:r>
        <w:t xml:space="preserve"> </w:t>
      </w:r>
      <w:r>
        <w:t xml:space="preserve">nächsten Abschnitt.</w:t>
      </w:r>
    </w:p>
    <w:bookmarkEnd w:id="40"/>
    <w:bookmarkStart w:id="41" w:name="Xb43aa177c0e351bfa98ed6bf9fabf7f6edde2d6"/>
    <w:p>
      <w:pPr>
        <w:pStyle w:val="Heading2"/>
      </w:pPr>
      <w:r>
        <w:t xml:space="preserve">7.10 Der Transparenzschritt: Identifizierbarkeit</w:t>
      </w:r>
    </w:p>
    <w:p>
      <w:pPr>
        <w:pStyle w:val="FirstParagraph"/>
      </w:pPr>
      <w:r>
        <w:t xml:space="preserve">Ein Parameter ist nur dann</w:t>
      </w:r>
      <w:r>
        <w:t xml:space="preserve"> </w:t>
      </w:r>
      <w:r>
        <w:rPr>
          <w:i/>
          <w:iCs/>
        </w:rPr>
        <w:t xml:space="preserve">aus den Daten</w:t>
      </w:r>
      <w:r>
        <w:t xml:space="preserve"> </w:t>
      </w:r>
      <w:r>
        <w:t xml:space="preserve">bestimmbar, wenn die</w:t>
      </w:r>
      <w:r>
        <w:t xml:space="preserve"> </w:t>
      </w:r>
      <w:r>
        <w:t xml:space="preserve">Kostenfunktion</w:t>
      </w:r>
      <w:r>
        <w:t xml:space="preserve"> </w:t>
      </w:r>
      <w:r>
        <w:rPr>
          <w:b/>
          <w:bCs/>
        </w:rPr>
        <w:t xml:space="preserve">empfindlich</w:t>
      </w:r>
      <w:r>
        <w:t xml:space="preserve"> </w:t>
      </w:r>
      <w:r>
        <w:t xml:space="preserve">auf ihn reagiert. Der Test ist</w:t>
      </w:r>
      <w:r>
        <w:t xml:space="preserve"> </w:t>
      </w:r>
      <w:r>
        <w:t xml:space="preserve">denkbar einfach: jeden Parameter einzeln um</w:t>
      </w:r>
      <w:r>
        <w:t xml:space="preserve"> </w:t>
      </w:r>
      <m:oMath>
        <m:r>
          <m:rPr>
            <m:sty m:val="p"/>
          </m:rPr>
          <m:t>+</m:t>
        </m:r>
        <m:r>
          <m:t>20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stören und</w:t>
      </w:r>
      <w:r>
        <w:t xml:space="preserve"> </w:t>
      </w:r>
      <w:r>
        <w:t xml:space="preserve">messen, um welchen Faktor die Kosten steigen. Für Durchlauf 1</w:t>
      </w:r>
      <w:r>
        <w:t xml:space="preserve"> </w:t>
      </w:r>
      <w:r>
        <w:t xml:space="preserve">(BC337-25):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Kostenfaktor bei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20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bestimmbar?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2774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ja — dominant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28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schwach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schwach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×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nein</w:t>
            </w:r>
            <w:r>
              <w:t xml:space="preserve"> </w:t>
            </w:r>
            <w:r>
              <w:t xml:space="preserve">— Kostenfunktion flach</w:t>
            </w:r>
          </w:p>
        </w:tc>
      </w:tr>
    </w:tbl>
    <w:p>
      <w:pPr>
        <w:pStyle w:val="BodyText"/>
      </w:pPr>
      <w:r>
        <w:t xml:space="preserve">Die Tabelle bestätigt quantitativ, was die Einzelschritte qualitativ</w:t>
      </w:r>
      <w:r>
        <w:t xml:space="preserve"> </w:t>
      </w:r>
      <w:r>
        <w:t xml:space="preserve">zeigten: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ist über die Gummel-Steigung exzellent verankert,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solide;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hängt an einer kleinen Steigung,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</w:t>
      </w:r>
      <w:r>
        <w:t xml:space="preserve"> </w:t>
      </w:r>
      <w:r>
        <w:t xml:space="preserve">einem kaum erreichten Hochstrombereich — und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hinterlässt im</w:t>
      </w:r>
      <w:r>
        <w:t xml:space="preserve"> </w:t>
      </w:r>
      <w:r>
        <w:t xml:space="preserve">Messfenster</w:t>
      </w:r>
      <w:r>
        <w:t xml:space="preserve"> </w:t>
      </w:r>
      <w:r>
        <w:rPr>
          <w:b/>
          <w:bCs/>
        </w:rPr>
        <w:t xml:space="preserve">keinerlei Signatur</w:t>
      </w:r>
      <w:r>
        <w:t xml:space="preserve">. Man kann ihn nicht „aus dem Fehler</w:t>
      </w:r>
      <w:r>
        <w:t xml:space="preserve"> </w:t>
      </w:r>
      <w:r>
        <w:t xml:space="preserve">herausziehen”; jeder vom Fit gelieferte Wert wäre Scheingenauigkeit.</w:t>
      </w:r>
    </w:p>
    <w:p>
      <w:pPr>
        <w:pStyle w:val="BodyText"/>
      </w:pPr>
      <w:r>
        <w:rPr>
          <w:b/>
          <w:bCs/>
        </w:rPr>
        <w:t xml:space="preserve">Die Konsequenz als Regel:</w:t>
      </w:r>
      <w:r>
        <w:t xml:space="preserve"> </w:t>
      </w:r>
      <w:r>
        <w:rPr>
          <w:i/>
          <w:iCs/>
        </w:rPr>
        <w:t xml:space="preserve">Nicht bestimmbare Parameter werden</w:t>
      </w:r>
      <w:r>
        <w:rPr>
          <w:i/>
          <w:iCs/>
        </w:rPr>
        <w:t xml:space="preserve"> </w:t>
      </w:r>
      <w:r>
        <w:rPr>
          <w:i/>
          <w:iCs/>
        </w:rPr>
        <w:t xml:space="preserve">offen als gesetzt deklariert (Datenblatt/Default) — und wer sie messen</w:t>
      </w:r>
      <w:r>
        <w:rPr>
          <w:i/>
          <w:iCs/>
        </w:rPr>
        <w:t xml:space="preserve"> </w:t>
      </w:r>
      <w:r>
        <w:rPr>
          <w:i/>
          <w:iCs/>
        </w:rPr>
        <w:t xml:space="preserve">will, braucht gezielte Zusatzmessungen</w:t>
      </w:r>
      <w:r>
        <w:t xml:space="preserve"> </w:t>
      </w:r>
      <w:r>
        <w:t xml:space="preserve">(Hochstrom-</w:t>
      </w:r>
      <m:oMath>
        <m:r>
          <m:t>β</m:t>
        </m:r>
      </m:oMath>
      <w:r>
        <w:t xml:space="preserve"> </w:t>
      </w:r>
      <w:r>
        <w:t xml:space="preserve">für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 Hochstrom-Gummel für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Durchlauf 2 hat für den BC547</w:t>
      </w:r>
      <w:r>
        <w:t xml:space="preserve"> </w:t>
      </w:r>
      <w:r>
        <w:t xml:space="preserve">genau das getan und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damit bestimmt).</w:t>
      </w:r>
    </w:p>
    <w:bookmarkEnd w:id="41"/>
    <w:bookmarkStart w:id="45" w:name="validierung-modell-gegen-messung"/>
    <w:p>
      <w:pPr>
        <w:pStyle w:val="Heading2"/>
      </w:pPr>
      <w:r>
        <w:t xml:space="preserve">7.11 Validierung: Modell gegen Messung</w:t>
      </w:r>
    </w:p>
    <w:p>
      <w:pPr>
        <w:pStyle w:val="FirstParagraph"/>
      </w:pPr>
      <w:r>
        <w:t xml:space="preserve">Der bestimmte Parametersatz muss sich an den Daten beweisen — an</w:t>
      </w:r>
      <w:r>
        <w:t xml:space="preserve"> </w:t>
      </w:r>
      <w:r>
        <w:rPr>
          <w:b/>
          <w:bCs/>
        </w:rPr>
        <w:t xml:space="preserve">allen</w:t>
      </w:r>
      <w:r>
        <w:t xml:space="preserve">, nicht nur an denen, aus denen er gewonnen wurde. In</w:t>
      </w:r>
      <w:r>
        <w:t xml:space="preserve"> </w:t>
      </w:r>
      <w:r>
        <w:t xml:space="preserve">Durchlauf 1 trifft das Modell alle fünf Kennlinienfelder mit</w:t>
      </w:r>
      <w:r>
        <w:t xml:space="preserve"> </w:t>
      </w:r>
      <w:r>
        <w:rPr>
          <w:b/>
          <w:bCs/>
        </w:rPr>
        <w:t xml:space="preserve">1–2 % RMS-Abweichung</w:t>
      </w:r>
      <w:r>
        <w:t xml:space="preserve">; die sichtbare Restabweichung bei kleinen</w:t>
      </w:r>
      <w:r>
        <w:t xml:space="preserve"> </w:t>
      </w:r>
      <w:r>
        <w:t xml:space="preserve">Strömen ist der in Kapitel 6.8 bewusst weggelassene Leckterm — sie ist</w:t>
      </w:r>
      <w:r>
        <w:t xml:space="preserve"> </w:t>
      </w:r>
      <w:r>
        <w:t xml:space="preserve">benannt statt versteckt. Der unabhängigste Test ist der Abgleich mit</w:t>
      </w:r>
      <w:r>
        <w:t xml:space="preserve"> </w:t>
      </w:r>
      <w:r>
        <w:t xml:space="preserve">dem Hersteller-SPICE-Modell: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des BC337-25</w:t>
      </w:r>
      <w:r>
        <w:t xml:space="preserve"> </w:t>
      </w:r>
      <w:r>
        <w:t xml:space="preserve">treffen die Datenblattwerte auf wenige Prozent.</w:t>
      </w:r>
    </w:p>
    <w:p>
      <w:pPr>
        <w:pStyle w:val="CaptionedFigure"/>
      </w:pPr>
      <w:r>
        <w:drawing>
          <wp:inline>
            <wp:extent cx="5334000" cy="3451411"/>
            <wp:effectExtent b="0" l="0" r="0" t="0"/>
            <wp:docPr descr="Abbildung 7.5 — Gesamtschau der Extraktion (Durchlauf 1, BC337-25), erzeugt mit bjt_dashboard.py: alle fünf Kennlinienfelder mit Messpunkten und Modellkurven, Parametersatz, RMS-Fehler, Identifizierbarkeits-Ampel und Datenblattabgleich. Dieses Bild dient als kompakte Ergebnisübersicht — die lesbaren Einzelschritte zeigen die Abbildungen 7.1 bis 7.4." title="" id="43" name="Picture"/>
            <a:graphic>
              <a:graphicData uri="http://schemas.openxmlformats.org/drawingml/2006/picture">
                <pic:pic>
                  <pic:nvPicPr>
                    <pic:cNvPr descr="../bilder/kap07_dashboa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7.5</w:t>
      </w:r>
      <w:r>
        <w:t xml:space="preserve"> </w:t>
      </w:r>
      <w:r>
        <w:t xml:space="preserve">— Gesamtschau der Extraktion (Durchlauf 1,</w:t>
      </w:r>
      <w:r>
        <w:t xml:space="preserve"> </w:t>
      </w:r>
      <w:r>
        <w:t xml:space="preserve">BC337-25), erzeugt mit</w:t>
      </w:r>
      <w:r>
        <w:t xml:space="preserve"> </w:t>
      </w:r>
      <w:r>
        <w:rPr>
          <w:rStyle w:val="VerbatimChar"/>
        </w:rPr>
        <w:t xml:space="preserve">bjt_dashboard.py</w:t>
      </w:r>
      <w:r>
        <w:t xml:space="preserve">: alle fünf Kennlinienfelder</w:t>
      </w:r>
      <w:r>
        <w:t xml:space="preserve"> </w:t>
      </w:r>
      <w:r>
        <w:t xml:space="preserve">mit Messpunkten und Modellkurven, Parametersatz, RMS-Fehler,</w:t>
      </w:r>
      <w:r>
        <w:t xml:space="preserve"> </w:t>
      </w:r>
      <w:r>
        <w:t xml:space="preserve">Identifizierbarkeits-Ampel und Datenblattabgleich. Dieses Bild dient</w:t>
      </w:r>
      <w:r>
        <w:t xml:space="preserve"> </w:t>
      </w:r>
      <w:r>
        <w:t xml:space="preserve">als kompakte Ergebnisübersicht — die lesbaren Einzelschritte zeigen</w:t>
      </w:r>
      <w:r>
        <w:t xml:space="preserve"> </w:t>
      </w:r>
      <w:r>
        <w:t xml:space="preserve">die Abbildungen 7.1 bis 7.4.</w:t>
      </w:r>
    </w:p>
    <w:bookmarkEnd w:id="45"/>
    <w:bookmarkStart w:id="46" w:name="unsicherheiten-und-wie-weit-sie-tragen"/>
    <w:p>
      <w:pPr>
        <w:pStyle w:val="Heading2"/>
      </w:pPr>
      <w:r>
        <w:t xml:space="preserve">7.12 Unsicherheiten — und wie weit sie tragen</w:t>
      </w:r>
    </w:p>
    <w:p>
      <w:pPr>
        <w:pStyle w:val="FirstParagraph"/>
      </w:pPr>
      <w:r>
        <w:t xml:space="preserve">Wie genau müssen die Parameter überhaupt sein? Die Antwort fällt je</w:t>
      </w:r>
      <w:r>
        <w:t xml:space="preserve"> </w:t>
      </w:r>
      <w:r>
        <w:t xml:space="preserve">nach Blickrichtung verschieden aus — der Grund ist wieder die steile</w:t>
      </w:r>
      <w:r>
        <w:t xml:space="preserve"> </w:t>
      </w:r>
      <w:r>
        <w:t xml:space="preserve">Exponentialfunktion: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ist robust gegen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-Fehler.</w:t>
      </w:r>
      <w:r>
        <w:t xml:space="preserve"> </w:t>
      </w:r>
      <w:r>
        <w:t xml:space="preserve">Aus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t> </m:t>
        </m:r>
        <m:sSup>
          <m:e>
            <m:r>
              <m:t>e</m:t>
            </m:r>
          </m:e>
          <m:sup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sup>
        </m:sSup>
      </m:oMath>
      <w:r>
        <w:t xml:space="preserve"> </w:t>
      </w:r>
      <w:r>
        <w:t xml:space="preserve">folgt für</w:t>
      </w:r>
      <w:r>
        <w:t xml:space="preserve"> </w:t>
      </w:r>
      <m:oMath>
        <m:r>
          <m:rPr>
            <m:sty m:val="p"/>
          </m:rPr>
          <m:t>±</m:t>
        </m:r>
        <m:r>
          <m:t>10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Unsicherheit in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Δ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01</m:t>
          </m:r>
          <m:r>
            <m:rPr>
              <m:sty m:val="p"/>
            </m:rPr>
            <m:t>⋅</m:t>
          </m:r>
          <m:r>
            <m:t>25</m:t>
          </m:r>
          <m:r>
            <m:rPr>
              <m:sty m:val="p"/>
            </m:rPr>
            <m:t>,</m:t>
          </m:r>
          <m:r>
            <m:t>86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,</m:t>
          </m:r>
          <m:r>
            <m:t>0953</m:t>
          </m:r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Zehn Prozent Stromfehler kosten also nur zweieinhalb Millivolt.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ist empfindlich in Gegenrichtung:</w:t>
      </w:r>
      <w:r>
        <w:t xml:space="preserve"> </w:t>
      </w:r>
      <w:r>
        <w:t xml:space="preserve">Bei festgehaltenem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geht ein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-Fehler proportional in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ein. In einer</w:t>
      </w:r>
      <w:r>
        <w:t xml:space="preserve"> </w:t>
      </w:r>
      <w:r>
        <w:t xml:space="preserve">realen Schaltung mit Basisvorwiderstand kompensiert die Rückkopplung</w:t>
      </w:r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einen Teil davon — quantitativ zeigt das die</w:t>
      </w:r>
      <w:r>
        <w:t xml:space="preserve"> </w:t>
      </w:r>
      <w:r>
        <w:t xml:space="preserve">Arbeitspunktrechnung in Kapitel 8.</w:t>
      </w:r>
    </w:p>
    <w:p>
      <w:pPr>
        <w:pStyle w:val="Compact"/>
        <w:numPr>
          <w:ilvl w:val="0"/>
          <w:numId w:val="1006"/>
        </w:numPr>
      </w:pPr>
      <w:r>
        <w:t xml:space="preserve">Dazu kommen Ablesefehler (±2–5 % am analogen Gerät, weniger bei</w:t>
      </w:r>
      <w:r>
        <w:t xml:space="preserve"> </w:t>
      </w:r>
      <w:r>
        <w:t xml:space="preserve">digitaler Erfassung), thermische Drift (7.2) und die Serienstreuung,</w:t>
      </w:r>
      <w:r>
        <w:t xml:space="preserve"> </w:t>
      </w:r>
      <w:r>
        <w:t xml:space="preserve">die jede Übertragung auf ein anderes Exemplar verbietet.</w:t>
      </w:r>
    </w:p>
    <w:bookmarkEnd w:id="46"/>
    <w:bookmarkStart w:id="47" w:name="zusammenfassung"/>
    <w:p>
      <w:pPr>
        <w:pStyle w:val="Heading2"/>
      </w:pPr>
      <w:r>
        <w:t xml:space="preserve">7.13 Zusammenfassung</w:t>
      </w:r>
    </w:p>
    <w:p>
      <w:pPr>
        <w:pStyle w:val="Compact"/>
        <w:numPr>
          <w:ilvl w:val="0"/>
          <w:numId w:val="1007"/>
        </w:numPr>
      </w:pPr>
      <w:r>
        <w:t xml:space="preserve">Alle Parameter des Vorwärtsmodells folgen aus</w:t>
      </w:r>
      <w:r>
        <w:t xml:space="preserve"> </w:t>
      </w:r>
      <w:r>
        <w:rPr>
          <w:b/>
          <w:bCs/>
        </w:rPr>
        <w:t xml:space="preserve">drei Messreihen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fester Reihenfolge</w:t>
      </w:r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(Gummel-Gerade) →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(Plateau) →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(Extrapolation) →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(70,7-%-Kriterium) →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(Kennlinien-Kompression).</w:t>
      </w:r>
    </w:p>
    <w:p>
      <w:pPr>
        <w:pStyle w:val="Compact"/>
        <w:numPr>
          <w:ilvl w:val="0"/>
          <w:numId w:val="1007"/>
        </w:numPr>
      </w:pPr>
      <w:r>
        <w:t xml:space="preserve">Jeder Schritt hat ein</w:t>
      </w:r>
      <w:r>
        <w:t xml:space="preserve"> </w:t>
      </w:r>
      <w:r>
        <w:rPr>
          <w:b/>
          <w:bCs/>
        </w:rPr>
        <w:t xml:space="preserve">Gültigkeitsfenster</w:t>
      </w:r>
      <w:r>
        <w:t xml:space="preserve">; wer es verfehlt,</w:t>
      </w:r>
      <w:r>
        <w:t xml:space="preserve"> </w:t>
      </w:r>
      <w:r>
        <w:t xml:space="preserve">erhält unphysikalische Werte (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!). Plausibilitätskontrolle</w:t>
      </w:r>
      <w:r>
        <w:t xml:space="preserve"> </w:t>
      </w:r>
      <w:r>
        <w:t xml:space="preserve">gegen die Physik ist Teil der Methode.</w:t>
      </w:r>
    </w:p>
    <w:p>
      <w:pPr>
        <w:pStyle w:val="Compact"/>
        <w:numPr>
          <w:ilvl w:val="0"/>
          <w:numId w:val="1007"/>
        </w:numPr>
      </w:pPr>
      <w:r>
        <w:t xml:space="preserve">Der</w:t>
      </w:r>
      <w:r>
        <w:t xml:space="preserve"> </w:t>
      </w:r>
      <w:r>
        <w:rPr>
          <w:b/>
          <w:bCs/>
        </w:rPr>
        <w:t xml:space="preserve">globale Fit</w:t>
      </w:r>
      <w:r>
        <w:t xml:space="preserve"> </w:t>
      </w:r>
      <w:r>
        <w:t xml:space="preserve">liefert konsistente Sätze, die</w:t>
      </w:r>
      <w:r>
        <w:t xml:space="preserve"> </w:t>
      </w:r>
      <w:r>
        <w:rPr>
          <w:b/>
          <w:bCs/>
        </w:rPr>
        <w:t xml:space="preserve">Identifizierbarkeitsanalyse</w:t>
      </w:r>
      <w:r>
        <w:t xml:space="preserve"> </w:t>
      </w:r>
      <w:r>
        <w:t xml:space="preserve">entscheidet, welche Werte den Daten</w:t>
      </w:r>
      <w:r>
        <w:t xml:space="preserve"> </w:t>
      </w:r>
      <w:r>
        <w:t xml:space="preserve">entstammen — und welche nur gesetzt sind. Beide zusammen machen die</w:t>
      </w:r>
      <w:r>
        <w:t xml:space="preserve"> </w:t>
      </w:r>
      <w:r>
        <w:t xml:space="preserve">Extraktion ehrlich.</w:t>
      </w:r>
    </w:p>
    <w:p>
      <w:pPr>
        <w:pStyle w:val="Compact"/>
        <w:numPr>
          <w:ilvl w:val="0"/>
          <w:numId w:val="1007"/>
        </w:numPr>
      </w:pPr>
      <w:r>
        <w:t xml:space="preserve">Zwei Bauteile, zwei Messgeräte, eine Methode: BC337-25 und BC547</w:t>
      </w:r>
      <w:r>
        <w:t xml:space="preserve"> </w:t>
      </w:r>
      <w:r>
        <w:t xml:space="preserve">liefern konsistente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— und</w:t>
      </w:r>
      <w:r>
        <w:t xml:space="preserve"> </w:t>
      </w:r>
      <w:r>
        <w:t xml:space="preserve">demonstrieren am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 dass</w:t>
      </w:r>
      <w:r>
        <w:t xml:space="preserve"> </w:t>
      </w:r>
      <w:r>
        <w:rPr>
          <w:b/>
          <w:bCs/>
        </w:rPr>
        <w:t xml:space="preserve">das Messfenster</w:t>
      </w:r>
      <w:r>
        <w:t xml:space="preserve"> </w:t>
      </w:r>
      <w:r>
        <w:t xml:space="preserve">über</w:t>
      </w:r>
      <w:r>
        <w:t xml:space="preserve"> </w:t>
      </w:r>
      <w:r>
        <w:t xml:space="preserve">Bestimmbarkeit entscheidet, nicht die Formel.</w:t>
      </w:r>
    </w:p>
    <w:p>
      <w:pPr>
        <w:pStyle w:val="FirstParagraph"/>
      </w:pPr>
      <w:r>
        <w:t xml:space="preserve">Damit hat das Modell aus Kapitel 6 Zahlen — belegte, mit benannten</w:t>
      </w:r>
      <w:r>
        <w:t xml:space="preserve"> </w:t>
      </w:r>
      <w:r>
        <w:t xml:space="preserve">Grenzen.</w:t>
      </w:r>
      <w:r>
        <w:t xml:space="preserve"> </w:t>
      </w:r>
      <w:r>
        <w:rPr>
          <w:b/>
          <w:bCs/>
        </w:rPr>
        <w:t xml:space="preserve">Kapitel 8</w:t>
      </w:r>
      <w:r>
        <w:t xml:space="preserve"> </w:t>
      </w:r>
      <w:r>
        <w:t xml:space="preserve">setzt diesen Parametersatz in eine reale</w:t>
      </w:r>
      <w:r>
        <w:t xml:space="preserve"> </w:t>
      </w:r>
      <w:r>
        <w:t xml:space="preserve">Schaltung ein und berechnet ihren Arbeitspunkt mit Newton-Raphson;</w:t>
      </w:r>
      <w:r>
        <w:t xml:space="preserve"> </w:t>
      </w:r>
      <w:r>
        <w:rPr>
          <w:b/>
          <w:bCs/>
        </w:rPr>
        <w:t xml:space="preserve">Kapitel 9</w:t>
      </w:r>
      <w:r>
        <w:t xml:space="preserve"> </w:t>
      </w:r>
      <w:r>
        <w:t xml:space="preserve">lässt anschließend LTspice und Simulink mit denselben</w:t>
      </w:r>
      <w:r>
        <w:t xml:space="preserve"> </w:t>
      </w:r>
      <w:r>
        <w:t xml:space="preserve">Zahlen gegen die Messung antreten.</w:t>
      </w:r>
    </w:p>
    <w:bookmarkEnd w:id="47"/>
    <w:bookmarkStart w:id="48" w:name="übungsaufgaben-zu-kapitel-7"/>
    <w:p>
      <w:pPr>
        <w:pStyle w:val="Heading2"/>
      </w:pPr>
      <w:r>
        <w:t xml:space="preserve">Übungsaufgaben zu Kapitel 7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Gummel-Auswertung:</w:t>
      </w:r>
      <w:r>
        <w:t xml:space="preserve"> </w:t>
      </w:r>
      <w:r>
        <w:t xml:space="preserve">Aus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580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</m:oMath>
      <w:r>
        <w:t xml:space="preserve">mA</w:t>
      </w:r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640</m:t>
        </m:r>
        <m:r>
          <m:t> </m:t>
        </m:r>
      </m:oMath>
      <w:r>
        <w:t xml:space="preserve">V,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t> </m:t>
        </m:r>
      </m:oMath>
      <w:r>
        <w:t xml:space="preserve">mA bestimme man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Early-Spannung:</w:t>
      </w:r>
      <w:r>
        <w:t xml:space="preserve"> </w:t>
      </w:r>
      <w:r>
        <w:t xml:space="preserve">Bei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40</m:t>
        </m:r>
        <m:r>
          <m:t> </m:t>
        </m:r>
        <m:r>
          <m:t>μ</m:t>
        </m:r>
      </m:oMath>
      <w:r>
        <w:t xml:space="preserve">A wurden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 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 </m:t>
            </m:r>
            <m:r>
              <m:t>11</m:t>
            </m:r>
            <m:r>
              <m:rPr>
                <m:sty m:val="p"/>
              </m:rPr>
              <m:t>,</m:t>
            </m:r>
            <m:r>
              <m:t>5</m:t>
            </m:r>
            <m:r>
              <m:t> </m:t>
            </m:r>
            <m:r>
              <m:rPr>
                <m:nor/>
                <m:sty m:val="p"/>
              </m:rPr>
              <m:t>mA</m:t>
            </m:r>
          </m:e>
        </m:d>
      </m:oMath>
      <w:r>
        <w:t xml:space="preserve"> </w:t>
      </w:r>
      <w:r>
        <w:t xml:space="preserve">und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t> </m:t>
            </m:r>
            <m:r>
              <m:rPr>
                <m:nor/>
                <m:sty m:val="p"/>
              </m:rPr>
              <m:t>V</m:t>
            </m:r>
            <m:r>
              <m:rPr>
                <m:sty m:val="p"/>
              </m:rPr>
              <m:t>,</m:t>
            </m:r>
            <m:r>
              <m:t> </m:t>
            </m:r>
            <m:r>
              <m:t>12</m:t>
            </m:r>
            <m:r>
              <m:rPr>
                <m:sty m:val="p"/>
              </m:rPr>
              <m:t>,</m:t>
            </m:r>
            <m:r>
              <m:t>4</m:t>
            </m:r>
            <m:r>
              <m:t> </m:t>
            </m:r>
            <m:r>
              <m:rPr>
                <m:nor/>
                <m:sty m:val="p"/>
              </m:rPr>
              <m:t>mA</m:t>
            </m:r>
          </m:e>
        </m:d>
      </m:oMath>
      <w:r>
        <w:t xml:space="preserve"> </w:t>
      </w:r>
      <w:r>
        <w:t xml:space="preserve">gemessen. Man berechne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Knickstrom:</w:t>
      </w:r>
      <w:r>
        <w:t xml:space="preserve"> </w:t>
      </w:r>
      <w:r>
        <w:t xml:space="preserve">Im Plateau wurde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320</m:t>
        </m:r>
      </m:oMath>
      <w:r>
        <w:t xml:space="preserve"> </w:t>
      </w:r>
      <w:r>
        <w:t xml:space="preserve">gemessen. Bei</w:t>
      </w:r>
      <w:r>
        <w:t xml:space="preserve"> </w:t>
      </w:r>
      <w:r>
        <w:t xml:space="preserve">welchem</w:t>
      </w:r>
      <w:r>
        <w:t xml:space="preserve"> </w:t>
      </w:r>
      <m:oMath>
        <m:r>
          <m:t>β</m:t>
        </m:r>
      </m:oMath>
      <w:r>
        <w:t xml:space="preserve">-Wert liest man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ab, und wie grenzt man ihn</w:t>
      </w:r>
      <w:r>
        <w:t xml:space="preserve"> </w:t>
      </w:r>
      <w:r>
        <w:t xml:space="preserve">messtechnisch in drei Schritten ein?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Vollständige Rechnung:</w:t>
      </w:r>
      <w:r>
        <w:t xml:space="preserve"> </w:t>
      </w:r>
      <w:r>
        <w:t xml:space="preserve">Man übernehme den gemessenen</w:t>
      </w:r>
      <w:r>
        <w:t xml:space="preserve"> </w:t>
      </w:r>
      <w:r>
        <w:t xml:space="preserve">BC547-Parametersatz (Abschnitt 7.8) in das Arbeitspunktprogramm aus</w:t>
      </w:r>
      <w:r>
        <w:t xml:space="preserve"> </w:t>
      </w:r>
      <w:r>
        <w:t xml:space="preserve">Kapitel 8, führe die Bisektion durch und vergleiche mit der</w:t>
      </w:r>
      <w:r>
        <w:t xml:space="preserve"> </w:t>
      </w:r>
      <w:r>
        <w:t xml:space="preserve">idealen Abschätzung.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Sensitivität/Serienstreuung:</w:t>
      </w:r>
      <w:r>
        <w:t xml:space="preserve"> </w:t>
      </w:r>
      <w:r>
        <w:t xml:space="preserve">Man variiere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über die</w:t>
      </w:r>
      <w:r>
        <w:t xml:space="preserve"> </w:t>
      </w:r>
      <w:r>
        <w:t xml:space="preserve">Datenblatt-Klassengrenzen des BC547 (110…800) und berechne jeweils</w:t>
      </w:r>
      <w:r>
        <w:t xml:space="preserve"> </w:t>
      </w:r>
      <w:r>
        <w:t xml:space="preserve">das erforderliche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der Fixed-Bias-Schaltung. Welche Konsequenz</w:t>
      </w:r>
      <w:r>
        <w:t xml:space="preserve"> </w:t>
      </w:r>
      <w:r>
        <w:t xml:space="preserve">hat die Spannweite für die Serienfertigung?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Kapitel 7 — Parameterextraktion: vom Messwert zum Zahlenwert</dc:title>
  <dc:creator>Prof. Dr.-Ing. Ralph Wystup</dc:creator>
  <dc:language>de</dc:language>
  <cp:keywords/>
  <dcterms:created xsi:type="dcterms:W3CDTF">2026-09-30T08:21:27Z</dcterms:created>
  <dcterms:modified xsi:type="dcterms:W3CDTF">2026-09-30T08:21:27Z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Entwurf, Stand 4. August 2026</vt:lpwstr>
  </property>
  <property fmtid="{D5CDD505-2E9C-101B-9397-08002B2CF9AE}" pid="3" name="subtitle">
    <vt:lpwstr>Buchentwurf zur Freigabe · Teil III: Vom Messwert zum Modell</vt:lpwstr>
  </property>
</Properties>
</file>